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0471C2"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E85A3B" w:rsidRPr="00F5664C" w:rsidRDefault="00E85A3B"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BE57DB" w:rsidRPr="007A3ED6">
        <w:rPr>
          <w:rFonts w:ascii="Book Antiqua" w:hAnsi="Book Antiqua" w:cs="Arial"/>
          <w:b/>
          <w:caps/>
        </w:rPr>
        <w:t>PA</w:t>
      </w:r>
      <w:r w:rsidR="001B67F3" w:rsidRPr="007A3ED6">
        <w:rPr>
          <w:rFonts w:ascii="Book Antiqua" w:hAnsi="Book Antiqua" w:cs="Arial"/>
          <w:b/>
          <w:caps/>
        </w:rPr>
        <w:t>/</w:t>
      </w:r>
      <w:r w:rsidR="002C43E6">
        <w:rPr>
          <w:rFonts w:ascii="Book Antiqua" w:hAnsi="Book Antiqua" w:cs="Arial"/>
          <w:b/>
          <w:caps/>
        </w:rPr>
        <w:t>02278</w:t>
      </w:r>
      <w:r w:rsidR="00FB050B" w:rsidRPr="007A3ED6">
        <w:rPr>
          <w:rFonts w:ascii="Book Antiqua" w:hAnsi="Book Antiqua" w:cs="Arial"/>
          <w:b/>
          <w:caps/>
        </w:rPr>
        <w:t>/201</w:t>
      </w:r>
      <w:r w:rsidR="00784A6D">
        <w:rPr>
          <w:rFonts w:ascii="Book Antiqua" w:hAnsi="Book Antiqua" w:cs="Arial"/>
          <w:b/>
          <w:caps/>
        </w:rPr>
        <w:t>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6"/>
        <w:gridCol w:w="648"/>
        <w:gridCol w:w="3884"/>
      </w:tblGrid>
      <w:tr w:rsidR="00D22636" w:rsidRPr="00337EBB" w:rsidTr="006957B2">
        <w:tc>
          <w:tcPr>
            <w:tcW w:w="5211"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941D3B">
              <w:rPr>
                <w:rFonts w:ascii="Book Antiqua" w:hAnsi="Book Antiqua" w:cs="Arial"/>
                <w:b/>
              </w:rPr>
              <w:t>Manchester</w:t>
            </w:r>
            <w:r w:rsidR="001B67F3" w:rsidRPr="00337EBB">
              <w:rPr>
                <w:rFonts w:ascii="Book Antiqua" w:hAnsi="Book Antiqua" w:cs="Arial"/>
                <w:b/>
              </w:rPr>
              <w:t xml:space="preserve"> </w:t>
            </w:r>
          </w:p>
        </w:tc>
        <w:tc>
          <w:tcPr>
            <w:tcW w:w="4617" w:type="dxa"/>
            <w:gridSpan w:val="2"/>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6957B2">
        <w:tc>
          <w:tcPr>
            <w:tcW w:w="5211"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CE2A3A">
              <w:rPr>
                <w:rFonts w:ascii="Book Antiqua" w:hAnsi="Book Antiqua" w:cs="Arial"/>
                <w:b/>
              </w:rPr>
              <w:t>May 18</w:t>
            </w:r>
            <w:r w:rsidR="00D82D08">
              <w:rPr>
                <w:rFonts w:ascii="Book Antiqua" w:hAnsi="Book Antiqua" w:cs="Arial"/>
                <w:b/>
              </w:rPr>
              <w:t>, 2018</w:t>
            </w:r>
            <w:r w:rsidR="001B67F3" w:rsidRPr="00337EBB">
              <w:rPr>
                <w:rFonts w:ascii="Book Antiqua" w:hAnsi="Book Antiqua" w:cs="Arial"/>
                <w:b/>
              </w:rPr>
              <w:t xml:space="preserve"> </w:t>
            </w:r>
          </w:p>
        </w:tc>
        <w:tc>
          <w:tcPr>
            <w:tcW w:w="4617" w:type="dxa"/>
            <w:gridSpan w:val="2"/>
            <w:shd w:val="clear" w:color="auto" w:fill="auto"/>
          </w:tcPr>
          <w:p w:rsidR="00D22636" w:rsidRPr="00337EBB" w:rsidRDefault="006957B2" w:rsidP="00337EBB">
            <w:pPr>
              <w:jc w:val="both"/>
              <w:rPr>
                <w:rFonts w:ascii="Book Antiqua" w:hAnsi="Book Antiqua" w:cs="Arial"/>
                <w:b/>
              </w:rPr>
            </w:pPr>
            <w:r>
              <w:rPr>
                <w:rFonts w:ascii="Book Antiqua" w:hAnsi="Book Antiqua" w:cs="Arial"/>
                <w:b/>
              </w:rPr>
              <w:t xml:space="preserve">On May 24, 2018 </w:t>
            </w:r>
          </w:p>
        </w:tc>
      </w:tr>
      <w:tr w:rsidR="006957B2" w:rsidRPr="00337EBB" w:rsidTr="00337EBB">
        <w:trPr>
          <w:gridAfter w:val="1"/>
          <w:wAfter w:w="3960" w:type="dxa"/>
        </w:trPr>
        <w:tc>
          <w:tcPr>
            <w:tcW w:w="5868" w:type="dxa"/>
            <w:gridSpan w:val="2"/>
            <w:shd w:val="clear" w:color="auto" w:fill="auto"/>
          </w:tcPr>
          <w:p w:rsidR="006957B2" w:rsidRPr="00337EBB" w:rsidRDefault="006957B2"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CE2A3A" w:rsidRDefault="00CE2A3A" w:rsidP="00CE2A3A">
      <w:pPr>
        <w:jc w:val="center"/>
        <w:rPr>
          <w:rFonts w:ascii="Book Antiqua" w:hAnsi="Book Antiqua" w:cs="Arial"/>
          <w:b/>
          <w:caps/>
        </w:rPr>
      </w:pPr>
      <w:r>
        <w:rPr>
          <w:rFonts w:ascii="Book Antiqua" w:hAnsi="Book Antiqua" w:cs="Arial"/>
          <w:b/>
          <w:caps/>
        </w:rPr>
        <w:t xml:space="preserve">AZAM </w:t>
      </w:r>
      <w:r w:rsidR="00E85A3B">
        <w:rPr>
          <w:rFonts w:ascii="Book Antiqua" w:hAnsi="Book Antiqua" w:cs="Arial"/>
          <w:b/>
          <w:caps/>
        </w:rPr>
        <w:t>[</w:t>
      </w:r>
      <w:r>
        <w:rPr>
          <w:rFonts w:ascii="Book Antiqua" w:hAnsi="Book Antiqua" w:cs="Arial"/>
          <w:b/>
          <w:caps/>
        </w:rPr>
        <w:t>S</w:t>
      </w:r>
      <w:r w:rsidR="00E85A3B">
        <w:rPr>
          <w:rFonts w:ascii="Book Antiqua" w:hAnsi="Book Antiqua" w:cs="Arial"/>
          <w:b/>
          <w:caps/>
        </w:rPr>
        <w:t>]</w:t>
      </w:r>
      <w:bookmarkStart w:id="0" w:name="_GoBack"/>
      <w:bookmarkEnd w:id="0"/>
    </w:p>
    <w:p w:rsidR="003A5739" w:rsidRDefault="00CE2A3A" w:rsidP="00CE2A3A">
      <w:pPr>
        <w:jc w:val="center"/>
        <w:rPr>
          <w:rFonts w:ascii="Book Antiqua" w:hAnsi="Book Antiqua" w:cs="Arial"/>
          <w:b/>
          <w:caps/>
        </w:rPr>
      </w:pPr>
      <w:r w:rsidRPr="005B4942">
        <w:rPr>
          <w:rFonts w:ascii="Book Antiqua" w:hAnsi="Book Antiqua" w:cs="Arial"/>
          <w:b/>
          <w:caps/>
        </w:rPr>
        <w:t>(</w:t>
      </w:r>
      <w:r>
        <w:rPr>
          <w:rFonts w:ascii="Book Antiqua" w:hAnsi="Book Antiqua" w:cs="Arial"/>
          <w:b/>
          <w:caps/>
        </w:rPr>
        <w:t xml:space="preserve">NO </w:t>
      </w:r>
      <w:r w:rsidRPr="005B4942">
        <w:rPr>
          <w:rFonts w:ascii="Book Antiqua" w:hAnsi="Book Antiqua" w:cs="Arial"/>
          <w:b/>
          <w:caps/>
        </w:rPr>
        <w:t xml:space="preserve">ANONYMITY DIRECTION </w:t>
      </w:r>
      <w:r>
        <w:rPr>
          <w:rFonts w:ascii="Book Antiqua" w:hAnsi="Book Antiqua" w:cs="Arial"/>
          <w:b/>
          <w:caps/>
        </w:rPr>
        <w:t>made</w:t>
      </w:r>
      <w:r w:rsidRPr="005B4942">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CE2A3A" w:rsidRDefault="00CE2A3A" w:rsidP="00704B61">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E2A3A">
        <w:rPr>
          <w:rFonts w:ascii="Book Antiqua" w:hAnsi="Book Antiqua" w:cs="Arial"/>
        </w:rPr>
        <w:t>Ms Johnrose, Legal Representative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E2A3A">
        <w:rPr>
          <w:rFonts w:ascii="Book Antiqua" w:hAnsi="Book Antiqua" w:cs="Arial"/>
        </w:rPr>
        <w:t>Mr Bates,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I </w:t>
      </w:r>
      <w:r w:rsidR="007A3ED6">
        <w:rPr>
          <w:rFonts w:ascii="Book Antiqua" w:hAnsi="Book Antiqua" w:cs="Arial"/>
        </w:rPr>
        <w:t>do not make an anonymity order</w:t>
      </w:r>
      <w:r>
        <w:rPr>
          <w:rFonts w:ascii="Book Antiqua" w:hAnsi="Book Antiqua" w:cs="Arial"/>
        </w:rPr>
        <w:t xml:space="preserve">.  </w:t>
      </w:r>
    </w:p>
    <w:p w:rsidR="005C04A8" w:rsidRDefault="00641A27" w:rsidP="00D0571F">
      <w:pPr>
        <w:numPr>
          <w:ilvl w:val="0"/>
          <w:numId w:val="3"/>
        </w:numPr>
        <w:spacing w:before="240"/>
        <w:jc w:val="both"/>
        <w:rPr>
          <w:rFonts w:ascii="Book Antiqua" w:hAnsi="Book Antiqua" w:cs="Arial"/>
        </w:rPr>
      </w:pPr>
      <w:r w:rsidRPr="00CE2A3A">
        <w:rPr>
          <w:rFonts w:ascii="Book Antiqua" w:hAnsi="Book Antiqua" w:cs="Arial"/>
        </w:rPr>
        <w:t xml:space="preserve">The appellant is </w:t>
      </w:r>
      <w:r w:rsidR="00BE57DB" w:rsidRPr="00CE2A3A">
        <w:rPr>
          <w:rFonts w:ascii="Book Antiqua" w:hAnsi="Book Antiqua" w:cs="Arial"/>
        </w:rPr>
        <w:t>a</w:t>
      </w:r>
      <w:r w:rsidR="00941D3B" w:rsidRPr="00CE2A3A">
        <w:rPr>
          <w:rFonts w:ascii="Book Antiqua" w:hAnsi="Book Antiqua" w:cs="Arial"/>
        </w:rPr>
        <w:t>n</w:t>
      </w:r>
      <w:r w:rsidR="00BE57DB" w:rsidRPr="00CE2A3A">
        <w:rPr>
          <w:rFonts w:ascii="Book Antiqua" w:hAnsi="Book Antiqua" w:cs="Arial"/>
        </w:rPr>
        <w:t xml:space="preserve"> </w:t>
      </w:r>
      <w:r w:rsidR="002C43E6" w:rsidRPr="00CE2A3A">
        <w:rPr>
          <w:rFonts w:ascii="Book Antiqua" w:hAnsi="Book Antiqua" w:cs="Arial"/>
        </w:rPr>
        <w:t xml:space="preserve">Iranian </w:t>
      </w:r>
      <w:r w:rsidRPr="00CE2A3A">
        <w:rPr>
          <w:rFonts w:ascii="Book Antiqua" w:hAnsi="Book Antiqua" w:cs="Arial"/>
        </w:rPr>
        <w:t xml:space="preserve">national.  </w:t>
      </w:r>
      <w:r w:rsidR="002C43E6" w:rsidRPr="00CE2A3A">
        <w:rPr>
          <w:rFonts w:ascii="Book Antiqua" w:hAnsi="Book Antiqua"/>
        </w:rPr>
        <w:t xml:space="preserve">She </w:t>
      </w:r>
      <w:r w:rsidR="00FB050B" w:rsidRPr="00CE2A3A">
        <w:rPr>
          <w:rFonts w:ascii="Book Antiqua" w:hAnsi="Book Antiqua"/>
        </w:rPr>
        <w:t xml:space="preserve">entered the United Kingdom clandestinely on </w:t>
      </w:r>
      <w:r w:rsidR="002C43E6" w:rsidRPr="00CE2A3A">
        <w:rPr>
          <w:rFonts w:ascii="Book Antiqua" w:hAnsi="Book Antiqua"/>
        </w:rPr>
        <w:t xml:space="preserve">or around September 20, 2016 </w:t>
      </w:r>
      <w:r w:rsidR="00FB050B" w:rsidRPr="00CE2A3A">
        <w:rPr>
          <w:rFonts w:ascii="Book Antiqua" w:hAnsi="Book Antiqua"/>
        </w:rPr>
        <w:t xml:space="preserve">and claimed asylum </w:t>
      </w:r>
      <w:r w:rsidR="007A3ED6" w:rsidRPr="00CE2A3A">
        <w:rPr>
          <w:rFonts w:ascii="Book Antiqua" w:hAnsi="Book Antiqua"/>
        </w:rPr>
        <w:t xml:space="preserve">the </w:t>
      </w:r>
      <w:r w:rsidR="002C43E6" w:rsidRPr="00CE2A3A">
        <w:rPr>
          <w:rFonts w:ascii="Book Antiqua" w:hAnsi="Book Antiqua"/>
        </w:rPr>
        <w:t xml:space="preserve">following </w:t>
      </w:r>
      <w:r w:rsidR="007A3ED6" w:rsidRPr="00CE2A3A">
        <w:rPr>
          <w:rFonts w:ascii="Book Antiqua" w:hAnsi="Book Antiqua"/>
        </w:rPr>
        <w:t>day</w:t>
      </w:r>
      <w:r w:rsidR="003A5739" w:rsidRPr="00CE2A3A">
        <w:rPr>
          <w:rFonts w:ascii="Book Antiqua" w:hAnsi="Book Antiqua"/>
        </w:rPr>
        <w:t xml:space="preserve">. </w:t>
      </w:r>
      <w:r w:rsidR="007742F1" w:rsidRPr="00CE2A3A">
        <w:rPr>
          <w:rFonts w:ascii="Book Antiqua" w:hAnsi="Book Antiqua"/>
        </w:rPr>
        <w:t>T</w:t>
      </w:r>
      <w:r w:rsidR="003A5739" w:rsidRPr="00CE2A3A">
        <w:rPr>
          <w:rFonts w:ascii="Book Antiqua" w:hAnsi="Book Antiqua"/>
        </w:rPr>
        <w:t xml:space="preserve">he respondent refused </w:t>
      </w:r>
      <w:r w:rsidR="002C43E6" w:rsidRPr="00CE2A3A">
        <w:rPr>
          <w:rFonts w:ascii="Book Antiqua" w:hAnsi="Book Antiqua"/>
        </w:rPr>
        <w:t>her</w:t>
      </w:r>
      <w:r w:rsidR="007A3ED6" w:rsidRPr="00CE2A3A">
        <w:rPr>
          <w:rFonts w:ascii="Book Antiqua" w:hAnsi="Book Antiqua"/>
        </w:rPr>
        <w:t xml:space="preserve"> </w:t>
      </w:r>
      <w:r w:rsidR="00FB050B" w:rsidRPr="00CE2A3A">
        <w:rPr>
          <w:rFonts w:ascii="Book Antiqua" w:hAnsi="Book Antiqua"/>
        </w:rPr>
        <w:t>protection</w:t>
      </w:r>
      <w:r w:rsidR="00BE57DB" w:rsidRPr="00CE2A3A">
        <w:rPr>
          <w:rFonts w:ascii="Book Antiqua" w:hAnsi="Book Antiqua"/>
        </w:rPr>
        <w:t xml:space="preserve"> claim on </w:t>
      </w:r>
      <w:r w:rsidR="002C43E6" w:rsidRPr="00CE2A3A">
        <w:rPr>
          <w:rFonts w:ascii="Book Antiqua" w:hAnsi="Book Antiqua"/>
        </w:rPr>
        <w:t>February 16</w:t>
      </w:r>
      <w:r w:rsidR="00784A6D" w:rsidRPr="00CE2A3A">
        <w:rPr>
          <w:rFonts w:ascii="Book Antiqua" w:hAnsi="Book Antiqua"/>
        </w:rPr>
        <w:t>, 2017</w:t>
      </w:r>
      <w:r w:rsidR="007742F1" w:rsidRPr="00CE2A3A">
        <w:rPr>
          <w:rFonts w:ascii="Book Antiqua" w:hAnsi="Book Antiqua"/>
        </w:rPr>
        <w:t xml:space="preserve"> </w:t>
      </w:r>
      <w:r w:rsidR="00FB050B" w:rsidRPr="00CE2A3A">
        <w:rPr>
          <w:rFonts w:ascii="Book Antiqua" w:hAnsi="Book Antiqua"/>
        </w:rPr>
        <w:t xml:space="preserve">under paragraphs 336 and </w:t>
      </w:r>
      <w:r w:rsidR="002C43E6" w:rsidRPr="00CE2A3A">
        <w:rPr>
          <w:rFonts w:ascii="Book Antiqua" w:hAnsi="Book Antiqua"/>
        </w:rPr>
        <w:t>339M/</w:t>
      </w:r>
      <w:r w:rsidR="00FB050B" w:rsidRPr="00CE2A3A">
        <w:rPr>
          <w:rFonts w:ascii="Book Antiqua" w:hAnsi="Book Antiqua"/>
        </w:rPr>
        <w:t xml:space="preserve">339F HC 395. </w:t>
      </w:r>
      <w:r w:rsidRPr="00CE2A3A">
        <w:rPr>
          <w:rFonts w:ascii="Book Antiqua" w:hAnsi="Book Antiqua" w:cs="Arial"/>
        </w:rPr>
        <w:t xml:space="preserve">The appellant lodged grounds of appeal </w:t>
      </w:r>
      <w:r w:rsidR="00E07601" w:rsidRPr="00CE2A3A">
        <w:rPr>
          <w:rFonts w:ascii="Book Antiqua" w:hAnsi="Book Antiqua" w:cs="Arial"/>
        </w:rPr>
        <w:t xml:space="preserve">on </w:t>
      </w:r>
      <w:r w:rsidR="002C43E6" w:rsidRPr="00CE2A3A">
        <w:rPr>
          <w:rFonts w:ascii="Book Antiqua" w:hAnsi="Book Antiqua" w:cs="Arial"/>
        </w:rPr>
        <w:t>March 3</w:t>
      </w:r>
      <w:r w:rsidR="00F472AE" w:rsidRPr="00CE2A3A">
        <w:rPr>
          <w:rFonts w:ascii="Book Antiqua" w:hAnsi="Book Antiqua" w:cs="Arial"/>
        </w:rPr>
        <w:t>, 201</w:t>
      </w:r>
      <w:r w:rsidR="00784A6D" w:rsidRPr="00CE2A3A">
        <w:rPr>
          <w:rFonts w:ascii="Book Antiqua" w:hAnsi="Book Antiqua" w:cs="Arial"/>
        </w:rPr>
        <w:t>7</w:t>
      </w:r>
      <w:r w:rsidR="00E07601" w:rsidRPr="00CE2A3A">
        <w:rPr>
          <w:rFonts w:ascii="Book Antiqua" w:hAnsi="Book Antiqua" w:cs="Arial"/>
        </w:rPr>
        <w:t xml:space="preserve"> under Section 82(1) of the Nationality, Immigration and Asylum Act 2002.  </w:t>
      </w:r>
      <w:r w:rsidR="002C43E6" w:rsidRPr="00CE2A3A">
        <w:rPr>
          <w:rFonts w:ascii="Book Antiqua" w:hAnsi="Book Antiqua" w:cs="Arial"/>
        </w:rPr>
        <w:t xml:space="preserve">Her </w:t>
      </w:r>
      <w:r w:rsidR="00E07601" w:rsidRPr="00CE2A3A">
        <w:rPr>
          <w:rFonts w:ascii="Book Antiqua" w:hAnsi="Book Antiqua" w:cs="Arial"/>
        </w:rPr>
        <w:t xml:space="preserve">appeal came before </w:t>
      </w:r>
      <w:r w:rsidR="00E1324B" w:rsidRPr="00CE2A3A">
        <w:rPr>
          <w:rFonts w:ascii="Book Antiqua" w:hAnsi="Book Antiqua" w:cs="Arial"/>
        </w:rPr>
        <w:t>Judge</w:t>
      </w:r>
      <w:r w:rsidR="00E07601" w:rsidRPr="00CE2A3A">
        <w:rPr>
          <w:rFonts w:ascii="Book Antiqua" w:hAnsi="Book Antiqua" w:cs="Arial"/>
        </w:rPr>
        <w:t xml:space="preserve"> of the First-tier </w:t>
      </w:r>
      <w:r w:rsidR="00C156C3" w:rsidRPr="00CE2A3A">
        <w:rPr>
          <w:rFonts w:ascii="Book Antiqua" w:hAnsi="Book Antiqua" w:cs="Arial"/>
        </w:rPr>
        <w:t>Tribunal</w:t>
      </w:r>
      <w:r w:rsidR="00E07601" w:rsidRPr="00CE2A3A">
        <w:rPr>
          <w:rFonts w:ascii="Book Antiqua" w:hAnsi="Book Antiqua" w:cs="Arial"/>
        </w:rPr>
        <w:t xml:space="preserve"> </w:t>
      </w:r>
      <w:r w:rsidR="002C43E6" w:rsidRPr="00CE2A3A">
        <w:rPr>
          <w:rFonts w:ascii="Book Antiqua" w:hAnsi="Book Antiqua" w:cs="Arial"/>
        </w:rPr>
        <w:t xml:space="preserve">Brookfield </w:t>
      </w:r>
      <w:r w:rsidR="00442A49" w:rsidRPr="00CE2A3A">
        <w:rPr>
          <w:rFonts w:ascii="Book Antiqua" w:hAnsi="Book Antiqua" w:cs="Arial"/>
        </w:rPr>
        <w:t xml:space="preserve">(hereinafter called “the </w:t>
      </w:r>
      <w:r w:rsidR="00E1324B" w:rsidRPr="00CE2A3A">
        <w:rPr>
          <w:rFonts w:ascii="Book Antiqua" w:hAnsi="Book Antiqua" w:cs="Arial"/>
        </w:rPr>
        <w:t>Judge</w:t>
      </w:r>
      <w:r w:rsidR="00442A49" w:rsidRPr="00CE2A3A">
        <w:rPr>
          <w:rFonts w:ascii="Book Antiqua" w:hAnsi="Book Antiqua" w:cs="Arial"/>
        </w:rPr>
        <w:t xml:space="preserve">”) </w:t>
      </w:r>
      <w:r w:rsidR="00E07601" w:rsidRPr="00CE2A3A">
        <w:rPr>
          <w:rFonts w:ascii="Book Antiqua" w:hAnsi="Book Antiqua" w:cs="Arial"/>
        </w:rPr>
        <w:lastRenderedPageBreak/>
        <w:t xml:space="preserve">on </w:t>
      </w:r>
      <w:r w:rsidR="002C43E6" w:rsidRPr="00CE2A3A">
        <w:rPr>
          <w:rFonts w:ascii="Book Antiqua" w:hAnsi="Book Antiqua" w:cs="Arial"/>
        </w:rPr>
        <w:t>April 3</w:t>
      </w:r>
      <w:r w:rsidR="00941D3B" w:rsidRPr="00CE2A3A">
        <w:rPr>
          <w:rFonts w:ascii="Book Antiqua" w:hAnsi="Book Antiqua" w:cs="Arial"/>
        </w:rPr>
        <w:t>,</w:t>
      </w:r>
      <w:r w:rsidR="007742F1" w:rsidRPr="00CE2A3A">
        <w:rPr>
          <w:rFonts w:ascii="Book Antiqua" w:hAnsi="Book Antiqua" w:cs="Arial"/>
        </w:rPr>
        <w:t xml:space="preserve"> 201</w:t>
      </w:r>
      <w:r w:rsidR="00941D3B" w:rsidRPr="00CE2A3A">
        <w:rPr>
          <w:rFonts w:ascii="Book Antiqua" w:hAnsi="Book Antiqua" w:cs="Arial"/>
        </w:rPr>
        <w:t>7</w:t>
      </w:r>
      <w:r w:rsidR="00E07601" w:rsidRPr="00CE2A3A">
        <w:rPr>
          <w:rFonts w:ascii="Book Antiqua" w:hAnsi="Book Antiqua" w:cs="Arial"/>
        </w:rPr>
        <w:t xml:space="preserve"> and in a decision pro</w:t>
      </w:r>
      <w:r w:rsidR="00F90160" w:rsidRPr="00CE2A3A">
        <w:rPr>
          <w:rFonts w:ascii="Book Antiqua" w:hAnsi="Book Antiqua" w:cs="Arial"/>
        </w:rPr>
        <w:t xml:space="preserve">mulgated on </w:t>
      </w:r>
      <w:r w:rsidR="002C43E6" w:rsidRPr="00CE2A3A">
        <w:rPr>
          <w:rFonts w:ascii="Book Antiqua" w:hAnsi="Book Antiqua" w:cs="Arial"/>
        </w:rPr>
        <w:t>April 13</w:t>
      </w:r>
      <w:r w:rsidR="00BE57DB" w:rsidRPr="00CE2A3A">
        <w:rPr>
          <w:rFonts w:ascii="Book Antiqua" w:hAnsi="Book Antiqua" w:cs="Arial"/>
        </w:rPr>
        <w:t>, 2017</w:t>
      </w:r>
      <w:r w:rsidR="00F90160" w:rsidRPr="00CE2A3A">
        <w:rPr>
          <w:rFonts w:ascii="Book Antiqua" w:hAnsi="Book Antiqua" w:cs="Arial"/>
        </w:rPr>
        <w:t xml:space="preserve"> the </w:t>
      </w:r>
      <w:r w:rsidR="00E1324B" w:rsidRPr="00CE2A3A">
        <w:rPr>
          <w:rFonts w:ascii="Book Antiqua" w:hAnsi="Book Antiqua" w:cs="Arial"/>
        </w:rPr>
        <w:t>Judge</w:t>
      </w:r>
      <w:r w:rsidR="00E07601" w:rsidRPr="00CE2A3A">
        <w:rPr>
          <w:rFonts w:ascii="Book Antiqua" w:hAnsi="Book Antiqua" w:cs="Arial"/>
        </w:rPr>
        <w:t xml:space="preserve"> </w:t>
      </w:r>
      <w:r w:rsidR="002C43E6" w:rsidRPr="00CE2A3A">
        <w:rPr>
          <w:rFonts w:ascii="Book Antiqua" w:hAnsi="Book Antiqua" w:cs="Arial"/>
        </w:rPr>
        <w:t xml:space="preserve">allowed </w:t>
      </w:r>
      <w:r w:rsidR="00F472AE" w:rsidRPr="00CE2A3A">
        <w:rPr>
          <w:rFonts w:ascii="Book Antiqua" w:hAnsi="Book Antiqua" w:cs="Arial"/>
        </w:rPr>
        <w:t>the</w:t>
      </w:r>
      <w:r w:rsidR="003A5739" w:rsidRPr="00CE2A3A">
        <w:rPr>
          <w:rFonts w:ascii="Book Antiqua" w:hAnsi="Book Antiqua" w:cs="Arial"/>
        </w:rPr>
        <w:t xml:space="preserve"> </w:t>
      </w:r>
      <w:r w:rsidR="00BE57DB" w:rsidRPr="00CE2A3A">
        <w:rPr>
          <w:rFonts w:ascii="Book Antiqua" w:hAnsi="Book Antiqua" w:cs="Arial"/>
        </w:rPr>
        <w:t xml:space="preserve">appeal on </w:t>
      </w:r>
      <w:r w:rsidR="002C43E6" w:rsidRPr="00CE2A3A">
        <w:rPr>
          <w:rFonts w:ascii="Book Antiqua" w:hAnsi="Book Antiqua" w:cs="Arial"/>
        </w:rPr>
        <w:t>protection and human rights grounds</w:t>
      </w:r>
      <w:r w:rsidR="00BE57DB" w:rsidRPr="00CE2A3A">
        <w:rPr>
          <w:rFonts w:ascii="Book Antiqua" w:hAnsi="Book Antiqua" w:cs="Arial"/>
        </w:rPr>
        <w:t xml:space="preserve">. </w:t>
      </w:r>
      <w:r w:rsidR="00E07601" w:rsidRPr="00CE2A3A">
        <w:rPr>
          <w:rFonts w:ascii="Book Antiqua" w:hAnsi="Book Antiqua" w:cs="Arial"/>
        </w:rPr>
        <w:t xml:space="preserve">The </w:t>
      </w:r>
      <w:r w:rsidR="002C43E6" w:rsidRPr="00CE2A3A">
        <w:rPr>
          <w:rFonts w:ascii="Book Antiqua" w:hAnsi="Book Antiqua" w:cs="Arial"/>
        </w:rPr>
        <w:t xml:space="preserve">respondent </w:t>
      </w:r>
      <w:r w:rsidR="00E07601" w:rsidRPr="00CE2A3A">
        <w:rPr>
          <w:rFonts w:ascii="Book Antiqua" w:hAnsi="Book Antiqua" w:cs="Arial"/>
        </w:rPr>
        <w:t xml:space="preserve">appealed this decision on </w:t>
      </w:r>
      <w:r w:rsidR="002C43E6" w:rsidRPr="00CE2A3A">
        <w:rPr>
          <w:rFonts w:ascii="Book Antiqua" w:hAnsi="Book Antiqua" w:cs="Arial"/>
        </w:rPr>
        <w:t>April 27</w:t>
      </w:r>
      <w:r w:rsidR="00BE57DB" w:rsidRPr="00CE2A3A">
        <w:rPr>
          <w:rFonts w:ascii="Book Antiqua" w:hAnsi="Book Antiqua" w:cs="Arial"/>
        </w:rPr>
        <w:t>, 2017</w:t>
      </w:r>
      <w:r w:rsidR="00442A49" w:rsidRPr="00CE2A3A">
        <w:rPr>
          <w:rFonts w:ascii="Book Antiqua" w:hAnsi="Book Antiqua" w:cs="Arial"/>
        </w:rPr>
        <w:t xml:space="preserve">. Permission to appeal </w:t>
      </w:r>
      <w:r w:rsidR="00F17EF5" w:rsidRPr="00CE2A3A">
        <w:rPr>
          <w:rFonts w:ascii="Book Antiqua" w:hAnsi="Book Antiqua" w:cs="Arial"/>
        </w:rPr>
        <w:t xml:space="preserve">granted by </w:t>
      </w:r>
      <w:r w:rsidR="002C43E6" w:rsidRPr="00CE2A3A">
        <w:rPr>
          <w:rFonts w:ascii="Book Antiqua" w:hAnsi="Book Antiqua" w:cs="Arial"/>
        </w:rPr>
        <w:t xml:space="preserve">Judge of the First-tier Tribunal Robertson </w:t>
      </w:r>
      <w:r w:rsidR="00F17EF5" w:rsidRPr="00CE2A3A">
        <w:rPr>
          <w:rFonts w:ascii="Book Antiqua" w:hAnsi="Book Antiqua" w:cs="Arial"/>
        </w:rPr>
        <w:t xml:space="preserve">who found it arguable </w:t>
      </w:r>
      <w:r w:rsidR="007742F1" w:rsidRPr="00CE2A3A">
        <w:rPr>
          <w:rFonts w:ascii="Book Antiqua" w:hAnsi="Book Antiqua" w:cs="Arial"/>
        </w:rPr>
        <w:t xml:space="preserve">the </w:t>
      </w:r>
      <w:r w:rsidR="00E1324B" w:rsidRPr="00CE2A3A">
        <w:rPr>
          <w:rFonts w:ascii="Book Antiqua" w:hAnsi="Book Antiqua" w:cs="Arial"/>
        </w:rPr>
        <w:t>Judge</w:t>
      </w:r>
      <w:r w:rsidR="007742F1" w:rsidRPr="00CE2A3A">
        <w:rPr>
          <w:rFonts w:ascii="Book Antiqua" w:hAnsi="Book Antiqua" w:cs="Arial"/>
        </w:rPr>
        <w:t xml:space="preserve"> erred </w:t>
      </w:r>
      <w:r w:rsidR="002C43E6" w:rsidRPr="00CE2A3A">
        <w:rPr>
          <w:rFonts w:ascii="Book Antiqua" w:hAnsi="Book Antiqua" w:cs="Arial"/>
        </w:rPr>
        <w:t xml:space="preserve">in her approach to </w:t>
      </w:r>
      <w:r w:rsidR="002C43E6" w:rsidRPr="00CE2A3A">
        <w:rPr>
          <w:rFonts w:ascii="Book Antiqua" w:hAnsi="Book Antiqua" w:cs="Arial"/>
          <w:u w:val="single"/>
        </w:rPr>
        <w:t>HJ (Iran) [2010] UKSC 10</w:t>
      </w:r>
      <w:r w:rsidR="002C43E6" w:rsidRPr="00CE2A3A">
        <w:rPr>
          <w:rFonts w:ascii="Book Antiqua" w:hAnsi="Book Antiqua" w:cs="Arial"/>
        </w:rPr>
        <w:t xml:space="preserve"> and (b) by failing to give adequate reasons for finding she was a genuine Christian. </w:t>
      </w:r>
      <w:r w:rsidR="00F17EF5" w:rsidRPr="00CE2A3A">
        <w:rPr>
          <w:rFonts w:ascii="Book Antiqua" w:hAnsi="Book Antiqua" w:cs="Arial"/>
        </w:rPr>
        <w:t xml:space="preserve">This matter </w:t>
      </w:r>
      <w:r w:rsidR="00941D3B" w:rsidRPr="00CE2A3A">
        <w:rPr>
          <w:rFonts w:ascii="Book Antiqua" w:hAnsi="Book Antiqua" w:cs="Arial"/>
        </w:rPr>
        <w:t>came</w:t>
      </w:r>
      <w:r w:rsidR="00F17EF5" w:rsidRPr="00CE2A3A">
        <w:rPr>
          <w:rFonts w:ascii="Book Antiqua" w:hAnsi="Book Antiqua" w:cs="Arial"/>
        </w:rPr>
        <w:t xml:space="preserve"> before me on </w:t>
      </w:r>
      <w:r w:rsidR="00CE2A3A">
        <w:rPr>
          <w:rFonts w:ascii="Book Antiqua" w:hAnsi="Book Antiqua" w:cs="Arial"/>
        </w:rPr>
        <w:t xml:space="preserve">March 26, 2018 </w:t>
      </w:r>
      <w:r w:rsidR="00784A6D" w:rsidRPr="00CE2A3A">
        <w:rPr>
          <w:rFonts w:ascii="Book Antiqua" w:hAnsi="Book Antiqua" w:cs="Arial"/>
        </w:rPr>
        <w:t>when I heard submis</w:t>
      </w:r>
      <w:r w:rsidR="00E85A3B">
        <w:rPr>
          <w:rFonts w:ascii="Book Antiqua" w:hAnsi="Book Antiqua" w:cs="Arial"/>
        </w:rPr>
        <w:t>sions from the representatives.</w:t>
      </w:r>
    </w:p>
    <w:p w:rsidR="00CE2A3A" w:rsidRDefault="00CE2A3A" w:rsidP="00D0571F">
      <w:pPr>
        <w:numPr>
          <w:ilvl w:val="0"/>
          <w:numId w:val="3"/>
        </w:numPr>
        <w:spacing w:before="240"/>
        <w:jc w:val="both"/>
        <w:rPr>
          <w:rFonts w:ascii="Book Antiqua" w:hAnsi="Book Antiqua" w:cs="Arial"/>
        </w:rPr>
      </w:pPr>
      <w:r>
        <w:rPr>
          <w:rFonts w:ascii="Book Antiqua" w:hAnsi="Book Antiqua" w:cs="Arial"/>
        </w:rPr>
        <w:t>Having heard those submissions, I concluded:</w:t>
      </w:r>
    </w:p>
    <w:p w:rsidR="00CE2A3A" w:rsidRDefault="00CE2A3A" w:rsidP="00CE2A3A">
      <w:pPr>
        <w:numPr>
          <w:ilvl w:val="1"/>
          <w:numId w:val="3"/>
        </w:numPr>
        <w:spacing w:before="240"/>
        <w:jc w:val="both"/>
        <w:rPr>
          <w:rFonts w:ascii="Book Antiqua" w:hAnsi="Book Antiqua" w:cs="Arial"/>
        </w:rPr>
      </w:pPr>
      <w:r>
        <w:rPr>
          <w:rFonts w:ascii="Book Antiqua" w:hAnsi="Book Antiqua" w:cs="Arial"/>
        </w:rPr>
        <w:t>The Judge’s finding that the appellant was a genuine Christian convert who had been regularly attending church services in the United Kingdom was open to the Judge.</w:t>
      </w:r>
    </w:p>
    <w:p w:rsidR="00CE2A3A" w:rsidRDefault="00CE2A3A" w:rsidP="00CE2A3A">
      <w:pPr>
        <w:numPr>
          <w:ilvl w:val="1"/>
          <w:numId w:val="3"/>
        </w:numPr>
        <w:spacing w:before="240"/>
        <w:jc w:val="both"/>
        <w:rPr>
          <w:rFonts w:ascii="Book Antiqua" w:hAnsi="Book Antiqua" w:cs="Arial"/>
        </w:rPr>
      </w:pPr>
      <w:r>
        <w:rPr>
          <w:rFonts w:ascii="Book Antiqua" w:hAnsi="Book Antiqua" w:cs="Arial"/>
        </w:rPr>
        <w:t>The policy guidance made clear that Christian convert cases have to be assessed on a case-by-case basis. The fact the appellant had turned to Christianity did not necessarily mean she would follow that faith in Iran, if returned, because the Judge’s conclusion was she had only started her faith in this country. There had to be an assessment as to whether or not the appellant would follow her new religion in Iran and if she wanted to follow the religion what would happen to her. The Judge had not undertaken this assessment and there</w:t>
      </w:r>
      <w:r w:rsidR="00E85A3B">
        <w:rPr>
          <w:rFonts w:ascii="Book Antiqua" w:hAnsi="Book Antiqua" w:cs="Arial"/>
        </w:rPr>
        <w:t xml:space="preserve"> was therefore an error in law.</w:t>
      </w:r>
    </w:p>
    <w:p w:rsidR="00011A46" w:rsidRDefault="00CE2A3A" w:rsidP="00F17EF5">
      <w:pPr>
        <w:numPr>
          <w:ilvl w:val="0"/>
          <w:numId w:val="3"/>
        </w:numPr>
        <w:spacing w:before="240"/>
        <w:jc w:val="both"/>
        <w:rPr>
          <w:rFonts w:ascii="Book Antiqua" w:hAnsi="Book Antiqua" w:cs="Arial"/>
        </w:rPr>
      </w:pPr>
      <w:r>
        <w:rPr>
          <w:rFonts w:ascii="Book Antiqua" w:hAnsi="Book Antiqua" w:cs="Arial"/>
        </w:rPr>
        <w:t>I directed the case be listed before myself and that these issues could be addressed</w:t>
      </w:r>
      <w:r w:rsidR="00250DA6">
        <w:rPr>
          <w:rFonts w:ascii="Book Antiqua" w:hAnsi="Book Antiqua" w:cs="Arial"/>
        </w:rPr>
        <w:t xml:space="preserve"> at the resumed hearing</w:t>
      </w:r>
      <w:r w:rsidR="00E85A3B">
        <w:rPr>
          <w:rFonts w:ascii="Book Antiqua" w:hAnsi="Book Antiqua" w:cs="Arial"/>
        </w:rPr>
        <w:t>.</w:t>
      </w:r>
    </w:p>
    <w:p w:rsidR="00250DA6" w:rsidRDefault="00CE2A3A" w:rsidP="00F17EF5">
      <w:pPr>
        <w:numPr>
          <w:ilvl w:val="0"/>
          <w:numId w:val="3"/>
        </w:numPr>
        <w:spacing w:before="240"/>
        <w:jc w:val="both"/>
        <w:rPr>
          <w:rFonts w:ascii="Book Antiqua" w:hAnsi="Book Antiqua" w:cs="Arial"/>
        </w:rPr>
      </w:pPr>
      <w:r>
        <w:rPr>
          <w:rFonts w:ascii="Book Antiqua" w:hAnsi="Book Antiqua" w:cs="Arial"/>
        </w:rPr>
        <w:t xml:space="preserve">At today’s hearing the appellant adopted her recent witness statement and gave oral evidence. She stated that she had now disclosed her religion to her two siblings who continued to live in Iran and whilst they were </w:t>
      </w:r>
      <w:r w:rsidR="00250DA6">
        <w:rPr>
          <w:rFonts w:ascii="Book Antiqua" w:hAnsi="Book Antiqua" w:cs="Arial"/>
        </w:rPr>
        <w:t xml:space="preserve">initially </w:t>
      </w:r>
      <w:r>
        <w:rPr>
          <w:rFonts w:ascii="Book Antiqua" w:hAnsi="Book Antiqua" w:cs="Arial"/>
        </w:rPr>
        <w:t>unhappy they now respected her choice. She explained that she had evangelised in the United Kingdom by approaching people and asking them whether they worshipped God and en</w:t>
      </w:r>
      <w:r w:rsidR="00E85A3B">
        <w:rPr>
          <w:rFonts w:ascii="Book Antiqua" w:hAnsi="Book Antiqua" w:cs="Arial"/>
        </w:rPr>
        <w:t>couraged them to attend church.</w:t>
      </w:r>
    </w:p>
    <w:p w:rsidR="00250DA6" w:rsidRDefault="00250DA6" w:rsidP="00F17EF5">
      <w:pPr>
        <w:numPr>
          <w:ilvl w:val="0"/>
          <w:numId w:val="3"/>
        </w:numPr>
        <w:spacing w:before="240"/>
        <w:jc w:val="both"/>
        <w:rPr>
          <w:rFonts w:ascii="Book Antiqua" w:hAnsi="Book Antiqua" w:cs="Arial"/>
        </w:rPr>
      </w:pPr>
      <w:r>
        <w:rPr>
          <w:rFonts w:ascii="Book Antiqua" w:hAnsi="Book Antiqua" w:cs="Arial"/>
        </w:rPr>
        <w:t xml:space="preserve">The appellant </w:t>
      </w:r>
      <w:r w:rsidR="00CE2A3A">
        <w:rPr>
          <w:rFonts w:ascii="Book Antiqua" w:hAnsi="Book Antiqua" w:cs="Arial"/>
        </w:rPr>
        <w:t xml:space="preserve">accepted that none of the people she had approached had attended the hearing </w:t>
      </w:r>
      <w:r>
        <w:rPr>
          <w:rFonts w:ascii="Book Antiqua" w:hAnsi="Book Antiqua" w:cs="Arial"/>
        </w:rPr>
        <w:t xml:space="preserve">but </w:t>
      </w:r>
      <w:r w:rsidR="00CE2A3A">
        <w:rPr>
          <w:rFonts w:ascii="Book Antiqua" w:hAnsi="Book Antiqua" w:cs="Arial"/>
        </w:rPr>
        <w:t>she named two people</w:t>
      </w:r>
      <w:r w:rsidR="00627397">
        <w:rPr>
          <w:rFonts w:ascii="Book Antiqua" w:hAnsi="Book Antiqua" w:cs="Arial"/>
        </w:rPr>
        <w:t xml:space="preserve"> whom she had evangelised to. One of </w:t>
      </w:r>
      <w:r>
        <w:rPr>
          <w:rFonts w:ascii="Book Antiqua" w:hAnsi="Book Antiqua" w:cs="Arial"/>
        </w:rPr>
        <w:t xml:space="preserve">them </w:t>
      </w:r>
      <w:r w:rsidR="00627397">
        <w:rPr>
          <w:rFonts w:ascii="Book Antiqua" w:hAnsi="Book Antiqua" w:cs="Arial"/>
        </w:rPr>
        <w:t>shared accommodation with her and the other was someone who attended English classes. She also stated that she had approached people in the park and spoken to them about Jesus Christ and she believed her min</w:t>
      </w:r>
      <w:r w:rsidR="00E85A3B">
        <w:rPr>
          <w:rFonts w:ascii="Book Antiqua" w:hAnsi="Book Antiqua" w:cs="Arial"/>
        </w:rPr>
        <w:t>ister was aware of her actions.</w:t>
      </w:r>
    </w:p>
    <w:p w:rsidR="00CE2A3A" w:rsidRDefault="00627397" w:rsidP="00F17EF5">
      <w:pPr>
        <w:numPr>
          <w:ilvl w:val="0"/>
          <w:numId w:val="3"/>
        </w:numPr>
        <w:spacing w:before="240"/>
        <w:jc w:val="both"/>
        <w:rPr>
          <w:rFonts w:ascii="Book Antiqua" w:hAnsi="Book Antiqua" w:cs="Arial"/>
        </w:rPr>
      </w:pPr>
      <w:r>
        <w:rPr>
          <w:rFonts w:ascii="Book Antiqua" w:hAnsi="Book Antiqua" w:cs="Arial"/>
        </w:rPr>
        <w:t xml:space="preserve">When asked how she would behave in Iran she stated that she would not turn away from Christianity because Jesus Christ had helped her a lot and gave her </w:t>
      </w:r>
      <w:r w:rsidR="00250DA6">
        <w:rPr>
          <w:rFonts w:ascii="Book Antiqua" w:hAnsi="Book Antiqua" w:cs="Arial"/>
        </w:rPr>
        <w:t xml:space="preserve">peace </w:t>
      </w:r>
      <w:r>
        <w:rPr>
          <w:rFonts w:ascii="Book Antiqua" w:hAnsi="Book Antiqua" w:cs="Arial"/>
        </w:rPr>
        <w:t xml:space="preserve">which her former religion did not. She stated that she would attend church and continue to wear the crucifix which she </w:t>
      </w:r>
      <w:r w:rsidR="00250DA6">
        <w:rPr>
          <w:rFonts w:ascii="Book Antiqua" w:hAnsi="Book Antiqua" w:cs="Arial"/>
        </w:rPr>
        <w:t xml:space="preserve">wore </w:t>
      </w:r>
      <w:r>
        <w:rPr>
          <w:rFonts w:ascii="Book Antiqua" w:hAnsi="Book Antiqua" w:cs="Arial"/>
        </w:rPr>
        <w:t>today.</w:t>
      </w:r>
    </w:p>
    <w:p w:rsidR="00250DA6" w:rsidRDefault="00627397" w:rsidP="00F17EF5">
      <w:pPr>
        <w:numPr>
          <w:ilvl w:val="0"/>
          <w:numId w:val="3"/>
        </w:numPr>
        <w:spacing w:before="240"/>
        <w:jc w:val="both"/>
        <w:rPr>
          <w:rFonts w:ascii="Book Antiqua" w:hAnsi="Book Antiqua" w:cs="Arial"/>
        </w:rPr>
      </w:pPr>
      <w:r>
        <w:rPr>
          <w:rFonts w:ascii="Book Antiqua" w:hAnsi="Book Antiqua" w:cs="Arial"/>
        </w:rPr>
        <w:t xml:space="preserve">Rev McEwan adopted a brief letter that he had provided. He was standing in for the current minister who was on a three-month sabbatical and had previously been the Minister of Bury Baptist Church until he retired in 2009. Whilst the present incumbent was away he dealt with </w:t>
      </w:r>
      <w:r w:rsidR="00E85A3B">
        <w:rPr>
          <w:rFonts w:ascii="Book Antiqua" w:hAnsi="Book Antiqua" w:cs="Arial"/>
        </w:rPr>
        <w:t>pastoral matters as they arose.</w:t>
      </w:r>
    </w:p>
    <w:p w:rsidR="00627397" w:rsidRDefault="00627397" w:rsidP="00F17EF5">
      <w:pPr>
        <w:numPr>
          <w:ilvl w:val="0"/>
          <w:numId w:val="3"/>
        </w:numPr>
        <w:spacing w:before="240"/>
        <w:jc w:val="both"/>
        <w:rPr>
          <w:rFonts w:ascii="Book Antiqua" w:hAnsi="Book Antiqua" w:cs="Arial"/>
        </w:rPr>
      </w:pPr>
      <w:r>
        <w:rPr>
          <w:rFonts w:ascii="Book Antiqua" w:hAnsi="Book Antiqua" w:cs="Arial"/>
        </w:rPr>
        <w:lastRenderedPageBreak/>
        <w:t xml:space="preserve">In oral evidence he stated that his involvement with the appellant was mainly what he saw at services on a Sunday but he had seen her in English classes and noted that she often spoke of her faith during such classes. He was of the opinion that evangelising was a requirement of their religion and this meant speaking to people about Jesus Christ </w:t>
      </w:r>
      <w:r w:rsidR="00250DA6">
        <w:rPr>
          <w:rFonts w:ascii="Book Antiqua" w:hAnsi="Book Antiqua" w:cs="Arial"/>
        </w:rPr>
        <w:t xml:space="preserve">be that in </w:t>
      </w:r>
      <w:r>
        <w:rPr>
          <w:rFonts w:ascii="Book Antiqua" w:hAnsi="Book Antiqua" w:cs="Arial"/>
        </w:rPr>
        <w:t>the classroom</w:t>
      </w:r>
      <w:r w:rsidR="00250DA6">
        <w:rPr>
          <w:rFonts w:ascii="Book Antiqua" w:hAnsi="Book Antiqua" w:cs="Arial"/>
        </w:rPr>
        <w:t>, in public or at social events</w:t>
      </w:r>
      <w:r>
        <w:rPr>
          <w:rFonts w:ascii="Book Antiqua" w:hAnsi="Book Antiqua" w:cs="Arial"/>
        </w:rPr>
        <w:t>. He was unfamiliar with the two people she named but he pointed out that he was standing in for the current minister who he had not had any contact with because he was on a sabbatical.</w:t>
      </w:r>
    </w:p>
    <w:p w:rsidR="00627397" w:rsidRDefault="00627397" w:rsidP="00F17EF5">
      <w:pPr>
        <w:numPr>
          <w:ilvl w:val="0"/>
          <w:numId w:val="3"/>
        </w:numPr>
        <w:spacing w:before="240"/>
        <w:jc w:val="both"/>
        <w:rPr>
          <w:rFonts w:ascii="Book Antiqua" w:hAnsi="Book Antiqua" w:cs="Arial"/>
        </w:rPr>
      </w:pPr>
      <w:r>
        <w:rPr>
          <w:rFonts w:ascii="Book Antiqua" w:hAnsi="Book Antiqua" w:cs="Arial"/>
        </w:rPr>
        <w:t xml:space="preserve">In closing submissions Mr Bates agreed the issue was a narrow issue and ultimately the Tribunal would have to decide whether or not she would be at risk applying the guidance in </w:t>
      </w:r>
      <w:r w:rsidRPr="00CE2A3A">
        <w:rPr>
          <w:rFonts w:ascii="Book Antiqua" w:hAnsi="Book Antiqua" w:cs="Arial"/>
          <w:u w:val="single"/>
        </w:rPr>
        <w:t>HJ (Iran) [2010] UKSC 10</w:t>
      </w:r>
      <w:r>
        <w:rPr>
          <w:rFonts w:ascii="Book Antiqua" w:hAnsi="Book Antiqua" w:cs="Arial"/>
        </w:rPr>
        <w:t>. He acknowledged that she had stated she had evangelised and had named two people</w:t>
      </w:r>
      <w:r w:rsidR="00E24A08">
        <w:rPr>
          <w:rFonts w:ascii="Book Antiqua" w:hAnsi="Book Antiqua" w:cs="Arial"/>
        </w:rPr>
        <w:t xml:space="preserve"> but pointed out there was no supporting evidence in circumstances where evidence potentially could have been caused. He submitted the Tribunal would have to consider whether she would continue to follow her religion in the same way in Iran and if she did whether that would bring her to the attention of the authorities.</w:t>
      </w:r>
    </w:p>
    <w:p w:rsidR="00E24A08" w:rsidRDefault="00E24A08" w:rsidP="00F17EF5">
      <w:pPr>
        <w:numPr>
          <w:ilvl w:val="0"/>
          <w:numId w:val="3"/>
        </w:numPr>
        <w:spacing w:before="240"/>
        <w:jc w:val="both"/>
        <w:rPr>
          <w:rFonts w:ascii="Book Antiqua" w:hAnsi="Book Antiqua" w:cs="Arial"/>
        </w:rPr>
      </w:pPr>
      <w:r>
        <w:rPr>
          <w:rFonts w:ascii="Book Antiqua" w:hAnsi="Book Antiqua" w:cs="Arial"/>
        </w:rPr>
        <w:t>Ms John</w:t>
      </w:r>
      <w:r w:rsidR="00250DA6">
        <w:rPr>
          <w:rFonts w:ascii="Book Antiqua" w:hAnsi="Book Antiqua" w:cs="Arial"/>
        </w:rPr>
        <w:t>r</w:t>
      </w:r>
      <w:r>
        <w:rPr>
          <w:rFonts w:ascii="Book Antiqua" w:hAnsi="Book Antiqua" w:cs="Arial"/>
        </w:rPr>
        <w:t xml:space="preserve">ose relied on her skeleton argument together with the evidence of Rev McEwan and the letters of support from Rev Bradford and Mr Tweedale. She submitted the evidence before the Tribunal demonstrated that the appellant would evangelise were she to be returned and the only reason she would not is through fear of persecution. She referred to paragraph 24 of </w:t>
      </w:r>
      <w:r>
        <w:rPr>
          <w:rFonts w:ascii="Book Antiqua" w:hAnsi="Book Antiqua" w:cs="Arial"/>
          <w:u w:val="single"/>
        </w:rPr>
        <w:t>SA (Iran), R (on the application of) v Secretary of State for the Home Department</w:t>
      </w:r>
      <w:r w:rsidRPr="00E24A08">
        <w:rPr>
          <w:rFonts w:ascii="Book Antiqua" w:hAnsi="Book Antiqua" w:cs="Arial"/>
        </w:rPr>
        <w:t xml:space="preserve"> [2012] EWHC 2575 (Admin)</w:t>
      </w:r>
      <w:r>
        <w:rPr>
          <w:rFonts w:ascii="Book Antiqua" w:hAnsi="Book Antiqua" w:cs="Arial"/>
        </w:rPr>
        <w:t xml:space="preserve"> in which the Court pointed out that being an active participant in a church in which evangelising is a requirement would be viewed as apostasy in Iran.</w:t>
      </w:r>
    </w:p>
    <w:p w:rsidR="00E24A08" w:rsidRPr="00E24A08" w:rsidRDefault="00E24A08" w:rsidP="00E24A08">
      <w:pPr>
        <w:spacing w:before="240"/>
        <w:ind w:left="567"/>
        <w:jc w:val="both"/>
        <w:rPr>
          <w:rFonts w:ascii="Book Antiqua" w:hAnsi="Book Antiqua" w:cs="Arial"/>
        </w:rPr>
      </w:pPr>
      <w:r>
        <w:rPr>
          <w:rFonts w:ascii="Book Antiqua" w:hAnsi="Book Antiqua" w:cs="Arial"/>
          <w:b/>
          <w:u w:val="single"/>
        </w:rPr>
        <w:t>FINDINGS</w:t>
      </w:r>
    </w:p>
    <w:p w:rsidR="00E24A08" w:rsidRDefault="00E24A08" w:rsidP="00F17EF5">
      <w:pPr>
        <w:numPr>
          <w:ilvl w:val="0"/>
          <w:numId w:val="3"/>
        </w:numPr>
        <w:spacing w:before="240"/>
        <w:jc w:val="both"/>
        <w:rPr>
          <w:rFonts w:ascii="Book Antiqua" w:hAnsi="Book Antiqua" w:cs="Arial"/>
        </w:rPr>
      </w:pPr>
      <w:r>
        <w:rPr>
          <w:rFonts w:ascii="Book Antiqua" w:hAnsi="Book Antiqua" w:cs="Arial"/>
        </w:rPr>
        <w:t>The issues in today’s appeal were narrow in that the previous Judge had accepted she was a genuine convert. I had been unable to conclude this appeal when this case last appeared before me because there was no interpreter booked and the Minister was also not in attendance. I directed that statements be filed addressing the issue of evangelism and how the appellant would behave were she to be returned to Iran.</w:t>
      </w:r>
    </w:p>
    <w:p w:rsidR="00250DA6" w:rsidRDefault="00E24A08" w:rsidP="00F17EF5">
      <w:pPr>
        <w:numPr>
          <w:ilvl w:val="0"/>
          <w:numId w:val="3"/>
        </w:numPr>
        <w:spacing w:before="240"/>
        <w:jc w:val="both"/>
        <w:rPr>
          <w:rFonts w:ascii="Book Antiqua" w:hAnsi="Book Antiqua" w:cs="Arial"/>
        </w:rPr>
      </w:pPr>
      <w:r>
        <w:rPr>
          <w:rFonts w:ascii="Book Antiqua" w:hAnsi="Book Antiqua" w:cs="Arial"/>
        </w:rPr>
        <w:t xml:space="preserve">Whilst there were no </w:t>
      </w:r>
      <w:r w:rsidR="00250DA6">
        <w:rPr>
          <w:rFonts w:ascii="Book Antiqua" w:hAnsi="Book Antiqua" w:cs="Arial"/>
        </w:rPr>
        <w:t xml:space="preserve">lay </w:t>
      </w:r>
      <w:r>
        <w:rPr>
          <w:rFonts w:ascii="Book Antiqua" w:hAnsi="Book Antiqua" w:cs="Arial"/>
        </w:rPr>
        <w:t>witnesses in attendance I take into account the fact that the Judge previously found the appellant to be a credible witness with regard to her conversion to Christianity. She attended the hearing wearing a crucifix and made it clear that she evange</w:t>
      </w:r>
      <w:r w:rsidR="00E85A3B">
        <w:rPr>
          <w:rFonts w:ascii="Book Antiqua" w:hAnsi="Book Antiqua" w:cs="Arial"/>
        </w:rPr>
        <w:t>lised in public and in private.</w:t>
      </w:r>
    </w:p>
    <w:p w:rsidR="00E24A08" w:rsidRPr="00250DA6" w:rsidRDefault="00E24A08" w:rsidP="00D0571F">
      <w:pPr>
        <w:numPr>
          <w:ilvl w:val="0"/>
          <w:numId w:val="3"/>
        </w:numPr>
        <w:spacing w:before="240"/>
        <w:jc w:val="both"/>
        <w:rPr>
          <w:rFonts w:ascii="Book Antiqua" w:hAnsi="Book Antiqua" w:cs="Arial"/>
        </w:rPr>
      </w:pPr>
      <w:r w:rsidRPr="00250DA6">
        <w:rPr>
          <w:rFonts w:ascii="Book Antiqua" w:hAnsi="Book Antiqua" w:cs="Arial"/>
        </w:rPr>
        <w:t>Rev McEwan confirmed that he had observed the appellant speaking of her faith both in classes and at a social gathering that he had himself attended. The appellant told me that if she were returned to Iran she would continue to follow Christianity and attend church. She made it clear that she wanted to continue evangelising</w:t>
      </w:r>
      <w:r w:rsidR="00250DA6">
        <w:rPr>
          <w:rFonts w:ascii="Book Antiqua" w:hAnsi="Book Antiqua" w:cs="Arial"/>
        </w:rPr>
        <w:t>.</w:t>
      </w:r>
    </w:p>
    <w:p w:rsidR="00E24A08" w:rsidRPr="00250DA6" w:rsidRDefault="00E24A08" w:rsidP="00D0571F">
      <w:pPr>
        <w:numPr>
          <w:ilvl w:val="0"/>
          <w:numId w:val="3"/>
        </w:numPr>
        <w:spacing w:before="240"/>
        <w:jc w:val="both"/>
        <w:rPr>
          <w:rFonts w:ascii="Book Antiqua" w:hAnsi="Book Antiqua" w:cs="Arial"/>
        </w:rPr>
      </w:pPr>
      <w:r w:rsidRPr="00250DA6">
        <w:rPr>
          <w:rFonts w:ascii="Book Antiqua" w:hAnsi="Book Antiqua" w:cs="Arial"/>
        </w:rPr>
        <w:t xml:space="preserve">The country evidence is not disputed. A Christian convert who wants to evangelise will be at risk of persecution and/or serious harm in Iran. The respondent’s own guidance confirms this as does the decision of </w:t>
      </w:r>
      <w:r w:rsidRPr="00250DA6">
        <w:rPr>
          <w:rFonts w:ascii="Book Antiqua" w:hAnsi="Book Antiqua" w:cs="Arial"/>
          <w:u w:val="single"/>
        </w:rPr>
        <w:t>SA</w:t>
      </w:r>
      <w:r w:rsidRPr="00250DA6">
        <w:rPr>
          <w:rFonts w:ascii="Book Antiqua" w:hAnsi="Book Antiqua" w:cs="Arial"/>
        </w:rPr>
        <w:t>. Mr Bates made it clear that if I accepted what the appellant said she would be at risk of persecution.</w:t>
      </w:r>
    </w:p>
    <w:p w:rsidR="00250DA6" w:rsidRDefault="00E24A08" w:rsidP="00F17EF5">
      <w:pPr>
        <w:numPr>
          <w:ilvl w:val="0"/>
          <w:numId w:val="3"/>
        </w:numPr>
        <w:spacing w:before="240"/>
        <w:jc w:val="both"/>
        <w:rPr>
          <w:rFonts w:ascii="Book Antiqua" w:hAnsi="Book Antiqua" w:cs="Arial"/>
        </w:rPr>
      </w:pPr>
      <w:r>
        <w:rPr>
          <w:rFonts w:ascii="Book Antiqua" w:hAnsi="Book Antiqua" w:cs="Arial"/>
        </w:rPr>
        <w:lastRenderedPageBreak/>
        <w:t>Having considered the oral and written evidence provided by the appellant and the witnesses on her behalf I am satisfied that</w:t>
      </w:r>
      <w:r w:rsidR="00250DA6">
        <w:rPr>
          <w:rFonts w:ascii="Book Antiqua" w:hAnsi="Book Antiqua" w:cs="Arial"/>
        </w:rPr>
        <w:t xml:space="preserve"> not only is she a genuine convert but that she would be at risk of persecution or serious harm in Iran because she would want to continue to follow her religion in much the same way as she had been doing since converting. She had been moved from Preston to Bury and had continued to follow her religion and to evangelise. The only reason she could not evangelise in Iran </w:t>
      </w:r>
      <w:r w:rsidR="00E85A3B">
        <w:rPr>
          <w:rFonts w:ascii="Book Antiqua" w:hAnsi="Book Antiqua" w:cs="Arial"/>
        </w:rPr>
        <w:t>would be a fear of persecution.</w:t>
      </w:r>
    </w:p>
    <w:p w:rsidR="00E24A08" w:rsidRPr="00C65DBA" w:rsidRDefault="00250DA6" w:rsidP="00D0571F">
      <w:pPr>
        <w:numPr>
          <w:ilvl w:val="0"/>
          <w:numId w:val="3"/>
        </w:numPr>
        <w:spacing w:before="240"/>
        <w:jc w:val="both"/>
        <w:rPr>
          <w:rFonts w:ascii="Book Antiqua" w:hAnsi="Book Antiqua" w:cs="Arial"/>
        </w:rPr>
      </w:pPr>
      <w:r w:rsidRPr="00C65DBA">
        <w:rPr>
          <w:rFonts w:ascii="Book Antiqua" w:hAnsi="Book Antiqua" w:cs="Arial"/>
        </w:rPr>
        <w:t xml:space="preserve">In such circumstances the appellant is entitled to refugee status as to return </w:t>
      </w:r>
      <w:r w:rsidR="00253F98">
        <w:rPr>
          <w:rFonts w:ascii="Book Antiqua" w:hAnsi="Book Antiqua" w:cs="Arial"/>
        </w:rPr>
        <w:t>her</w:t>
      </w:r>
      <w:r w:rsidRPr="00C65DBA">
        <w:rPr>
          <w:rFonts w:ascii="Book Antiqua" w:hAnsi="Book Antiqua" w:cs="Arial"/>
        </w:rPr>
        <w:t xml:space="preserve"> to Iran would place at risk of persecution. In addition, returning her would place </w:t>
      </w:r>
      <w:r w:rsidR="00253F98">
        <w:rPr>
          <w:rFonts w:ascii="Book Antiqua" w:hAnsi="Book Antiqua" w:cs="Arial"/>
        </w:rPr>
        <w:t>her</w:t>
      </w:r>
      <w:r w:rsidRPr="00C65DBA">
        <w:rPr>
          <w:rFonts w:ascii="Book Antiqua" w:hAnsi="Book Antiqua" w:cs="Arial"/>
        </w:rPr>
        <w:t xml:space="preserve"> at risk of serious harm contrary to article 3 ECHR.</w:t>
      </w:r>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9C37C7" w:rsidRDefault="009C37C7" w:rsidP="00911478">
      <w:pPr>
        <w:numPr>
          <w:ilvl w:val="0"/>
          <w:numId w:val="3"/>
        </w:numPr>
        <w:spacing w:before="240"/>
        <w:jc w:val="both"/>
        <w:rPr>
          <w:rFonts w:ascii="Book Antiqua" w:hAnsi="Book Antiqua" w:cs="Arial"/>
        </w:rPr>
      </w:pPr>
      <w:r>
        <w:rPr>
          <w:rFonts w:ascii="Book Antiqua" w:hAnsi="Book Antiqua" w:cs="Arial"/>
        </w:rPr>
        <w:t xml:space="preserve">The making of the decision of the First-tier </w:t>
      </w:r>
      <w:r w:rsidR="00C156C3">
        <w:rPr>
          <w:rFonts w:ascii="Book Antiqua" w:hAnsi="Book Antiqua" w:cs="Arial"/>
        </w:rPr>
        <w:t>Tribunal</w:t>
      </w:r>
      <w:r>
        <w:rPr>
          <w:rFonts w:ascii="Book Antiqua" w:hAnsi="Book Antiqua" w:cs="Arial"/>
        </w:rPr>
        <w:t xml:space="preserve"> did involve the making of an error on a point of law</w:t>
      </w:r>
      <w:r w:rsidR="006F6265">
        <w:rPr>
          <w:rFonts w:ascii="Book Antiqua" w:hAnsi="Book Antiqua" w:cs="Arial"/>
        </w:rPr>
        <w:t xml:space="preserve"> as set out</w:t>
      </w:r>
      <w:r w:rsidR="00250DA6">
        <w:rPr>
          <w:rFonts w:ascii="Book Antiqua" w:hAnsi="Book Antiqua" w:cs="Arial"/>
        </w:rPr>
        <w:t xml:space="preserve"> previously</w:t>
      </w:r>
      <w:r w:rsidR="006F6265">
        <w:rPr>
          <w:rFonts w:ascii="Book Antiqua" w:hAnsi="Book Antiqua" w:cs="Arial"/>
        </w:rPr>
        <w:t>.</w:t>
      </w:r>
    </w:p>
    <w:p w:rsidR="006F6265" w:rsidRDefault="00250DA6" w:rsidP="00911478">
      <w:pPr>
        <w:numPr>
          <w:ilvl w:val="0"/>
          <w:numId w:val="3"/>
        </w:numPr>
        <w:spacing w:before="240"/>
        <w:jc w:val="both"/>
        <w:rPr>
          <w:rFonts w:ascii="Book Antiqua" w:hAnsi="Book Antiqua" w:cs="Arial"/>
        </w:rPr>
      </w:pPr>
      <w:r>
        <w:rPr>
          <w:rFonts w:ascii="Book Antiqua" w:hAnsi="Book Antiqua" w:cs="Arial"/>
        </w:rPr>
        <w:t>I remake the protection and human rights decision and allow this appeal on protection grounds and under article 3 ECHR.</w:t>
      </w:r>
    </w:p>
    <w:p w:rsidR="00864126" w:rsidRDefault="00864126" w:rsidP="000369F5">
      <w:pPr>
        <w:tabs>
          <w:tab w:val="left" w:pos="2520"/>
        </w:tabs>
        <w:jc w:val="both"/>
        <w:rPr>
          <w:rFonts w:ascii="Book Antiqua" w:hAnsi="Book Antiqua" w:cs="Arial"/>
        </w:rPr>
      </w:pPr>
    </w:p>
    <w:p w:rsidR="00E85A3B" w:rsidRDefault="00E85A3B"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250DA6">
        <w:rPr>
          <w:rFonts w:ascii="Book Antiqua" w:hAnsi="Book Antiqua" w:cs="Arial"/>
        </w:rPr>
        <w:t>18/05</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0471C2"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250DA6" w:rsidRDefault="00250DA6" w:rsidP="000369F5">
      <w:pPr>
        <w:tabs>
          <w:tab w:val="left" w:pos="2520"/>
        </w:tabs>
        <w:jc w:val="both"/>
        <w:rPr>
          <w:rFonts w:ascii="Book Antiqua" w:hAnsi="Book Antiqua" w:cs="Arial"/>
        </w:rPr>
      </w:pPr>
    </w:p>
    <w:p w:rsidR="00E85A3B" w:rsidRDefault="00E85A3B" w:rsidP="000369F5">
      <w:pPr>
        <w:tabs>
          <w:tab w:val="left" w:pos="2520"/>
        </w:tabs>
        <w:jc w:val="both"/>
        <w:rPr>
          <w:rFonts w:ascii="Book Antiqua" w:hAnsi="Book Antiqua" w:cs="Arial"/>
          <w:u w:val="single"/>
        </w:rPr>
      </w:pPr>
    </w:p>
    <w:p w:rsidR="00E85A3B" w:rsidRDefault="00E85A3B" w:rsidP="000369F5">
      <w:pPr>
        <w:tabs>
          <w:tab w:val="left" w:pos="2520"/>
        </w:tabs>
        <w:jc w:val="both"/>
        <w:rPr>
          <w:rFonts w:ascii="Book Antiqua" w:hAnsi="Book Antiqua" w:cs="Arial"/>
          <w:u w:val="single"/>
        </w:rPr>
      </w:pPr>
    </w:p>
    <w:p w:rsidR="00E85A3B" w:rsidRDefault="00E85A3B" w:rsidP="000369F5">
      <w:pPr>
        <w:tabs>
          <w:tab w:val="left" w:pos="2520"/>
        </w:tabs>
        <w:jc w:val="both"/>
        <w:rPr>
          <w:rFonts w:ascii="Book Antiqua" w:hAnsi="Book Antiqua" w:cs="Arial"/>
          <w:u w:val="single"/>
        </w:rPr>
      </w:pPr>
    </w:p>
    <w:p w:rsidR="00250DA6" w:rsidRDefault="00250DA6" w:rsidP="000369F5">
      <w:pPr>
        <w:tabs>
          <w:tab w:val="left" w:pos="2520"/>
        </w:tabs>
        <w:jc w:val="both"/>
        <w:rPr>
          <w:rFonts w:ascii="Book Antiqua" w:hAnsi="Book Antiqua" w:cs="Arial"/>
          <w:u w:val="single"/>
        </w:rPr>
      </w:pPr>
      <w:r>
        <w:rPr>
          <w:rFonts w:ascii="Book Antiqua" w:hAnsi="Book Antiqua" w:cs="Arial"/>
          <w:u w:val="single"/>
        </w:rPr>
        <w:t>TO THE RESPONDENT</w:t>
      </w:r>
    </w:p>
    <w:p w:rsidR="00250DA6" w:rsidRDefault="00250DA6" w:rsidP="000369F5">
      <w:pPr>
        <w:tabs>
          <w:tab w:val="left" w:pos="2520"/>
        </w:tabs>
        <w:jc w:val="both"/>
        <w:rPr>
          <w:rFonts w:ascii="Book Antiqua" w:hAnsi="Book Antiqua" w:cs="Arial"/>
        </w:rPr>
      </w:pPr>
      <w:r>
        <w:rPr>
          <w:rFonts w:ascii="Book Antiqua" w:hAnsi="Book Antiqua" w:cs="Arial"/>
          <w:u w:val="single"/>
        </w:rPr>
        <w:t>FEE AWARD</w:t>
      </w:r>
    </w:p>
    <w:p w:rsidR="00250DA6" w:rsidRDefault="00250DA6" w:rsidP="000369F5">
      <w:pPr>
        <w:tabs>
          <w:tab w:val="left" w:pos="2520"/>
        </w:tabs>
        <w:jc w:val="both"/>
        <w:rPr>
          <w:rFonts w:ascii="Book Antiqua" w:hAnsi="Book Antiqua" w:cs="Arial"/>
        </w:rPr>
      </w:pPr>
    </w:p>
    <w:p w:rsidR="00250DA6" w:rsidRDefault="00250DA6" w:rsidP="000369F5">
      <w:pPr>
        <w:tabs>
          <w:tab w:val="left" w:pos="2520"/>
        </w:tabs>
        <w:jc w:val="both"/>
        <w:rPr>
          <w:rFonts w:ascii="Book Antiqua" w:hAnsi="Book Antiqua" w:cs="Arial"/>
        </w:rPr>
      </w:pPr>
      <w:r>
        <w:rPr>
          <w:rFonts w:ascii="Book Antiqua" w:hAnsi="Book Antiqua" w:cs="Arial"/>
        </w:rPr>
        <w:t>I do not make a fee award as no fee was paid.</w:t>
      </w:r>
    </w:p>
    <w:p w:rsidR="00250DA6" w:rsidRDefault="00250DA6" w:rsidP="000369F5">
      <w:pPr>
        <w:tabs>
          <w:tab w:val="left" w:pos="2520"/>
        </w:tabs>
        <w:jc w:val="both"/>
        <w:rPr>
          <w:rFonts w:ascii="Book Antiqua" w:hAnsi="Book Antiqua" w:cs="Arial"/>
        </w:rPr>
      </w:pPr>
    </w:p>
    <w:p w:rsidR="00250DA6" w:rsidRDefault="00250DA6" w:rsidP="000369F5">
      <w:pPr>
        <w:tabs>
          <w:tab w:val="left" w:pos="2520"/>
        </w:tabs>
        <w:jc w:val="both"/>
        <w:rPr>
          <w:rFonts w:ascii="Book Antiqua" w:hAnsi="Book Antiqua" w:cs="Arial"/>
        </w:rPr>
      </w:pPr>
    </w:p>
    <w:p w:rsidR="00250DA6" w:rsidRPr="00F5664C" w:rsidRDefault="00250DA6" w:rsidP="00250DA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t>18/05/2018</w:t>
      </w:r>
    </w:p>
    <w:p w:rsidR="00250DA6" w:rsidRDefault="00250DA6" w:rsidP="00250DA6">
      <w:pPr>
        <w:tabs>
          <w:tab w:val="left" w:pos="2520"/>
        </w:tabs>
        <w:jc w:val="both"/>
        <w:rPr>
          <w:rFonts w:ascii="Book Antiqua" w:hAnsi="Book Antiqua" w:cs="Arial"/>
        </w:rPr>
      </w:pPr>
    </w:p>
    <w:p w:rsidR="00250DA6" w:rsidRDefault="000471C2" w:rsidP="00250DA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250DA6" w:rsidRPr="00250DA6" w:rsidRDefault="00250DA6" w:rsidP="00250DA6">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250DA6" w:rsidRPr="00250DA6"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72E" w:rsidRDefault="002A572E">
      <w:r>
        <w:separator/>
      </w:r>
    </w:p>
  </w:endnote>
  <w:endnote w:type="continuationSeparator" w:id="0">
    <w:p w:rsidR="002A572E" w:rsidRDefault="002A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A6E88">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72E" w:rsidRDefault="002A572E">
      <w:r>
        <w:separator/>
      </w:r>
    </w:p>
  </w:footnote>
  <w:footnote w:type="continuationSeparator" w:id="0">
    <w:p w:rsidR="002A572E" w:rsidRDefault="002A5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PA</w:t>
    </w:r>
    <w:r w:rsidRPr="00D97AF0">
      <w:rPr>
        <w:rFonts w:ascii="Book Antiqua" w:hAnsi="Book Antiqua" w:cs="Arial"/>
        <w:sz w:val="16"/>
        <w:szCs w:val="16"/>
      </w:rPr>
      <w:t>/</w:t>
    </w:r>
    <w:r w:rsidR="004D0367">
      <w:rPr>
        <w:rFonts w:ascii="Book Antiqua" w:hAnsi="Book Antiqua" w:cs="Arial"/>
        <w:sz w:val="16"/>
        <w:szCs w:val="16"/>
      </w:rPr>
      <w:t>02278</w:t>
    </w:r>
    <w:r>
      <w:rPr>
        <w:rFonts w:ascii="Book Antiqua" w:hAnsi="Book Antiqua" w:cs="Arial"/>
        <w:sz w:val="16"/>
        <w:szCs w:val="16"/>
      </w:rPr>
      <w:t>/201</w:t>
    </w:r>
    <w:r w:rsidR="005A45CC">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94"/>
    <w:rsid w:val="00000412"/>
    <w:rsid w:val="00000621"/>
    <w:rsid w:val="000008B1"/>
    <w:rsid w:val="00002241"/>
    <w:rsid w:val="000036C2"/>
    <w:rsid w:val="0000577C"/>
    <w:rsid w:val="00011A46"/>
    <w:rsid w:val="00033D3D"/>
    <w:rsid w:val="000369F5"/>
    <w:rsid w:val="00041D84"/>
    <w:rsid w:val="000471C2"/>
    <w:rsid w:val="00060A81"/>
    <w:rsid w:val="00071A7E"/>
    <w:rsid w:val="000746C0"/>
    <w:rsid w:val="00074D1D"/>
    <w:rsid w:val="00087037"/>
    <w:rsid w:val="00087B4B"/>
    <w:rsid w:val="00092580"/>
    <w:rsid w:val="00095513"/>
    <w:rsid w:val="000A32A2"/>
    <w:rsid w:val="000D5D94"/>
    <w:rsid w:val="000E483B"/>
    <w:rsid w:val="000E79C1"/>
    <w:rsid w:val="001165A7"/>
    <w:rsid w:val="00132F1C"/>
    <w:rsid w:val="00151BB7"/>
    <w:rsid w:val="00167D3A"/>
    <w:rsid w:val="001A1E2C"/>
    <w:rsid w:val="001A2421"/>
    <w:rsid w:val="001B67F3"/>
    <w:rsid w:val="001C1452"/>
    <w:rsid w:val="001E12F7"/>
    <w:rsid w:val="001F2716"/>
    <w:rsid w:val="001F4C3C"/>
    <w:rsid w:val="0020133A"/>
    <w:rsid w:val="00207617"/>
    <w:rsid w:val="00250DA6"/>
    <w:rsid w:val="00253F98"/>
    <w:rsid w:val="00283659"/>
    <w:rsid w:val="00284E94"/>
    <w:rsid w:val="002865D5"/>
    <w:rsid w:val="00291D5E"/>
    <w:rsid w:val="002A1EC1"/>
    <w:rsid w:val="002A2720"/>
    <w:rsid w:val="002A2AFF"/>
    <w:rsid w:val="002A437B"/>
    <w:rsid w:val="002A572E"/>
    <w:rsid w:val="002A5F30"/>
    <w:rsid w:val="002C25AF"/>
    <w:rsid w:val="002C43E6"/>
    <w:rsid w:val="002C4E73"/>
    <w:rsid w:val="002D68BF"/>
    <w:rsid w:val="002F05A0"/>
    <w:rsid w:val="00305FBC"/>
    <w:rsid w:val="0033030E"/>
    <w:rsid w:val="00334945"/>
    <w:rsid w:val="0033509F"/>
    <w:rsid w:val="00336CBF"/>
    <w:rsid w:val="00337EBB"/>
    <w:rsid w:val="003546C8"/>
    <w:rsid w:val="00364F67"/>
    <w:rsid w:val="003756EF"/>
    <w:rsid w:val="00376F8F"/>
    <w:rsid w:val="00392D87"/>
    <w:rsid w:val="003A5739"/>
    <w:rsid w:val="003A7CF2"/>
    <w:rsid w:val="003B50F0"/>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A1848"/>
    <w:rsid w:val="004B4552"/>
    <w:rsid w:val="004B7003"/>
    <w:rsid w:val="004D0367"/>
    <w:rsid w:val="004D0B09"/>
    <w:rsid w:val="004E4682"/>
    <w:rsid w:val="00502F93"/>
    <w:rsid w:val="00507FEC"/>
    <w:rsid w:val="00510F0E"/>
    <w:rsid w:val="00516E48"/>
    <w:rsid w:val="00541D19"/>
    <w:rsid w:val="005479E1"/>
    <w:rsid w:val="005570FD"/>
    <w:rsid w:val="005575EA"/>
    <w:rsid w:val="00564626"/>
    <w:rsid w:val="00564C2A"/>
    <w:rsid w:val="0057790C"/>
    <w:rsid w:val="005830F3"/>
    <w:rsid w:val="00584784"/>
    <w:rsid w:val="00593795"/>
    <w:rsid w:val="005A45CC"/>
    <w:rsid w:val="005A75FF"/>
    <w:rsid w:val="005B4942"/>
    <w:rsid w:val="005B6033"/>
    <w:rsid w:val="005B7789"/>
    <w:rsid w:val="005C04A8"/>
    <w:rsid w:val="005C3A83"/>
    <w:rsid w:val="006059EF"/>
    <w:rsid w:val="00622725"/>
    <w:rsid w:val="00627397"/>
    <w:rsid w:val="00640E14"/>
    <w:rsid w:val="00641A27"/>
    <w:rsid w:val="0064774D"/>
    <w:rsid w:val="0065791C"/>
    <w:rsid w:val="00677176"/>
    <w:rsid w:val="00690B8A"/>
    <w:rsid w:val="006957B2"/>
    <w:rsid w:val="006A5EDB"/>
    <w:rsid w:val="006D1DFA"/>
    <w:rsid w:val="006D506B"/>
    <w:rsid w:val="006D5949"/>
    <w:rsid w:val="006D79F6"/>
    <w:rsid w:val="006E3C90"/>
    <w:rsid w:val="006F08DA"/>
    <w:rsid w:val="006F6265"/>
    <w:rsid w:val="00704B61"/>
    <w:rsid w:val="007105F4"/>
    <w:rsid w:val="007164CA"/>
    <w:rsid w:val="00742A8D"/>
    <w:rsid w:val="00744B61"/>
    <w:rsid w:val="0075191E"/>
    <w:rsid w:val="007552A9"/>
    <w:rsid w:val="00761858"/>
    <w:rsid w:val="00767D59"/>
    <w:rsid w:val="007742F1"/>
    <w:rsid w:val="00774A81"/>
    <w:rsid w:val="00776E97"/>
    <w:rsid w:val="00780FD7"/>
    <w:rsid w:val="00784A6D"/>
    <w:rsid w:val="007912AD"/>
    <w:rsid w:val="007A1F28"/>
    <w:rsid w:val="007A3ED6"/>
    <w:rsid w:val="007B0824"/>
    <w:rsid w:val="007B0892"/>
    <w:rsid w:val="007E544D"/>
    <w:rsid w:val="008303B8"/>
    <w:rsid w:val="00833DCE"/>
    <w:rsid w:val="00836A93"/>
    <w:rsid w:val="00841581"/>
    <w:rsid w:val="00842418"/>
    <w:rsid w:val="00845317"/>
    <w:rsid w:val="00864126"/>
    <w:rsid w:val="0087166E"/>
    <w:rsid w:val="00871D34"/>
    <w:rsid w:val="00876A5B"/>
    <w:rsid w:val="00882779"/>
    <w:rsid w:val="008B270C"/>
    <w:rsid w:val="008C3D3D"/>
    <w:rsid w:val="008D4131"/>
    <w:rsid w:val="008F1932"/>
    <w:rsid w:val="008F294D"/>
    <w:rsid w:val="00911478"/>
    <w:rsid w:val="00916A58"/>
    <w:rsid w:val="00921062"/>
    <w:rsid w:val="0093083E"/>
    <w:rsid w:val="00941D3B"/>
    <w:rsid w:val="009451FF"/>
    <w:rsid w:val="009553DD"/>
    <w:rsid w:val="00955B0E"/>
    <w:rsid w:val="00966B05"/>
    <w:rsid w:val="00966ECF"/>
    <w:rsid w:val="009727A3"/>
    <w:rsid w:val="00987774"/>
    <w:rsid w:val="009936D5"/>
    <w:rsid w:val="009A11E8"/>
    <w:rsid w:val="009A43A1"/>
    <w:rsid w:val="009C37C7"/>
    <w:rsid w:val="009D1549"/>
    <w:rsid w:val="009E4E62"/>
    <w:rsid w:val="009F5220"/>
    <w:rsid w:val="009F7C4D"/>
    <w:rsid w:val="00A01A21"/>
    <w:rsid w:val="00A15234"/>
    <w:rsid w:val="00A201AB"/>
    <w:rsid w:val="00A25C94"/>
    <w:rsid w:val="00A31C8B"/>
    <w:rsid w:val="00A54733"/>
    <w:rsid w:val="00A75B2C"/>
    <w:rsid w:val="00A845DC"/>
    <w:rsid w:val="00A97AEE"/>
    <w:rsid w:val="00AC5CF6"/>
    <w:rsid w:val="00AC7862"/>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47BF"/>
    <w:rsid w:val="00B96FA0"/>
    <w:rsid w:val="00BA6E88"/>
    <w:rsid w:val="00BB2AA8"/>
    <w:rsid w:val="00BD4196"/>
    <w:rsid w:val="00BE2210"/>
    <w:rsid w:val="00BE4FE1"/>
    <w:rsid w:val="00BE57DB"/>
    <w:rsid w:val="00BF22CA"/>
    <w:rsid w:val="00BF3FF7"/>
    <w:rsid w:val="00C156C3"/>
    <w:rsid w:val="00C26032"/>
    <w:rsid w:val="00C265B0"/>
    <w:rsid w:val="00C321B5"/>
    <w:rsid w:val="00C345E1"/>
    <w:rsid w:val="00C42C62"/>
    <w:rsid w:val="00C5263A"/>
    <w:rsid w:val="00C65DBA"/>
    <w:rsid w:val="00C74D85"/>
    <w:rsid w:val="00C8281B"/>
    <w:rsid w:val="00C9551E"/>
    <w:rsid w:val="00C977BA"/>
    <w:rsid w:val="00CB6E35"/>
    <w:rsid w:val="00CD4902"/>
    <w:rsid w:val="00CE1A46"/>
    <w:rsid w:val="00CE2A3A"/>
    <w:rsid w:val="00CF253F"/>
    <w:rsid w:val="00CF56B4"/>
    <w:rsid w:val="00D0571F"/>
    <w:rsid w:val="00D20F09"/>
    <w:rsid w:val="00D22636"/>
    <w:rsid w:val="00D24AD7"/>
    <w:rsid w:val="00D40FD9"/>
    <w:rsid w:val="00D42256"/>
    <w:rsid w:val="00D5145A"/>
    <w:rsid w:val="00D53769"/>
    <w:rsid w:val="00D67604"/>
    <w:rsid w:val="00D74CFD"/>
    <w:rsid w:val="00D82D08"/>
    <w:rsid w:val="00D85C13"/>
    <w:rsid w:val="00D91BE3"/>
    <w:rsid w:val="00D94AFC"/>
    <w:rsid w:val="00D97AF0"/>
    <w:rsid w:val="00DB70AE"/>
    <w:rsid w:val="00DB7231"/>
    <w:rsid w:val="00DC303C"/>
    <w:rsid w:val="00DC7975"/>
    <w:rsid w:val="00DD07FC"/>
    <w:rsid w:val="00DD5071"/>
    <w:rsid w:val="00DD5C39"/>
    <w:rsid w:val="00DE26AF"/>
    <w:rsid w:val="00DE7DB7"/>
    <w:rsid w:val="00E00A0A"/>
    <w:rsid w:val="00E07601"/>
    <w:rsid w:val="00E07F57"/>
    <w:rsid w:val="00E1324B"/>
    <w:rsid w:val="00E24A08"/>
    <w:rsid w:val="00E352ED"/>
    <w:rsid w:val="00E4586A"/>
    <w:rsid w:val="00E50456"/>
    <w:rsid w:val="00E50BCE"/>
    <w:rsid w:val="00E61292"/>
    <w:rsid w:val="00E649A1"/>
    <w:rsid w:val="00E76309"/>
    <w:rsid w:val="00E77C4D"/>
    <w:rsid w:val="00E81D01"/>
    <w:rsid w:val="00E85A3B"/>
    <w:rsid w:val="00E90C08"/>
    <w:rsid w:val="00EA4F85"/>
    <w:rsid w:val="00EB4047"/>
    <w:rsid w:val="00EB62BE"/>
    <w:rsid w:val="00EC656B"/>
    <w:rsid w:val="00EE45D8"/>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90160"/>
    <w:rsid w:val="00F9182B"/>
    <w:rsid w:val="00FB050B"/>
    <w:rsid w:val="00FB7E80"/>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898C9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CD9C-815C-4BE2-BCA9-245D85EF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1438</Words>
  <Characters>6865</Characters>
  <Application>Microsoft Office Word</Application>
  <DocSecurity>0</DocSecurity>
  <Lines>57</Lines>
  <Paragraphs>16</Paragraphs>
  <ScaleCrop>false</ScaleCrop>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2018-06-18T14:16:00Z</dcterms:created>
  <dcterms:modified xsi:type="dcterms:W3CDTF">2018-06-18T14:17:00Z</dcterms:modified>
</cp:coreProperties>
</file>