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3CD15" w14:textId="77777777" w:rsidR="008F0F55" w:rsidRPr="00F146AE" w:rsidRDefault="00F81D1E" w:rsidP="008F0F55">
      <w:pPr>
        <w:jc w:val="center"/>
        <w:rPr>
          <w:rFonts w:ascii="Book Antiqua" w:hAnsi="Book Antiqua" w:cs="Arial"/>
          <w:sz w:val="16"/>
          <w:szCs w:val="16"/>
        </w:rPr>
      </w:pPr>
      <w:r>
        <w:rPr>
          <w:rFonts w:ascii="Book Antiqua" w:hAnsi="Book Antiqua"/>
          <w:noProof/>
        </w:rPr>
        <w:drawing>
          <wp:inline distT="0" distB="0" distL="0" distR="0" wp14:anchorId="5B3E18BB" wp14:editId="7847A75B">
            <wp:extent cx="1039495" cy="914400"/>
            <wp:effectExtent l="2540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039495" cy="914400"/>
                    </a:xfrm>
                    <a:prstGeom prst="rect">
                      <a:avLst/>
                    </a:prstGeom>
                    <a:noFill/>
                    <a:ln w="9525">
                      <a:noFill/>
                      <a:miter lim="800000"/>
                      <a:headEnd/>
                      <a:tailEnd/>
                    </a:ln>
                  </pic:spPr>
                </pic:pic>
              </a:graphicData>
            </a:graphic>
          </wp:inline>
        </w:drawing>
      </w:r>
    </w:p>
    <w:p w14:paraId="2A7F7A91" w14:textId="77777777" w:rsidR="008F0F55" w:rsidRPr="00F146AE" w:rsidRDefault="00E94E58">
      <w:pPr>
        <w:rPr>
          <w:rFonts w:ascii="Book Antiqua" w:hAnsi="Book Antiqua" w:cs="Arial"/>
        </w:rPr>
      </w:pPr>
    </w:p>
    <w:p w14:paraId="778DE1A4" w14:textId="77777777" w:rsidR="008F0F55" w:rsidRPr="00F146AE" w:rsidRDefault="00F81D1E" w:rsidP="008F0F55">
      <w:pPr>
        <w:tabs>
          <w:tab w:val="right" w:pos="9639"/>
        </w:tabs>
        <w:rPr>
          <w:rFonts w:ascii="Book Antiqua" w:hAnsi="Book Antiqua" w:cs="Arial"/>
          <w:b/>
        </w:rPr>
      </w:pPr>
      <w:r>
        <w:rPr>
          <w:rFonts w:ascii="Book Antiqua" w:hAnsi="Book Antiqua" w:cs="Arial"/>
          <w:b/>
        </w:rPr>
        <w:t>Upper Tier</w:t>
      </w:r>
      <w:r w:rsidRPr="00F146AE">
        <w:rPr>
          <w:rFonts w:ascii="Book Antiqua" w:hAnsi="Book Antiqua" w:cs="Arial"/>
          <w:b/>
        </w:rPr>
        <w:t xml:space="preserve"> Tribunal </w:t>
      </w:r>
    </w:p>
    <w:p w14:paraId="19165009" w14:textId="2B8CC303" w:rsidR="008F0F55" w:rsidRPr="00F146AE" w:rsidRDefault="00F81D1E" w:rsidP="008F0F55">
      <w:pPr>
        <w:tabs>
          <w:tab w:val="right" w:pos="9639"/>
        </w:tabs>
        <w:rPr>
          <w:rFonts w:ascii="Book Antiqua" w:hAnsi="Book Antiqua" w:cs="Arial"/>
        </w:rPr>
      </w:pPr>
      <w:r w:rsidRPr="00F146AE">
        <w:rPr>
          <w:rFonts w:ascii="Book Antiqua" w:hAnsi="Book Antiqua" w:cs="Arial"/>
          <w:b/>
        </w:rPr>
        <w:t>(Immigration and Asylum Chamber)</w:t>
      </w:r>
      <w:r w:rsidRPr="00F146AE">
        <w:rPr>
          <w:rFonts w:ascii="Book Antiqua" w:hAnsi="Book Antiqua" w:cs="Arial"/>
          <w:b/>
        </w:rPr>
        <w:tab/>
      </w:r>
      <w:r w:rsidRPr="00F146AE">
        <w:rPr>
          <w:rFonts w:ascii="Book Antiqua" w:hAnsi="Book Antiqua" w:cs="Arial"/>
        </w:rPr>
        <w:t xml:space="preserve">Appeal Number: </w:t>
      </w:r>
      <w:bookmarkStart w:id="0" w:name="_GoBack"/>
      <w:r w:rsidR="0082373D">
        <w:rPr>
          <w:rFonts w:ascii="Book Antiqua" w:hAnsi="Book Antiqua" w:cs="Arial"/>
        </w:rPr>
        <w:t>PA/</w:t>
      </w:r>
      <w:r w:rsidR="003F0F1B">
        <w:rPr>
          <w:rFonts w:ascii="Book Antiqua" w:hAnsi="Book Antiqua" w:cs="Arial"/>
        </w:rPr>
        <w:t>02290/2017</w:t>
      </w:r>
      <w:bookmarkEnd w:id="0"/>
    </w:p>
    <w:p w14:paraId="08091BB3" w14:textId="77777777" w:rsidR="008F0F55" w:rsidRPr="00F146AE" w:rsidRDefault="00E94E58" w:rsidP="008F0F55">
      <w:pPr>
        <w:jc w:val="center"/>
        <w:rPr>
          <w:rFonts w:ascii="Book Antiqua" w:hAnsi="Book Antiqua" w:cs="Arial"/>
        </w:rPr>
      </w:pPr>
    </w:p>
    <w:p w14:paraId="60785EDE" w14:textId="77777777" w:rsidR="008F0F55" w:rsidRPr="00F146AE" w:rsidRDefault="00E94E58" w:rsidP="008F0F55">
      <w:pPr>
        <w:jc w:val="center"/>
        <w:rPr>
          <w:rFonts w:ascii="Book Antiqua" w:hAnsi="Book Antiqua" w:cs="Arial"/>
        </w:rPr>
      </w:pPr>
    </w:p>
    <w:p w14:paraId="04DC5760" w14:textId="77777777" w:rsidR="008F0F55" w:rsidRPr="00F146AE" w:rsidRDefault="00F81D1E" w:rsidP="008F0F55">
      <w:pPr>
        <w:jc w:val="center"/>
        <w:rPr>
          <w:rFonts w:ascii="Book Antiqua" w:hAnsi="Book Antiqua" w:cs="Arial"/>
          <w:b/>
          <w:u w:val="single"/>
        </w:rPr>
      </w:pPr>
      <w:r w:rsidRPr="00F146AE">
        <w:rPr>
          <w:rFonts w:ascii="Book Antiqua" w:hAnsi="Book Antiqua" w:cs="Arial"/>
          <w:b/>
          <w:u w:val="single"/>
        </w:rPr>
        <w:t>THE IMMIGRATION ACTS</w:t>
      </w:r>
    </w:p>
    <w:p w14:paraId="1410A07F" w14:textId="77777777" w:rsidR="008F0F55" w:rsidRPr="00F146AE" w:rsidRDefault="00E94E58" w:rsidP="008F0F55">
      <w:pPr>
        <w:jc w:val="center"/>
        <w:rPr>
          <w:rFonts w:ascii="Book Antiqua" w:hAnsi="Book Antiqua" w:cs="Arial"/>
          <w:b/>
          <w:u w:val="single"/>
        </w:rPr>
      </w:pPr>
    </w:p>
    <w:p w14:paraId="5CE9D877" w14:textId="77777777" w:rsidR="008F0F55" w:rsidRPr="00F146AE" w:rsidRDefault="00E94E58" w:rsidP="008F0F55">
      <w:pPr>
        <w:jc w:val="center"/>
        <w:rPr>
          <w:rFonts w:ascii="Book Antiqua" w:hAnsi="Book Antiqua" w:cs="Arial"/>
          <w:b/>
          <w:u w:val="single"/>
        </w:rPr>
      </w:pPr>
    </w:p>
    <w:tbl>
      <w:tblPr>
        <w:tblW w:w="0" w:type="auto"/>
        <w:tblLook w:val="01E0" w:firstRow="1" w:lastRow="1" w:firstColumn="1" w:lastColumn="1" w:noHBand="0" w:noVBand="0"/>
      </w:tblPr>
      <w:tblGrid>
        <w:gridCol w:w="5529"/>
        <w:gridCol w:w="4109"/>
      </w:tblGrid>
      <w:tr w:rsidR="008F0F55" w:rsidRPr="00035322" w14:paraId="2E330527" w14:textId="77777777" w:rsidTr="00DD62C1">
        <w:tc>
          <w:tcPr>
            <w:tcW w:w="5529" w:type="dxa"/>
          </w:tcPr>
          <w:p w14:paraId="12222D24" w14:textId="68CCEF12" w:rsidR="008F0F55" w:rsidRPr="00035322" w:rsidRDefault="00F81D1E" w:rsidP="008F0F55">
            <w:pPr>
              <w:jc w:val="both"/>
              <w:rPr>
                <w:rFonts w:ascii="Book Antiqua" w:hAnsi="Book Antiqua" w:cs="Arial"/>
                <w:b/>
              </w:rPr>
            </w:pPr>
            <w:r w:rsidRPr="00035322">
              <w:rPr>
                <w:rFonts w:ascii="Book Antiqua" w:hAnsi="Book Antiqua" w:cs="Arial"/>
                <w:b/>
              </w:rPr>
              <w:t xml:space="preserve">Heard at </w:t>
            </w:r>
            <w:r w:rsidR="003F0F1B">
              <w:rPr>
                <w:rFonts w:ascii="Book Antiqua" w:hAnsi="Book Antiqua" w:cs="Arial"/>
                <w:b/>
              </w:rPr>
              <w:t>Bradford</w:t>
            </w:r>
          </w:p>
        </w:tc>
        <w:tc>
          <w:tcPr>
            <w:tcW w:w="4109" w:type="dxa"/>
          </w:tcPr>
          <w:p w14:paraId="442A84BC" w14:textId="732FF869" w:rsidR="008F0F55" w:rsidRPr="00035322" w:rsidRDefault="00F81D1E" w:rsidP="00F81D1E">
            <w:pPr>
              <w:jc w:val="both"/>
              <w:rPr>
                <w:rFonts w:ascii="Book Antiqua" w:hAnsi="Book Antiqua" w:cs="Arial"/>
                <w:b/>
              </w:rPr>
            </w:pPr>
            <w:r w:rsidRPr="00035322">
              <w:rPr>
                <w:rFonts w:ascii="Book Antiqua" w:hAnsi="Book Antiqua" w:cs="Arial"/>
                <w:b/>
              </w:rPr>
              <w:t>De</w:t>
            </w:r>
            <w:r>
              <w:rPr>
                <w:rFonts w:ascii="Book Antiqua" w:hAnsi="Book Antiqua" w:cs="Arial"/>
                <w:b/>
              </w:rPr>
              <w:t>cision</w:t>
            </w:r>
            <w:r w:rsidR="00DD62C1">
              <w:rPr>
                <w:rFonts w:ascii="Book Antiqua" w:hAnsi="Book Antiqua" w:cs="Arial"/>
                <w:b/>
              </w:rPr>
              <w:t xml:space="preserve"> &amp; Reasons</w:t>
            </w:r>
            <w:r w:rsidRPr="00035322">
              <w:rPr>
                <w:rFonts w:ascii="Book Antiqua" w:hAnsi="Book Antiqua" w:cs="Arial"/>
                <w:b/>
              </w:rPr>
              <w:t xml:space="preserve"> Promulgated</w:t>
            </w:r>
          </w:p>
        </w:tc>
      </w:tr>
      <w:tr w:rsidR="008F0F55" w:rsidRPr="00035322" w14:paraId="44428417" w14:textId="77777777" w:rsidTr="00DD62C1">
        <w:tc>
          <w:tcPr>
            <w:tcW w:w="5529" w:type="dxa"/>
          </w:tcPr>
          <w:p w14:paraId="76596F5F" w14:textId="2A147633" w:rsidR="008F0F55" w:rsidRPr="00035322" w:rsidRDefault="00F81D1E" w:rsidP="00DD62C1">
            <w:pPr>
              <w:rPr>
                <w:rFonts w:ascii="Book Antiqua" w:hAnsi="Book Antiqua" w:cs="Arial"/>
                <w:b/>
              </w:rPr>
            </w:pPr>
            <w:r w:rsidRPr="00035322">
              <w:rPr>
                <w:rFonts w:ascii="Book Antiqua" w:hAnsi="Book Antiqua" w:cs="Arial"/>
                <w:b/>
              </w:rPr>
              <w:t xml:space="preserve">On </w:t>
            </w:r>
            <w:r w:rsidR="003F0F1B">
              <w:rPr>
                <w:rFonts w:ascii="Book Antiqua" w:hAnsi="Book Antiqua" w:cs="Arial"/>
                <w:b/>
              </w:rPr>
              <w:t>23 July 2018</w:t>
            </w:r>
            <w:r w:rsidR="00DD62C1">
              <w:rPr>
                <w:rFonts w:ascii="Book Antiqua" w:hAnsi="Book Antiqua" w:cs="Arial"/>
                <w:b/>
              </w:rPr>
              <w:t xml:space="preserve">                                                                                   </w:t>
            </w:r>
          </w:p>
        </w:tc>
        <w:tc>
          <w:tcPr>
            <w:tcW w:w="4109" w:type="dxa"/>
          </w:tcPr>
          <w:p w14:paraId="60129748" w14:textId="3EF2C717" w:rsidR="008F0F55" w:rsidRPr="00035322" w:rsidRDefault="00DD62C1" w:rsidP="008F0F55">
            <w:pPr>
              <w:jc w:val="both"/>
              <w:rPr>
                <w:rFonts w:ascii="Book Antiqua" w:hAnsi="Book Antiqua" w:cs="Arial"/>
                <w:b/>
              </w:rPr>
            </w:pPr>
            <w:r>
              <w:rPr>
                <w:rFonts w:ascii="Book Antiqua" w:hAnsi="Book Antiqua" w:cs="Arial"/>
                <w:b/>
              </w:rPr>
              <w:t>On 26</w:t>
            </w:r>
            <w:r w:rsidRPr="00DD62C1">
              <w:rPr>
                <w:rFonts w:ascii="Book Antiqua" w:hAnsi="Book Antiqua" w:cs="Arial"/>
                <w:b/>
                <w:vertAlign w:val="superscript"/>
              </w:rPr>
              <w:t>th</w:t>
            </w:r>
            <w:r>
              <w:rPr>
                <w:rFonts w:ascii="Book Antiqua" w:hAnsi="Book Antiqua" w:cs="Arial"/>
                <w:b/>
              </w:rPr>
              <w:t xml:space="preserve"> July 2018</w:t>
            </w:r>
          </w:p>
        </w:tc>
      </w:tr>
    </w:tbl>
    <w:p w14:paraId="25CFCAFA" w14:textId="77777777" w:rsidR="008F0F55" w:rsidRPr="00F146AE" w:rsidRDefault="00E94E58" w:rsidP="008F0F55">
      <w:pPr>
        <w:jc w:val="center"/>
        <w:rPr>
          <w:rFonts w:ascii="Book Antiqua" w:hAnsi="Book Antiqua" w:cs="Arial"/>
        </w:rPr>
      </w:pPr>
    </w:p>
    <w:p w14:paraId="2FAA90B8" w14:textId="77777777" w:rsidR="008F0F55" w:rsidRPr="00F146AE" w:rsidRDefault="00E94E58" w:rsidP="008F0F55">
      <w:pPr>
        <w:jc w:val="center"/>
        <w:rPr>
          <w:rFonts w:ascii="Book Antiqua" w:hAnsi="Book Antiqua" w:cs="Arial"/>
        </w:rPr>
      </w:pPr>
    </w:p>
    <w:p w14:paraId="3D7EA9A7" w14:textId="77777777" w:rsidR="008F0F55" w:rsidRPr="00F146AE" w:rsidRDefault="00F81D1E" w:rsidP="008F0F55">
      <w:pPr>
        <w:jc w:val="center"/>
        <w:rPr>
          <w:rFonts w:ascii="Book Antiqua" w:hAnsi="Book Antiqua" w:cs="Arial"/>
          <w:b/>
        </w:rPr>
      </w:pPr>
      <w:r w:rsidRPr="00F146AE">
        <w:rPr>
          <w:rFonts w:ascii="Book Antiqua" w:hAnsi="Book Antiqua" w:cs="Arial"/>
          <w:b/>
        </w:rPr>
        <w:t>Before</w:t>
      </w:r>
    </w:p>
    <w:p w14:paraId="3F3F3818" w14:textId="77777777" w:rsidR="008F0F55" w:rsidRPr="00F146AE" w:rsidRDefault="00E94E58" w:rsidP="008F0F55">
      <w:pPr>
        <w:jc w:val="center"/>
        <w:rPr>
          <w:rFonts w:ascii="Book Antiqua" w:hAnsi="Book Antiqua" w:cs="Arial"/>
          <w:b/>
        </w:rPr>
      </w:pPr>
    </w:p>
    <w:p w14:paraId="7757D50B" w14:textId="77777777" w:rsidR="008F0F55" w:rsidRPr="00F146AE" w:rsidRDefault="00F81D1E" w:rsidP="008F0F55">
      <w:pPr>
        <w:jc w:val="center"/>
        <w:rPr>
          <w:rFonts w:ascii="Book Antiqua" w:hAnsi="Book Antiqua" w:cs="Arial"/>
          <w:b/>
        </w:rPr>
      </w:pPr>
      <w:r>
        <w:rPr>
          <w:rFonts w:ascii="Book Antiqua" w:hAnsi="Book Antiqua" w:cs="Arial"/>
          <w:b/>
        </w:rPr>
        <w:t>Deputy Upper Tribunal Judge Pickup</w:t>
      </w:r>
    </w:p>
    <w:p w14:paraId="3EA642B4" w14:textId="77777777" w:rsidR="00385A58" w:rsidRDefault="00385A58" w:rsidP="008F0F55">
      <w:pPr>
        <w:jc w:val="center"/>
        <w:rPr>
          <w:rFonts w:ascii="Book Antiqua" w:hAnsi="Book Antiqua" w:cs="Arial"/>
          <w:b/>
        </w:rPr>
      </w:pPr>
    </w:p>
    <w:p w14:paraId="0F59BFA7" w14:textId="77777777" w:rsidR="00385A58" w:rsidRDefault="00385A58" w:rsidP="008F0F55">
      <w:pPr>
        <w:jc w:val="center"/>
        <w:rPr>
          <w:rFonts w:ascii="Book Antiqua" w:hAnsi="Book Antiqua" w:cs="Arial"/>
          <w:b/>
        </w:rPr>
      </w:pPr>
    </w:p>
    <w:p w14:paraId="7F950F83" w14:textId="0B59CEA8" w:rsidR="008F0F55" w:rsidRPr="00F146AE" w:rsidRDefault="00F81D1E" w:rsidP="008F0F55">
      <w:pPr>
        <w:jc w:val="center"/>
        <w:rPr>
          <w:rFonts w:ascii="Book Antiqua" w:hAnsi="Book Antiqua" w:cs="Arial"/>
          <w:b/>
        </w:rPr>
      </w:pPr>
      <w:r w:rsidRPr="00F146AE">
        <w:rPr>
          <w:rFonts w:ascii="Book Antiqua" w:hAnsi="Book Antiqua" w:cs="Arial"/>
          <w:b/>
        </w:rPr>
        <w:t>Between</w:t>
      </w:r>
    </w:p>
    <w:p w14:paraId="148112FF" w14:textId="77777777" w:rsidR="008F0F55" w:rsidRPr="00F146AE" w:rsidRDefault="00E94E58" w:rsidP="008F0F55">
      <w:pPr>
        <w:jc w:val="center"/>
        <w:rPr>
          <w:rFonts w:ascii="Book Antiqua" w:hAnsi="Book Antiqua" w:cs="Arial"/>
          <w:b/>
        </w:rPr>
      </w:pPr>
    </w:p>
    <w:p w14:paraId="36C28499" w14:textId="03B94F63" w:rsidR="008F0F55" w:rsidRDefault="00385A58" w:rsidP="008F0F55">
      <w:pPr>
        <w:jc w:val="center"/>
        <w:rPr>
          <w:rFonts w:ascii="Book Antiqua" w:hAnsi="Book Antiqua" w:cs="Arial"/>
          <w:b/>
        </w:rPr>
      </w:pPr>
      <w:r>
        <w:rPr>
          <w:rFonts w:ascii="Book Antiqua" w:hAnsi="Book Antiqua" w:cs="Arial"/>
          <w:b/>
        </w:rPr>
        <w:t>[</w:t>
      </w:r>
      <w:r w:rsidR="003F0F1B">
        <w:rPr>
          <w:rFonts w:ascii="Book Antiqua" w:hAnsi="Book Antiqua" w:cs="Arial"/>
          <w:b/>
        </w:rPr>
        <w:t>H</w:t>
      </w:r>
      <w:r>
        <w:rPr>
          <w:rFonts w:ascii="Book Antiqua" w:hAnsi="Book Antiqua" w:cs="Arial"/>
          <w:b/>
        </w:rPr>
        <w:t xml:space="preserve"> </w:t>
      </w:r>
      <w:r w:rsidR="003F0F1B">
        <w:rPr>
          <w:rFonts w:ascii="Book Antiqua" w:hAnsi="Book Antiqua" w:cs="Arial"/>
          <w:b/>
        </w:rPr>
        <w:t>M</w:t>
      </w:r>
      <w:r>
        <w:rPr>
          <w:rFonts w:ascii="Book Antiqua" w:hAnsi="Book Antiqua" w:cs="Arial"/>
          <w:b/>
        </w:rPr>
        <w:t>]</w:t>
      </w:r>
    </w:p>
    <w:p w14:paraId="5F65B1C1" w14:textId="77777777" w:rsidR="008F0F55" w:rsidRPr="00385A58" w:rsidRDefault="00F81D1E" w:rsidP="008F0F55">
      <w:pPr>
        <w:jc w:val="center"/>
        <w:rPr>
          <w:rFonts w:ascii="Book Antiqua" w:hAnsi="Book Antiqua" w:cs="Arial"/>
          <w:b/>
          <w:strike/>
          <w:sz w:val="22"/>
        </w:rPr>
      </w:pPr>
      <w:r w:rsidRPr="00385A58">
        <w:rPr>
          <w:rFonts w:ascii="Book Antiqua" w:hAnsi="Book Antiqua" w:cs="Arial"/>
          <w:b/>
          <w:strike/>
          <w:sz w:val="22"/>
        </w:rPr>
        <w:t>[No anonymity direction made]</w:t>
      </w:r>
    </w:p>
    <w:p w14:paraId="382C14C7" w14:textId="77777777" w:rsidR="008F0F55" w:rsidRPr="00F146AE" w:rsidRDefault="00F81D1E" w:rsidP="008F0F55">
      <w:pPr>
        <w:jc w:val="right"/>
        <w:rPr>
          <w:rFonts w:ascii="Book Antiqua" w:hAnsi="Book Antiqua" w:cs="Arial"/>
          <w:u w:val="single"/>
        </w:rPr>
      </w:pPr>
      <w:r w:rsidRPr="00F146AE">
        <w:rPr>
          <w:rFonts w:ascii="Book Antiqua" w:hAnsi="Book Antiqua" w:cs="Arial"/>
          <w:u w:val="single"/>
        </w:rPr>
        <w:t>Appellant</w:t>
      </w:r>
    </w:p>
    <w:p w14:paraId="0E25DA8E" w14:textId="77777777" w:rsidR="008F0F55" w:rsidRPr="00F146AE" w:rsidRDefault="00F81D1E" w:rsidP="008F0F55">
      <w:pPr>
        <w:jc w:val="center"/>
        <w:rPr>
          <w:rFonts w:ascii="Book Antiqua" w:hAnsi="Book Antiqua" w:cs="Arial"/>
          <w:b/>
        </w:rPr>
      </w:pPr>
      <w:r w:rsidRPr="00F146AE">
        <w:rPr>
          <w:rFonts w:ascii="Book Antiqua" w:hAnsi="Book Antiqua" w:cs="Arial"/>
          <w:b/>
        </w:rPr>
        <w:t>and</w:t>
      </w:r>
    </w:p>
    <w:p w14:paraId="5D3E3F45" w14:textId="77777777" w:rsidR="008F0F55" w:rsidRPr="00F146AE" w:rsidRDefault="00E94E58" w:rsidP="008F0F55">
      <w:pPr>
        <w:jc w:val="center"/>
        <w:rPr>
          <w:rFonts w:ascii="Book Antiqua" w:hAnsi="Book Antiqua" w:cs="Arial"/>
          <w:b/>
        </w:rPr>
      </w:pPr>
    </w:p>
    <w:p w14:paraId="380E110F" w14:textId="1C167E4B" w:rsidR="008F0F55" w:rsidRDefault="003F0F1B" w:rsidP="008F0F55">
      <w:pPr>
        <w:jc w:val="center"/>
        <w:rPr>
          <w:rFonts w:ascii="Book Antiqua" w:hAnsi="Book Antiqua" w:cs="Arial"/>
          <w:b/>
        </w:rPr>
      </w:pPr>
      <w:r>
        <w:rPr>
          <w:rFonts w:ascii="Book Antiqua" w:hAnsi="Book Antiqua" w:cs="Arial"/>
          <w:b/>
        </w:rPr>
        <w:t>Secretary of State for the Home Department</w:t>
      </w:r>
    </w:p>
    <w:p w14:paraId="4138BE2F" w14:textId="77777777" w:rsidR="008F0F55" w:rsidRPr="00F146AE" w:rsidRDefault="00F81D1E" w:rsidP="008F0F55">
      <w:pPr>
        <w:jc w:val="right"/>
        <w:rPr>
          <w:rFonts w:ascii="Book Antiqua" w:hAnsi="Book Antiqua" w:cs="Arial"/>
          <w:u w:val="single"/>
        </w:rPr>
      </w:pPr>
      <w:r w:rsidRPr="00F146AE">
        <w:rPr>
          <w:rFonts w:ascii="Book Antiqua" w:hAnsi="Book Antiqua" w:cs="Arial"/>
          <w:u w:val="single"/>
        </w:rPr>
        <w:t>Respondent</w:t>
      </w:r>
    </w:p>
    <w:p w14:paraId="38E4F76D" w14:textId="3A819081" w:rsidR="008F0F55" w:rsidRDefault="00E94E58" w:rsidP="008F0F55">
      <w:pPr>
        <w:rPr>
          <w:rFonts w:ascii="Book Antiqua" w:hAnsi="Book Antiqua" w:cs="Arial"/>
          <w:u w:val="single"/>
        </w:rPr>
      </w:pPr>
    </w:p>
    <w:p w14:paraId="179175DD" w14:textId="77777777" w:rsidR="00385A58" w:rsidRPr="00F146AE" w:rsidRDefault="00385A58" w:rsidP="008F0F55">
      <w:pPr>
        <w:rPr>
          <w:rFonts w:ascii="Book Antiqua" w:hAnsi="Book Antiqua" w:cs="Arial"/>
          <w:u w:val="single"/>
        </w:rPr>
      </w:pPr>
    </w:p>
    <w:p w14:paraId="42F4EF15" w14:textId="77777777" w:rsidR="008F0F55" w:rsidRPr="00F146AE" w:rsidRDefault="00F81D1E" w:rsidP="008F0F55">
      <w:pPr>
        <w:rPr>
          <w:rFonts w:ascii="Book Antiqua" w:hAnsi="Book Antiqua" w:cs="Arial"/>
        </w:rPr>
      </w:pPr>
      <w:r w:rsidRPr="00F146AE">
        <w:rPr>
          <w:rFonts w:ascii="Book Antiqua" w:hAnsi="Book Antiqua" w:cs="Arial"/>
          <w:b/>
          <w:u w:val="single"/>
        </w:rPr>
        <w:t>Representation</w:t>
      </w:r>
      <w:r w:rsidRPr="00F146AE">
        <w:rPr>
          <w:rFonts w:ascii="Book Antiqua" w:hAnsi="Book Antiqua" w:cs="Arial"/>
          <w:b/>
        </w:rPr>
        <w:t>:</w:t>
      </w:r>
    </w:p>
    <w:p w14:paraId="07D2F409" w14:textId="0D307B83" w:rsidR="008F0F55" w:rsidRPr="00F146AE" w:rsidRDefault="00F81D1E" w:rsidP="008F0F55">
      <w:pPr>
        <w:tabs>
          <w:tab w:val="left" w:pos="2520"/>
        </w:tabs>
        <w:rPr>
          <w:rFonts w:ascii="Book Antiqua" w:hAnsi="Book Antiqua" w:cs="Arial"/>
        </w:rPr>
      </w:pPr>
      <w:r>
        <w:rPr>
          <w:rFonts w:ascii="Book Antiqua" w:hAnsi="Book Antiqua" w:cs="Arial"/>
        </w:rPr>
        <w:t>For the a</w:t>
      </w:r>
      <w:r w:rsidRPr="00F146AE">
        <w:rPr>
          <w:rFonts w:ascii="Book Antiqua" w:hAnsi="Book Antiqua" w:cs="Arial"/>
        </w:rPr>
        <w:t>ppellant:</w:t>
      </w:r>
      <w:r w:rsidRPr="00F146AE">
        <w:rPr>
          <w:rFonts w:ascii="Book Antiqua" w:hAnsi="Book Antiqua" w:cs="Arial"/>
        </w:rPr>
        <w:tab/>
      </w:r>
      <w:r w:rsidR="00086C7F">
        <w:rPr>
          <w:rFonts w:ascii="Book Antiqua" w:hAnsi="Book Antiqua" w:cs="Arial"/>
        </w:rPr>
        <w:t>Ms C Warren</w:t>
      </w:r>
      <w:r>
        <w:rPr>
          <w:rFonts w:ascii="Book Antiqua" w:hAnsi="Book Antiqua" w:cs="Arial"/>
        </w:rPr>
        <w:t xml:space="preserve">, instructed by </w:t>
      </w:r>
      <w:r w:rsidR="00086C7F">
        <w:rPr>
          <w:rFonts w:ascii="Book Antiqua" w:hAnsi="Book Antiqua" w:cs="Arial"/>
        </w:rPr>
        <w:t>Duncan Lewis &amp; Co Solicitors</w:t>
      </w:r>
    </w:p>
    <w:p w14:paraId="42E8BC5C" w14:textId="1CE3A373" w:rsidR="008F0F55" w:rsidRPr="00F146AE" w:rsidRDefault="00F81D1E" w:rsidP="008F0F55">
      <w:pPr>
        <w:tabs>
          <w:tab w:val="left" w:pos="2520"/>
        </w:tabs>
        <w:rPr>
          <w:rFonts w:ascii="Book Antiqua" w:hAnsi="Book Antiqua" w:cs="Arial"/>
        </w:rPr>
      </w:pPr>
      <w:r>
        <w:rPr>
          <w:rFonts w:ascii="Book Antiqua" w:hAnsi="Book Antiqua" w:cs="Arial"/>
        </w:rPr>
        <w:t>For the r</w:t>
      </w:r>
      <w:r w:rsidRPr="00F146AE">
        <w:rPr>
          <w:rFonts w:ascii="Book Antiqua" w:hAnsi="Book Antiqua" w:cs="Arial"/>
        </w:rPr>
        <w:t>espondent:</w:t>
      </w:r>
      <w:r w:rsidRPr="00F146AE">
        <w:rPr>
          <w:rFonts w:ascii="Book Antiqua" w:hAnsi="Book Antiqua" w:cs="Arial"/>
        </w:rPr>
        <w:tab/>
      </w:r>
      <w:r w:rsidR="00086C7F">
        <w:rPr>
          <w:rFonts w:ascii="Book Antiqua" w:hAnsi="Book Antiqua" w:cs="Arial"/>
        </w:rPr>
        <w:t xml:space="preserve">Mr M </w:t>
      </w:r>
      <w:proofErr w:type="spellStart"/>
      <w:r w:rsidR="00086C7F">
        <w:rPr>
          <w:rFonts w:ascii="Book Antiqua" w:hAnsi="Book Antiqua" w:cs="Arial"/>
        </w:rPr>
        <w:t>Diwnycz</w:t>
      </w:r>
      <w:proofErr w:type="spellEnd"/>
      <w:r>
        <w:rPr>
          <w:rFonts w:ascii="Book Antiqua" w:hAnsi="Book Antiqua" w:cs="Arial"/>
        </w:rPr>
        <w:t>, Senior Home Office Presenting Officer</w:t>
      </w:r>
    </w:p>
    <w:p w14:paraId="758EED03" w14:textId="29198015" w:rsidR="008F0F55" w:rsidRDefault="00E94E58" w:rsidP="008F0F55">
      <w:pPr>
        <w:tabs>
          <w:tab w:val="left" w:pos="2520"/>
        </w:tabs>
        <w:jc w:val="center"/>
        <w:rPr>
          <w:rFonts w:ascii="Book Antiqua" w:hAnsi="Book Antiqua" w:cs="Arial"/>
        </w:rPr>
      </w:pPr>
    </w:p>
    <w:p w14:paraId="52537760" w14:textId="77777777" w:rsidR="00385A58" w:rsidRPr="00F146AE" w:rsidRDefault="00385A58" w:rsidP="008F0F55">
      <w:pPr>
        <w:tabs>
          <w:tab w:val="left" w:pos="2520"/>
        </w:tabs>
        <w:jc w:val="center"/>
        <w:rPr>
          <w:rFonts w:ascii="Book Antiqua" w:hAnsi="Book Antiqua" w:cs="Arial"/>
        </w:rPr>
      </w:pPr>
    </w:p>
    <w:p w14:paraId="072772E5" w14:textId="77777777" w:rsidR="008F0F55" w:rsidRDefault="00F81D1E" w:rsidP="008F0F55">
      <w:pPr>
        <w:tabs>
          <w:tab w:val="left" w:pos="2520"/>
        </w:tabs>
        <w:jc w:val="center"/>
        <w:rPr>
          <w:rFonts w:ascii="Book Antiqua" w:hAnsi="Book Antiqua" w:cs="Arial"/>
          <w:b/>
          <w:u w:val="single"/>
        </w:rPr>
      </w:pPr>
      <w:r w:rsidRPr="00F146AE">
        <w:rPr>
          <w:rFonts w:ascii="Book Antiqua" w:hAnsi="Book Antiqua" w:cs="Arial"/>
          <w:b/>
          <w:u w:val="single"/>
        </w:rPr>
        <w:t>DE</w:t>
      </w:r>
      <w:r>
        <w:rPr>
          <w:rFonts w:ascii="Book Antiqua" w:hAnsi="Book Antiqua" w:cs="Arial"/>
          <w:b/>
          <w:u w:val="single"/>
        </w:rPr>
        <w:t>CISION</w:t>
      </w:r>
      <w:r w:rsidRPr="00F146AE">
        <w:rPr>
          <w:rFonts w:ascii="Book Antiqua" w:hAnsi="Book Antiqua" w:cs="Arial"/>
          <w:b/>
          <w:u w:val="single"/>
        </w:rPr>
        <w:t xml:space="preserve"> AND REASONS</w:t>
      </w:r>
    </w:p>
    <w:p w14:paraId="422BD9D3" w14:textId="5F3607D6" w:rsidR="00FC346C" w:rsidRDefault="00F81D1E" w:rsidP="008F0F55">
      <w:pPr>
        <w:numPr>
          <w:ilvl w:val="0"/>
          <w:numId w:val="3"/>
        </w:numPr>
        <w:spacing w:before="240"/>
        <w:jc w:val="both"/>
        <w:rPr>
          <w:rFonts w:ascii="Book Antiqua" w:hAnsi="Book Antiqua" w:cs="Arial"/>
        </w:rPr>
      </w:pPr>
      <w:r>
        <w:rPr>
          <w:rFonts w:ascii="Book Antiqua" w:hAnsi="Book Antiqua" w:cs="Arial"/>
        </w:rPr>
        <w:t xml:space="preserve">This is </w:t>
      </w:r>
      <w:r w:rsidR="003E7F7B">
        <w:rPr>
          <w:rFonts w:ascii="Book Antiqua" w:hAnsi="Book Antiqua" w:cs="Arial"/>
        </w:rPr>
        <w:t xml:space="preserve">the appellant’s </w:t>
      </w:r>
      <w:r>
        <w:rPr>
          <w:rFonts w:ascii="Book Antiqua" w:hAnsi="Book Antiqua" w:cs="Arial"/>
        </w:rPr>
        <w:t xml:space="preserve">appeal against the decision of First-tier Tribunal Judge </w:t>
      </w:r>
      <w:r w:rsidR="00BE3E4B">
        <w:rPr>
          <w:rFonts w:ascii="Book Antiqua" w:hAnsi="Book Antiqua" w:cs="Arial"/>
        </w:rPr>
        <w:t xml:space="preserve">Bradshaw </w:t>
      </w:r>
      <w:r w:rsidR="00FC346C">
        <w:rPr>
          <w:rFonts w:ascii="Book Antiqua" w:hAnsi="Book Antiqua" w:cs="Arial"/>
        </w:rPr>
        <w:t xml:space="preserve">promulgated </w:t>
      </w:r>
      <w:r w:rsidR="00BE3E4B">
        <w:rPr>
          <w:rFonts w:ascii="Book Antiqua" w:hAnsi="Book Antiqua" w:cs="Arial"/>
        </w:rPr>
        <w:t>16.8.17</w:t>
      </w:r>
      <w:r>
        <w:rPr>
          <w:rFonts w:ascii="Book Antiqua" w:hAnsi="Book Antiqua" w:cs="Arial"/>
        </w:rPr>
        <w:t xml:space="preserve">, </w:t>
      </w:r>
      <w:r w:rsidR="00FC346C">
        <w:rPr>
          <w:rFonts w:ascii="Book Antiqua" w:hAnsi="Book Antiqua" w:cs="Arial"/>
        </w:rPr>
        <w:t>dismissing</w:t>
      </w:r>
      <w:r>
        <w:rPr>
          <w:rFonts w:ascii="Book Antiqua" w:hAnsi="Book Antiqua" w:cs="Arial"/>
        </w:rPr>
        <w:t xml:space="preserve"> </w:t>
      </w:r>
      <w:r w:rsidR="00BE3E4B">
        <w:rPr>
          <w:rFonts w:ascii="Book Antiqua" w:hAnsi="Book Antiqua" w:cs="Arial"/>
        </w:rPr>
        <w:t xml:space="preserve">on all grounds </w:t>
      </w:r>
      <w:r>
        <w:rPr>
          <w:rFonts w:ascii="Book Antiqua" w:hAnsi="Book Antiqua" w:cs="Arial"/>
        </w:rPr>
        <w:t xml:space="preserve">his appeal against the decision of the </w:t>
      </w:r>
      <w:r w:rsidR="00FC346C">
        <w:rPr>
          <w:rFonts w:ascii="Book Antiqua" w:hAnsi="Book Antiqua" w:cs="Arial"/>
        </w:rPr>
        <w:t xml:space="preserve">Secretary of State, dated </w:t>
      </w:r>
      <w:r w:rsidR="00A44F2B">
        <w:rPr>
          <w:rFonts w:ascii="Book Antiqua" w:hAnsi="Book Antiqua" w:cs="Arial"/>
        </w:rPr>
        <w:t>16.2.17</w:t>
      </w:r>
      <w:r w:rsidR="00FC346C">
        <w:rPr>
          <w:rFonts w:ascii="Book Antiqua" w:hAnsi="Book Antiqua" w:cs="Arial"/>
        </w:rPr>
        <w:t>,</w:t>
      </w:r>
      <w:r>
        <w:rPr>
          <w:rFonts w:ascii="Book Antiqua" w:hAnsi="Book Antiqua" w:cs="Arial"/>
        </w:rPr>
        <w:t xml:space="preserve"> to refuse </w:t>
      </w:r>
      <w:r w:rsidR="00FC346C">
        <w:rPr>
          <w:rFonts w:ascii="Book Antiqua" w:hAnsi="Book Antiqua" w:cs="Arial"/>
        </w:rPr>
        <w:t xml:space="preserve">his </w:t>
      </w:r>
      <w:r w:rsidR="00A44F2B">
        <w:rPr>
          <w:rFonts w:ascii="Book Antiqua" w:hAnsi="Book Antiqua" w:cs="Arial"/>
        </w:rPr>
        <w:t xml:space="preserve">claim for international protection but allowing him </w:t>
      </w:r>
      <w:proofErr w:type="gramStart"/>
      <w:r w:rsidR="00A44F2B">
        <w:rPr>
          <w:rFonts w:ascii="Book Antiqua" w:hAnsi="Book Antiqua" w:cs="Arial"/>
        </w:rPr>
        <w:t>leave</w:t>
      </w:r>
      <w:proofErr w:type="gramEnd"/>
      <w:r w:rsidR="00A44F2B">
        <w:rPr>
          <w:rFonts w:ascii="Book Antiqua" w:hAnsi="Book Antiqua" w:cs="Arial"/>
        </w:rPr>
        <w:t xml:space="preserve"> to remain </w:t>
      </w:r>
      <w:r w:rsidR="00B0424A">
        <w:rPr>
          <w:rFonts w:ascii="Book Antiqua" w:hAnsi="Book Antiqua" w:cs="Arial"/>
        </w:rPr>
        <w:t xml:space="preserve">as a minor </w:t>
      </w:r>
      <w:r w:rsidR="00A44F2B">
        <w:rPr>
          <w:rFonts w:ascii="Book Antiqua" w:hAnsi="Book Antiqua" w:cs="Arial"/>
        </w:rPr>
        <w:t>until he becomes an adult</w:t>
      </w:r>
      <w:r>
        <w:rPr>
          <w:rFonts w:ascii="Book Antiqua" w:hAnsi="Book Antiqua" w:cs="Arial"/>
        </w:rPr>
        <w:t xml:space="preserve">.  </w:t>
      </w:r>
    </w:p>
    <w:p w14:paraId="36D78E09" w14:textId="418B97B9" w:rsidR="0068595F" w:rsidRDefault="0068595F" w:rsidP="008F0F55">
      <w:pPr>
        <w:numPr>
          <w:ilvl w:val="0"/>
          <w:numId w:val="3"/>
        </w:numPr>
        <w:spacing w:before="240"/>
        <w:jc w:val="both"/>
        <w:rPr>
          <w:rFonts w:ascii="Book Antiqua" w:hAnsi="Book Antiqua" w:cs="Arial"/>
        </w:rPr>
      </w:pPr>
      <w:r>
        <w:rPr>
          <w:rFonts w:ascii="Book Antiqua" w:hAnsi="Book Antiqua" w:cs="Arial"/>
        </w:rPr>
        <w:t xml:space="preserve">Judge Bradshaw found the appellant’s account </w:t>
      </w:r>
      <w:r w:rsidR="004903A1">
        <w:rPr>
          <w:rFonts w:ascii="Book Antiqua" w:hAnsi="Book Antiqua" w:cs="Arial"/>
        </w:rPr>
        <w:t xml:space="preserve">not credible and his claimed fear of Taliban recruitment not made out. </w:t>
      </w:r>
    </w:p>
    <w:p w14:paraId="50F2D2D7" w14:textId="1EF313C5" w:rsidR="008F0F55" w:rsidRDefault="00F81D1E" w:rsidP="008F0F55">
      <w:pPr>
        <w:numPr>
          <w:ilvl w:val="0"/>
          <w:numId w:val="3"/>
        </w:numPr>
        <w:spacing w:before="240"/>
        <w:jc w:val="both"/>
        <w:rPr>
          <w:rFonts w:ascii="Book Antiqua" w:hAnsi="Book Antiqua" w:cs="Arial"/>
        </w:rPr>
      </w:pPr>
      <w:r>
        <w:rPr>
          <w:rFonts w:ascii="Book Antiqua" w:hAnsi="Book Antiqua" w:cs="Arial"/>
        </w:rPr>
        <w:lastRenderedPageBreak/>
        <w:t xml:space="preserve">First-tier Tribunal Judge </w:t>
      </w:r>
      <w:proofErr w:type="spellStart"/>
      <w:r w:rsidR="007C3E2B">
        <w:rPr>
          <w:rFonts w:ascii="Book Antiqua" w:hAnsi="Book Antiqua" w:cs="Arial"/>
        </w:rPr>
        <w:t>O’Garro</w:t>
      </w:r>
      <w:proofErr w:type="spellEnd"/>
      <w:r w:rsidR="007C3E2B">
        <w:rPr>
          <w:rFonts w:ascii="Book Antiqua" w:hAnsi="Book Antiqua" w:cs="Arial"/>
        </w:rPr>
        <w:t xml:space="preserve"> refused permission to appeal on </w:t>
      </w:r>
      <w:r w:rsidR="00A12241">
        <w:rPr>
          <w:rFonts w:ascii="Book Antiqua" w:hAnsi="Book Antiqua" w:cs="Arial"/>
        </w:rPr>
        <w:t>3.11.17. However, when the application was renewed to the Upper Tribunal, Upper Tribunal Judge Storey</w:t>
      </w:r>
      <w:r>
        <w:rPr>
          <w:rFonts w:ascii="Book Antiqua" w:hAnsi="Book Antiqua" w:cs="Arial"/>
        </w:rPr>
        <w:t xml:space="preserve"> </w:t>
      </w:r>
      <w:r w:rsidRPr="00011203">
        <w:rPr>
          <w:rFonts w:ascii="Book Antiqua" w:hAnsi="Book Antiqua" w:cs="Arial"/>
        </w:rPr>
        <w:t xml:space="preserve">granted permission to appeal on </w:t>
      </w:r>
      <w:r w:rsidR="00A12241">
        <w:rPr>
          <w:rFonts w:ascii="Book Antiqua" w:hAnsi="Book Antiqua" w:cs="Arial"/>
        </w:rPr>
        <w:t>6.2.18</w:t>
      </w:r>
      <w:r w:rsidR="00E57C6E">
        <w:rPr>
          <w:rFonts w:ascii="Book Antiqua" w:hAnsi="Book Antiqua" w:cs="Arial"/>
        </w:rPr>
        <w:t>, stating, “Despite finding that the appellant was a minor who may be suffering from mental health difficulties the judge made no discernible allowances for his vulnerabilities when assessing whether his account was credible in light of several inconsistencies</w:t>
      </w:r>
      <w:r>
        <w:rPr>
          <w:rFonts w:ascii="Book Antiqua" w:hAnsi="Book Antiqua" w:cs="Arial"/>
        </w:rPr>
        <w:t>.</w:t>
      </w:r>
      <w:r w:rsidR="00E57C6E">
        <w:rPr>
          <w:rFonts w:ascii="Book Antiqua" w:hAnsi="Book Antiqua" w:cs="Arial"/>
        </w:rPr>
        <w:t xml:space="preserve"> The judge’s treatment of the expert evidence is also problematic, especially in relation to that expert’s conclusions on the issue of forced recruitment.”</w:t>
      </w:r>
    </w:p>
    <w:p w14:paraId="4C34FEB4" w14:textId="77777777" w:rsidR="001A6A82" w:rsidRPr="003E7F7B" w:rsidRDefault="001A6A82" w:rsidP="00CC692F">
      <w:pPr>
        <w:spacing w:before="240" w:after="100" w:afterAutospacing="1"/>
        <w:jc w:val="both"/>
        <w:rPr>
          <w:rFonts w:ascii="Book Antiqua" w:hAnsi="Book Antiqua" w:cs="Arial"/>
          <w:i/>
        </w:rPr>
      </w:pPr>
      <w:r w:rsidRPr="003E7F7B">
        <w:rPr>
          <w:rFonts w:ascii="Book Antiqua" w:hAnsi="Book Antiqua" w:cs="Arial"/>
          <w:i/>
        </w:rPr>
        <w:t>Error of Law</w:t>
      </w:r>
    </w:p>
    <w:p w14:paraId="281C1D6D" w14:textId="053E4E2F" w:rsidR="001A6A82" w:rsidRDefault="001A6A82" w:rsidP="001A6A82">
      <w:pPr>
        <w:numPr>
          <w:ilvl w:val="0"/>
          <w:numId w:val="3"/>
        </w:numPr>
        <w:spacing w:before="240"/>
        <w:jc w:val="both"/>
        <w:rPr>
          <w:rFonts w:ascii="Book Antiqua" w:hAnsi="Book Antiqua" w:cs="Arial"/>
        </w:rPr>
      </w:pPr>
      <w:r w:rsidRPr="00011203">
        <w:rPr>
          <w:rFonts w:ascii="Book Antiqua" w:hAnsi="Book Antiqua" w:cs="Arial"/>
        </w:rPr>
        <w:t xml:space="preserve">In the first instance I have to determine whether or not </w:t>
      </w:r>
      <w:r w:rsidRPr="00652FF3">
        <w:rPr>
          <w:rFonts w:ascii="Book Antiqua" w:hAnsi="Book Antiqua" w:cs="Arial"/>
        </w:rPr>
        <w:t>there was a</w:t>
      </w:r>
      <w:r>
        <w:rPr>
          <w:rFonts w:ascii="Book Antiqua" w:hAnsi="Book Antiqua" w:cs="Arial"/>
        </w:rPr>
        <w:t>n error of law in the making of the decision of the First-tier Tribunal such that it should be set aside.</w:t>
      </w:r>
    </w:p>
    <w:p w14:paraId="6AA842E6" w14:textId="02310F48" w:rsidR="001E654D" w:rsidRDefault="00E832D2" w:rsidP="008F0F55">
      <w:pPr>
        <w:numPr>
          <w:ilvl w:val="0"/>
          <w:numId w:val="3"/>
        </w:numPr>
        <w:spacing w:before="240"/>
        <w:jc w:val="both"/>
        <w:rPr>
          <w:rFonts w:ascii="Book Antiqua" w:hAnsi="Book Antiqua" w:cs="Arial"/>
        </w:rPr>
      </w:pPr>
      <w:r>
        <w:rPr>
          <w:rFonts w:ascii="Book Antiqua" w:hAnsi="Book Antiqua" w:cs="Arial"/>
        </w:rPr>
        <w:t xml:space="preserve">The appellant’s case was that </w:t>
      </w:r>
      <w:r w:rsidR="002D282E">
        <w:rPr>
          <w:rFonts w:ascii="Book Antiqua" w:hAnsi="Book Antiqua" w:cs="Arial"/>
        </w:rPr>
        <w:t>he had been told that his father died fighting for the Taliban</w:t>
      </w:r>
      <w:r w:rsidR="00EB062E">
        <w:rPr>
          <w:rFonts w:ascii="Book Antiqua" w:hAnsi="Book Antiqua" w:cs="Arial"/>
        </w:rPr>
        <w:t>. Some years later, at</w:t>
      </w:r>
      <w:r>
        <w:rPr>
          <w:rFonts w:ascii="Book Antiqua" w:hAnsi="Book Antiqua" w:cs="Arial"/>
        </w:rPr>
        <w:t xml:space="preserve"> age 13</w:t>
      </w:r>
      <w:r w:rsidR="00EB062E">
        <w:rPr>
          <w:rFonts w:ascii="Book Antiqua" w:hAnsi="Book Antiqua" w:cs="Arial"/>
        </w:rPr>
        <w:t xml:space="preserve"> </w:t>
      </w:r>
      <w:r w:rsidR="00A97F92">
        <w:rPr>
          <w:rFonts w:ascii="Book Antiqua" w:hAnsi="Book Antiqua" w:cs="Arial"/>
        </w:rPr>
        <w:t>in 2015</w:t>
      </w:r>
      <w:r w:rsidR="00EB062E">
        <w:rPr>
          <w:rFonts w:ascii="Book Antiqua" w:hAnsi="Book Antiqua" w:cs="Arial"/>
        </w:rPr>
        <w:t>,</w:t>
      </w:r>
      <w:r w:rsidR="00A97F92">
        <w:rPr>
          <w:rFonts w:ascii="Book Antiqua" w:hAnsi="Book Antiqua" w:cs="Arial"/>
        </w:rPr>
        <w:t xml:space="preserve"> Taliban members took him from home to a training camp</w:t>
      </w:r>
      <w:r w:rsidR="00EB062E">
        <w:rPr>
          <w:rFonts w:ascii="Book Antiqua" w:hAnsi="Book Antiqua" w:cs="Arial"/>
        </w:rPr>
        <w:t xml:space="preserve"> where he received some instruction on guns and bombs</w:t>
      </w:r>
      <w:r w:rsidR="008C1132">
        <w:rPr>
          <w:rFonts w:ascii="Book Antiqua" w:hAnsi="Book Antiqua" w:cs="Arial"/>
        </w:rPr>
        <w:t xml:space="preserve">. The following day, his uncle secured his release by payment of an unknown sum of money. Two or three days later, he left Afghanistan. </w:t>
      </w:r>
      <w:r w:rsidR="007F166A">
        <w:rPr>
          <w:rFonts w:ascii="Book Antiqua" w:hAnsi="Book Antiqua" w:cs="Arial"/>
        </w:rPr>
        <w:t xml:space="preserve">Taliban members have since been to his home asking about him. </w:t>
      </w:r>
      <w:r w:rsidR="00650535">
        <w:rPr>
          <w:rFonts w:ascii="Book Antiqua" w:hAnsi="Book Antiqua" w:cs="Arial"/>
        </w:rPr>
        <w:t xml:space="preserve">The respondent did not accept his claim of Taliban recruitment or adverse interest. </w:t>
      </w:r>
    </w:p>
    <w:p w14:paraId="4FD76BCA" w14:textId="77777777" w:rsidR="00E15205" w:rsidRDefault="00E57C6E" w:rsidP="0023511D">
      <w:pPr>
        <w:numPr>
          <w:ilvl w:val="0"/>
          <w:numId w:val="3"/>
        </w:numPr>
        <w:spacing w:before="240"/>
        <w:jc w:val="both"/>
        <w:rPr>
          <w:rFonts w:ascii="Book Antiqua" w:hAnsi="Book Antiqua" w:cs="Arial"/>
        </w:rPr>
      </w:pPr>
      <w:r>
        <w:rPr>
          <w:rFonts w:ascii="Book Antiqua" w:hAnsi="Book Antiqua" w:cs="Arial"/>
        </w:rPr>
        <w:t>In relation to mental health, the appellant claimed that he suffers nightmares</w:t>
      </w:r>
      <w:r w:rsidR="008E0DA6">
        <w:rPr>
          <w:rFonts w:ascii="Book Antiqua" w:hAnsi="Book Antiqua" w:cs="Arial"/>
        </w:rPr>
        <w:t>,</w:t>
      </w:r>
      <w:r>
        <w:rPr>
          <w:rFonts w:ascii="Book Antiqua" w:hAnsi="Book Antiqua" w:cs="Arial"/>
        </w:rPr>
        <w:t xml:space="preserve"> feels withdrawn</w:t>
      </w:r>
      <w:r w:rsidR="008E0DA6">
        <w:rPr>
          <w:rFonts w:ascii="Book Antiqua" w:hAnsi="Book Antiqua" w:cs="Arial"/>
        </w:rPr>
        <w:t xml:space="preserve">, has been self-harming, and has been referred for counselling. </w:t>
      </w:r>
      <w:r w:rsidR="001E654D">
        <w:rPr>
          <w:rFonts w:ascii="Book Antiqua" w:hAnsi="Book Antiqua" w:cs="Arial"/>
        </w:rPr>
        <w:t xml:space="preserve">The judge was alive to this issue and at [25] details how he </w:t>
      </w:r>
      <w:r w:rsidR="00B716BD">
        <w:rPr>
          <w:rFonts w:ascii="Book Antiqua" w:hAnsi="Book Antiqua" w:cs="Arial"/>
        </w:rPr>
        <w:t xml:space="preserve">adjusted the hearing process accordingly. </w:t>
      </w:r>
      <w:r w:rsidR="004743D0">
        <w:rPr>
          <w:rFonts w:ascii="Book Antiqua" w:hAnsi="Book Antiqua" w:cs="Arial"/>
        </w:rPr>
        <w:t>The judge also took into account the appellant’s young age</w:t>
      </w:r>
      <w:r w:rsidR="005A632C">
        <w:rPr>
          <w:rFonts w:ascii="Book Antiqua" w:hAnsi="Book Antiqua" w:cs="Arial"/>
        </w:rPr>
        <w:t xml:space="preserve"> and lack of education</w:t>
      </w:r>
      <w:r w:rsidR="004743D0">
        <w:rPr>
          <w:rFonts w:ascii="Book Antiqua" w:hAnsi="Book Antiqua" w:cs="Arial"/>
        </w:rPr>
        <w:t xml:space="preserve"> when considering credibility in light of the inconsistencies</w:t>
      </w:r>
      <w:r w:rsidR="002D282E">
        <w:rPr>
          <w:rFonts w:ascii="Book Antiqua" w:hAnsi="Book Antiqua" w:cs="Arial"/>
        </w:rPr>
        <w:t xml:space="preserve"> in the account. </w:t>
      </w:r>
      <w:r w:rsidR="003C2924">
        <w:rPr>
          <w:rFonts w:ascii="Book Antiqua" w:hAnsi="Book Antiqua" w:cs="Arial"/>
        </w:rPr>
        <w:t>At [50] the judge</w:t>
      </w:r>
      <w:r w:rsidR="005A632C">
        <w:rPr>
          <w:rFonts w:ascii="Book Antiqua" w:hAnsi="Book Antiqua" w:cs="Arial"/>
        </w:rPr>
        <w:t xml:space="preserve"> </w:t>
      </w:r>
      <w:r w:rsidR="00C3465E">
        <w:rPr>
          <w:rFonts w:ascii="Book Antiqua" w:hAnsi="Book Antiqua" w:cs="Arial"/>
        </w:rPr>
        <w:t>appears to have accepted (may well be)</w:t>
      </w:r>
      <w:r w:rsidR="005A632C">
        <w:rPr>
          <w:rFonts w:ascii="Book Antiqua" w:hAnsi="Book Antiqua" w:cs="Arial"/>
        </w:rPr>
        <w:t xml:space="preserve"> that the appellant </w:t>
      </w:r>
      <w:r w:rsidR="00E15205">
        <w:rPr>
          <w:rFonts w:ascii="Book Antiqua" w:hAnsi="Book Antiqua" w:cs="Arial"/>
        </w:rPr>
        <w:t>was</w:t>
      </w:r>
      <w:r w:rsidR="005A632C">
        <w:rPr>
          <w:rFonts w:ascii="Book Antiqua" w:hAnsi="Book Antiqua" w:cs="Arial"/>
        </w:rPr>
        <w:t xml:space="preserve"> suffering from mental health problems but noted that he had produced no medical evidence to support the claim, not even his alleged referral for counselling. </w:t>
      </w:r>
      <w:r w:rsidR="0035319F">
        <w:rPr>
          <w:rFonts w:ascii="Book Antiqua" w:hAnsi="Book Antiqua" w:cs="Arial"/>
        </w:rPr>
        <w:t xml:space="preserve">The judge considered alternative reasons for his alleged mental health problems, including the long and arduous journey from Afghanistan to the UK. </w:t>
      </w:r>
      <w:r w:rsidR="007C0EEF">
        <w:rPr>
          <w:rFonts w:ascii="Book Antiqua" w:hAnsi="Book Antiqua" w:cs="Arial"/>
        </w:rPr>
        <w:t xml:space="preserve">The judge also noted at [26] that the appellant was evidently able to fully participate in the proceedings and at </w:t>
      </w:r>
      <w:r w:rsidR="0052247F">
        <w:rPr>
          <w:rFonts w:ascii="Book Antiqua" w:hAnsi="Book Antiqua" w:cs="Arial"/>
        </w:rPr>
        <w:t xml:space="preserve">[43] that his evidence was quite clear and specific. </w:t>
      </w:r>
    </w:p>
    <w:p w14:paraId="76E825F2" w14:textId="24962715" w:rsidR="00E15205" w:rsidRDefault="0035319F" w:rsidP="0023511D">
      <w:pPr>
        <w:numPr>
          <w:ilvl w:val="0"/>
          <w:numId w:val="3"/>
        </w:numPr>
        <w:spacing w:before="240"/>
        <w:jc w:val="both"/>
        <w:rPr>
          <w:rFonts w:ascii="Book Antiqua" w:hAnsi="Book Antiqua" w:cs="Arial"/>
        </w:rPr>
      </w:pPr>
      <w:r>
        <w:rPr>
          <w:rFonts w:ascii="Book Antiqua" w:hAnsi="Book Antiqua" w:cs="Arial"/>
        </w:rPr>
        <w:t>The appellant’s representative did not address mental health issues in his submissions at the close of the evidence</w:t>
      </w:r>
      <w:r w:rsidR="00E412EA">
        <w:rPr>
          <w:rFonts w:ascii="Book Antiqua" w:hAnsi="Book Antiqua" w:cs="Arial"/>
        </w:rPr>
        <w:t xml:space="preserve"> and</w:t>
      </w:r>
      <w:r w:rsidR="00E15205">
        <w:rPr>
          <w:rFonts w:ascii="Book Antiqua" w:hAnsi="Book Antiqua" w:cs="Arial"/>
        </w:rPr>
        <w:t xml:space="preserve"> </w:t>
      </w:r>
      <w:r w:rsidR="00E412EA">
        <w:rPr>
          <w:rFonts w:ascii="Book Antiqua" w:hAnsi="Book Antiqua" w:cs="Arial"/>
        </w:rPr>
        <w:t xml:space="preserve">there is no ground of appeal specifically addressing that issue. </w:t>
      </w:r>
      <w:r w:rsidR="00250AE8">
        <w:rPr>
          <w:rFonts w:ascii="Book Antiqua" w:hAnsi="Book Antiqua" w:cs="Arial"/>
        </w:rPr>
        <w:t xml:space="preserve">It is barely mentioned at all and Ms Warren struggled to try and bring it within one of the other grounds. </w:t>
      </w:r>
      <w:r w:rsidR="00D25D82">
        <w:rPr>
          <w:rFonts w:ascii="Book Antiqua" w:hAnsi="Book Antiqua" w:cs="Arial"/>
        </w:rPr>
        <w:t xml:space="preserve">Ms Warren relies on </w:t>
      </w:r>
      <w:r w:rsidR="00D25D82" w:rsidRPr="00B753A7">
        <w:rPr>
          <w:rFonts w:ascii="Book Antiqua" w:hAnsi="Book Antiqua" w:cs="Arial"/>
          <w:u w:val="single"/>
        </w:rPr>
        <w:t>AZ (error of law: jurisdiction; PTA practice) Iran</w:t>
      </w:r>
      <w:r w:rsidR="00D25D82">
        <w:rPr>
          <w:rFonts w:ascii="Book Antiqua" w:hAnsi="Book Antiqua" w:cs="Arial"/>
        </w:rPr>
        <w:t xml:space="preserve"> [2018] UKUT 245 (IAC)</w:t>
      </w:r>
      <w:r w:rsidR="00B753A7">
        <w:rPr>
          <w:rFonts w:ascii="Book Antiqua" w:hAnsi="Book Antiqua" w:cs="Arial"/>
        </w:rPr>
        <w:t xml:space="preserve"> in which the Upper Tribunal held that permission should be granted on a ground that was not advanced by an applicant for permission, only if it is one that the judge is satisfied has a </w:t>
      </w:r>
      <w:proofErr w:type="spellStart"/>
      <w:r w:rsidR="00B753A7">
        <w:rPr>
          <w:rFonts w:ascii="Book Antiqua" w:hAnsi="Book Antiqua" w:cs="Arial"/>
        </w:rPr>
        <w:t>a</w:t>
      </w:r>
      <w:proofErr w:type="spellEnd"/>
      <w:r w:rsidR="00B753A7">
        <w:rPr>
          <w:rFonts w:ascii="Book Antiqua" w:hAnsi="Book Antiqua" w:cs="Arial"/>
        </w:rPr>
        <w:t xml:space="preserve"> strong prospect of success for either party or, possibly, one </w:t>
      </w:r>
      <w:r w:rsidR="000F3575">
        <w:rPr>
          <w:rFonts w:ascii="Book Antiqua" w:hAnsi="Book Antiqua" w:cs="Arial"/>
        </w:rPr>
        <w:t xml:space="preserve">that relates to an issue of general importance. </w:t>
      </w:r>
    </w:p>
    <w:p w14:paraId="59050487" w14:textId="34D759AB" w:rsidR="007860EA" w:rsidRDefault="00366DC7" w:rsidP="0023511D">
      <w:pPr>
        <w:numPr>
          <w:ilvl w:val="0"/>
          <w:numId w:val="3"/>
        </w:numPr>
        <w:spacing w:before="240"/>
        <w:jc w:val="both"/>
        <w:rPr>
          <w:rFonts w:ascii="Book Antiqua" w:hAnsi="Book Antiqua" w:cs="Arial"/>
        </w:rPr>
      </w:pPr>
      <w:r>
        <w:rPr>
          <w:rFonts w:ascii="Book Antiqua" w:hAnsi="Book Antiqua" w:cs="Arial"/>
        </w:rPr>
        <w:t xml:space="preserve">Permission having been granted, and the issue being relevant, I accept that it is a ground that can be advanced at the Upper Tribunal appeal hearing. </w:t>
      </w:r>
    </w:p>
    <w:p w14:paraId="4497C36C" w14:textId="71914548" w:rsidR="00366DC7" w:rsidRPr="0023511D" w:rsidRDefault="00366DC7" w:rsidP="0023511D">
      <w:pPr>
        <w:numPr>
          <w:ilvl w:val="0"/>
          <w:numId w:val="3"/>
        </w:numPr>
        <w:spacing w:before="240"/>
        <w:jc w:val="both"/>
        <w:rPr>
          <w:rFonts w:ascii="Book Antiqua" w:hAnsi="Book Antiqua" w:cs="Arial"/>
        </w:rPr>
      </w:pPr>
      <w:r>
        <w:rPr>
          <w:rFonts w:ascii="Book Antiqua" w:hAnsi="Book Antiqua" w:cs="Arial"/>
        </w:rPr>
        <w:lastRenderedPageBreak/>
        <w:t>Whilst Judge</w:t>
      </w:r>
      <w:r w:rsidR="00325442">
        <w:rPr>
          <w:rFonts w:ascii="Book Antiqua" w:hAnsi="Book Antiqua" w:cs="Arial"/>
        </w:rPr>
        <w:t xml:space="preserve"> Bradshaw properly took the mental health issue into account in the conduct of the proceedings, it does not appear that it was a factor taken into account in the assessment of credibility, along with the appellant’s youth, which was specifically mentioned at [51] as having been considered in the credibility assessment. </w:t>
      </w:r>
    </w:p>
    <w:p w14:paraId="62629DA8" w14:textId="5C460D66" w:rsidR="0035319F" w:rsidRDefault="0035319F" w:rsidP="008F0F55">
      <w:pPr>
        <w:numPr>
          <w:ilvl w:val="0"/>
          <w:numId w:val="3"/>
        </w:numPr>
        <w:spacing w:before="240"/>
        <w:jc w:val="both"/>
        <w:rPr>
          <w:rFonts w:ascii="Book Antiqua" w:hAnsi="Book Antiqua" w:cs="Arial"/>
        </w:rPr>
      </w:pPr>
      <w:r>
        <w:rPr>
          <w:rFonts w:ascii="Book Antiqua" w:hAnsi="Book Antiqua" w:cs="Arial"/>
        </w:rPr>
        <w:t xml:space="preserve">In relation to the treatment of the expert evidence of Mr </w:t>
      </w:r>
      <w:proofErr w:type="spellStart"/>
      <w:r>
        <w:rPr>
          <w:rFonts w:ascii="Book Antiqua" w:hAnsi="Book Antiqua" w:cs="Arial"/>
        </w:rPr>
        <w:t>Foxley</w:t>
      </w:r>
      <w:proofErr w:type="spellEnd"/>
      <w:r w:rsidR="001F0C6B">
        <w:rPr>
          <w:rFonts w:ascii="Book Antiqua" w:hAnsi="Book Antiqua" w:cs="Arial"/>
        </w:rPr>
        <w:t xml:space="preserve">, the judge noted </w:t>
      </w:r>
      <w:r w:rsidR="0052247F">
        <w:rPr>
          <w:rFonts w:ascii="Book Antiqua" w:hAnsi="Book Antiqua" w:cs="Arial"/>
        </w:rPr>
        <w:t xml:space="preserve">and summarised </w:t>
      </w:r>
      <w:r w:rsidR="001F0C6B">
        <w:rPr>
          <w:rFonts w:ascii="Book Antiqua" w:hAnsi="Book Antiqua" w:cs="Arial"/>
        </w:rPr>
        <w:t xml:space="preserve">the </w:t>
      </w:r>
      <w:r w:rsidR="00B40013">
        <w:rPr>
          <w:rFonts w:ascii="Book Antiqua" w:hAnsi="Book Antiqua" w:cs="Arial"/>
        </w:rPr>
        <w:t xml:space="preserve">unchallenged </w:t>
      </w:r>
      <w:r w:rsidR="001F0C6B">
        <w:rPr>
          <w:rFonts w:ascii="Book Antiqua" w:hAnsi="Book Antiqua" w:cs="Arial"/>
        </w:rPr>
        <w:t xml:space="preserve">evidence in relation to </w:t>
      </w:r>
      <w:r w:rsidR="00B40013">
        <w:rPr>
          <w:rFonts w:ascii="Book Antiqua" w:hAnsi="Book Antiqua" w:cs="Arial"/>
        </w:rPr>
        <w:t xml:space="preserve">grooming and recruitment of children by the Taliban. </w:t>
      </w:r>
      <w:r w:rsidR="00566289">
        <w:rPr>
          <w:rFonts w:ascii="Book Antiqua" w:hAnsi="Book Antiqua" w:cs="Arial"/>
        </w:rPr>
        <w:t xml:space="preserve">At [30] the judge observed that the report was very lengthy and detailed </w:t>
      </w:r>
      <w:r w:rsidR="007B3641">
        <w:rPr>
          <w:rFonts w:ascii="Book Antiqua" w:hAnsi="Book Antiqua" w:cs="Arial"/>
        </w:rPr>
        <w:t>and commented that it was long on generalities but short of specifics relating to the appellant and his home area</w:t>
      </w:r>
      <w:r w:rsidR="008225CB">
        <w:rPr>
          <w:rFonts w:ascii="Book Antiqua" w:hAnsi="Book Antiqua" w:cs="Arial"/>
        </w:rPr>
        <w:t xml:space="preserve"> of </w:t>
      </w:r>
      <w:proofErr w:type="spellStart"/>
      <w:r w:rsidR="008225CB">
        <w:rPr>
          <w:rFonts w:ascii="Book Antiqua" w:hAnsi="Book Antiqua" w:cs="Arial"/>
        </w:rPr>
        <w:t>Nangahar</w:t>
      </w:r>
      <w:proofErr w:type="spellEnd"/>
      <w:r w:rsidR="007B3641">
        <w:rPr>
          <w:rFonts w:ascii="Book Antiqua" w:hAnsi="Book Antiqua" w:cs="Arial"/>
        </w:rPr>
        <w:t xml:space="preserve">. </w:t>
      </w:r>
      <w:r w:rsidR="00A178C6">
        <w:rPr>
          <w:rFonts w:ascii="Book Antiqua" w:hAnsi="Book Antiqua" w:cs="Arial"/>
        </w:rPr>
        <w:t xml:space="preserve">However, the judge noted that even the expert found the appellant’s account of attempted recruitment vague. </w:t>
      </w:r>
      <w:r w:rsidR="00E412EA">
        <w:rPr>
          <w:rFonts w:ascii="Book Antiqua" w:hAnsi="Book Antiqua" w:cs="Arial"/>
        </w:rPr>
        <w:t xml:space="preserve">Despite the lack of clarity and detail, which the expert ascribed to the appellant age, and despite a lack of hard data regarding forced recruitment, the expert found the </w:t>
      </w:r>
      <w:r w:rsidR="00385A58">
        <w:rPr>
          <w:rFonts w:ascii="Book Antiqua" w:hAnsi="Book Antiqua" w:cs="Arial"/>
        </w:rPr>
        <w:t>appellant’s account “convincing</w:t>
      </w:r>
      <w:r w:rsidR="00E412EA">
        <w:rPr>
          <w:rFonts w:ascii="Book Antiqua" w:hAnsi="Book Antiqua" w:cs="Arial"/>
        </w:rPr>
        <w:t>”</w:t>
      </w:r>
      <w:r w:rsidR="00385A58">
        <w:rPr>
          <w:rFonts w:ascii="Book Antiqua" w:hAnsi="Book Antiqua" w:cs="Arial"/>
        </w:rPr>
        <w:t xml:space="preserve">. </w:t>
      </w:r>
      <w:r w:rsidR="00E412EA">
        <w:rPr>
          <w:rFonts w:ascii="Book Antiqua" w:hAnsi="Book Antiqua" w:cs="Arial"/>
        </w:rPr>
        <w:t xml:space="preserve">The judge went on to observe that the expert erred in referring to the appellant as someone without much in the way of a family network. Later in the decision, the judge addressed the submission that the appellant would be at risk on grounds of perceived westernisation and non-Islamic behaviour arising out of his schooling in the UK. </w:t>
      </w:r>
    </w:p>
    <w:p w14:paraId="6DA077B0" w14:textId="38E7A964" w:rsidR="00B516B1" w:rsidRPr="00FD46D1" w:rsidRDefault="00B516B1" w:rsidP="00FD46D1">
      <w:pPr>
        <w:numPr>
          <w:ilvl w:val="0"/>
          <w:numId w:val="3"/>
        </w:numPr>
        <w:spacing w:before="240"/>
        <w:jc w:val="both"/>
        <w:rPr>
          <w:rFonts w:ascii="Book Antiqua" w:hAnsi="Book Antiqua" w:cs="Arial"/>
        </w:rPr>
      </w:pPr>
      <w:r>
        <w:rPr>
          <w:rFonts w:ascii="Book Antiqua" w:hAnsi="Book Antiqua" w:cs="Arial"/>
        </w:rPr>
        <w:t xml:space="preserve">The difficulty, as Mr </w:t>
      </w:r>
      <w:proofErr w:type="spellStart"/>
      <w:r>
        <w:rPr>
          <w:rFonts w:ascii="Book Antiqua" w:hAnsi="Book Antiqua" w:cs="Arial"/>
        </w:rPr>
        <w:t>Diwnycz</w:t>
      </w:r>
      <w:proofErr w:type="spellEnd"/>
      <w:r>
        <w:rPr>
          <w:rFonts w:ascii="Book Antiqua" w:hAnsi="Book Antiqua" w:cs="Arial"/>
        </w:rPr>
        <w:t xml:space="preserve"> conceded was that there was no conclusion to the judge’s assessment of the expert evidence and it is not clear that it was taken into account at all the credibility assessment.</w:t>
      </w:r>
      <w:r w:rsidR="00FD46D1">
        <w:rPr>
          <w:rFonts w:ascii="Book Antiqua" w:hAnsi="Book Antiqua" w:cs="Arial"/>
        </w:rPr>
        <w:t xml:space="preserve"> </w:t>
      </w:r>
      <w:r w:rsidRPr="00FD46D1">
        <w:rPr>
          <w:rFonts w:ascii="Book Antiqua" w:hAnsi="Book Antiqua" w:cs="Arial"/>
        </w:rPr>
        <w:t xml:space="preserve">Mr </w:t>
      </w:r>
      <w:proofErr w:type="spellStart"/>
      <w:r w:rsidRPr="00FD46D1">
        <w:rPr>
          <w:rFonts w:ascii="Book Antiqua" w:hAnsi="Book Antiqua" w:cs="Arial"/>
        </w:rPr>
        <w:t>Diwnycz</w:t>
      </w:r>
      <w:proofErr w:type="spellEnd"/>
      <w:r w:rsidRPr="00FD46D1">
        <w:rPr>
          <w:rFonts w:ascii="Book Antiqua" w:hAnsi="Book Antiqua" w:cs="Arial"/>
        </w:rPr>
        <w:t xml:space="preserve"> </w:t>
      </w:r>
      <w:r w:rsidR="00BC6713">
        <w:rPr>
          <w:rFonts w:ascii="Book Antiqua" w:hAnsi="Book Antiqua" w:cs="Arial"/>
        </w:rPr>
        <w:t>submitted</w:t>
      </w:r>
      <w:r w:rsidRPr="00FD46D1">
        <w:rPr>
          <w:rFonts w:ascii="Book Antiqua" w:hAnsi="Book Antiqua" w:cs="Arial"/>
        </w:rPr>
        <w:t xml:space="preserve"> that in the circumstances of youth and the accepted mental health issues, the judge should </w:t>
      </w:r>
      <w:r w:rsidR="00BC6713">
        <w:rPr>
          <w:rFonts w:ascii="Book Antiqua" w:hAnsi="Book Antiqua" w:cs="Arial"/>
        </w:rPr>
        <w:t xml:space="preserve">perhaps </w:t>
      </w:r>
      <w:r w:rsidRPr="00FD46D1">
        <w:rPr>
          <w:rFonts w:ascii="Book Antiqua" w:hAnsi="Book Antiqua" w:cs="Arial"/>
        </w:rPr>
        <w:t xml:space="preserve">have relied more on the background and expert evidence rather than </w:t>
      </w:r>
      <w:r w:rsidR="00E178F4" w:rsidRPr="00FD46D1">
        <w:rPr>
          <w:rFonts w:ascii="Book Antiqua" w:hAnsi="Book Antiqua" w:cs="Arial"/>
        </w:rPr>
        <w:t xml:space="preserve">only </w:t>
      </w:r>
      <w:r w:rsidRPr="00FD46D1">
        <w:rPr>
          <w:rFonts w:ascii="Book Antiqua" w:hAnsi="Book Antiqua" w:cs="Arial"/>
        </w:rPr>
        <w:t xml:space="preserve">on discrepancies in the appellant’s account. It is conceded </w:t>
      </w:r>
      <w:r w:rsidR="000A18F0" w:rsidRPr="00FD46D1">
        <w:rPr>
          <w:rFonts w:ascii="Book Antiqua" w:hAnsi="Book Antiqua" w:cs="Arial"/>
        </w:rPr>
        <w:t xml:space="preserve">by the respondent </w:t>
      </w:r>
      <w:r w:rsidRPr="00FD46D1">
        <w:rPr>
          <w:rFonts w:ascii="Book Antiqua" w:hAnsi="Book Antiqua" w:cs="Arial"/>
        </w:rPr>
        <w:t>that the First-tier Tribunal failed to adequately grapple with the evidence as a whole, in the round, and that there is an insufficiency of reasoning in the decision.</w:t>
      </w:r>
    </w:p>
    <w:p w14:paraId="35532BCD" w14:textId="240446CD" w:rsidR="00E412EA" w:rsidRDefault="00B516B1" w:rsidP="008F0F55">
      <w:pPr>
        <w:numPr>
          <w:ilvl w:val="0"/>
          <w:numId w:val="3"/>
        </w:numPr>
        <w:spacing w:before="240"/>
        <w:jc w:val="both"/>
        <w:rPr>
          <w:rFonts w:ascii="Book Antiqua" w:hAnsi="Book Antiqua" w:cs="Arial"/>
        </w:rPr>
      </w:pPr>
      <w:r>
        <w:rPr>
          <w:rFonts w:ascii="Book Antiqua" w:hAnsi="Book Antiqua" w:cs="Arial"/>
        </w:rPr>
        <w:t>For example, at</w:t>
      </w:r>
      <w:r w:rsidR="00E412EA">
        <w:rPr>
          <w:rFonts w:ascii="Book Antiqua" w:hAnsi="Book Antiqua" w:cs="Arial"/>
        </w:rPr>
        <w:t xml:space="preserve"> [4</w:t>
      </w:r>
      <w:r w:rsidR="00A54A20">
        <w:rPr>
          <w:rFonts w:ascii="Book Antiqua" w:hAnsi="Book Antiqua" w:cs="Arial"/>
        </w:rPr>
        <w:t>1</w:t>
      </w:r>
      <w:r w:rsidR="00E412EA">
        <w:rPr>
          <w:rFonts w:ascii="Book Antiqua" w:hAnsi="Book Antiqua" w:cs="Arial"/>
        </w:rPr>
        <w:t xml:space="preserve">] the judge concluded that the </w:t>
      </w:r>
      <w:r w:rsidR="008234AA">
        <w:rPr>
          <w:rFonts w:ascii="Book Antiqua" w:hAnsi="Book Antiqua" w:cs="Arial"/>
        </w:rPr>
        <w:t>submission of risk based on westernisation was “</w:t>
      </w:r>
      <w:r w:rsidR="00E412EA">
        <w:rPr>
          <w:rFonts w:ascii="Book Antiqua" w:hAnsi="Book Antiqua" w:cs="Arial"/>
        </w:rPr>
        <w:t>speculative at bes</w:t>
      </w:r>
      <w:r w:rsidR="00ED6CF3">
        <w:rPr>
          <w:rFonts w:ascii="Book Antiqua" w:hAnsi="Book Antiqua" w:cs="Arial"/>
        </w:rPr>
        <w:t xml:space="preserve">t,” based on his schooling in the UK. </w:t>
      </w:r>
      <w:r w:rsidR="00A54A20">
        <w:rPr>
          <w:rFonts w:ascii="Book Antiqua" w:hAnsi="Book Antiqua" w:cs="Arial"/>
        </w:rPr>
        <w:t xml:space="preserve">However, there was no reasoning to support this conclusion and no reference to the </w:t>
      </w:r>
      <w:r w:rsidR="00ED6CF3">
        <w:rPr>
          <w:rFonts w:ascii="Book Antiqua" w:hAnsi="Book Antiqua" w:cs="Arial"/>
        </w:rPr>
        <w:t xml:space="preserve">evidence adduced to support this contention, including UNCHR and the two reports referred to at [11] and [12] of the grounds. </w:t>
      </w:r>
    </w:p>
    <w:p w14:paraId="28F60D5F" w14:textId="09D981DE" w:rsidR="008C60DA" w:rsidRDefault="00234203" w:rsidP="008F0F55">
      <w:pPr>
        <w:numPr>
          <w:ilvl w:val="0"/>
          <w:numId w:val="3"/>
        </w:numPr>
        <w:spacing w:before="240"/>
        <w:jc w:val="both"/>
        <w:rPr>
          <w:rFonts w:ascii="Book Antiqua" w:hAnsi="Book Antiqua" w:cs="Arial"/>
        </w:rPr>
      </w:pPr>
      <w:r>
        <w:rPr>
          <w:rFonts w:ascii="Book Antiqua" w:hAnsi="Book Antiqua" w:cs="Arial"/>
        </w:rPr>
        <w:t>Similarly, t</w:t>
      </w:r>
      <w:r w:rsidR="008C60DA">
        <w:rPr>
          <w:rFonts w:ascii="Book Antiqua" w:hAnsi="Book Antiqua" w:cs="Arial"/>
        </w:rPr>
        <w:t>he grounds and M</w:t>
      </w:r>
      <w:r>
        <w:rPr>
          <w:rFonts w:ascii="Book Antiqua" w:hAnsi="Book Antiqua" w:cs="Arial"/>
        </w:rPr>
        <w:t>s Warren’s</w:t>
      </w:r>
      <w:r w:rsidR="008C60DA">
        <w:rPr>
          <w:rFonts w:ascii="Book Antiqua" w:hAnsi="Book Antiqua" w:cs="Arial"/>
        </w:rPr>
        <w:t xml:space="preserve"> submissions assert that the judge erred at [46]</w:t>
      </w:r>
      <w:r w:rsidR="00FE689A">
        <w:rPr>
          <w:rFonts w:ascii="Book Antiqua" w:hAnsi="Book Antiqua" w:cs="Arial"/>
        </w:rPr>
        <w:t xml:space="preserve"> in</w:t>
      </w:r>
      <w:r w:rsidR="008C60DA">
        <w:rPr>
          <w:rFonts w:ascii="Book Antiqua" w:hAnsi="Book Antiqua" w:cs="Arial"/>
        </w:rPr>
        <w:t xml:space="preserve"> stating that evidence is required to show that forcible recruitment is a real risk for the particular child concerned</w:t>
      </w:r>
      <w:r w:rsidR="005C68D2">
        <w:rPr>
          <w:rFonts w:ascii="Book Antiqua" w:hAnsi="Book Antiqua" w:cs="Arial"/>
        </w:rPr>
        <w:t xml:space="preserve"> and not a mere possibility. </w:t>
      </w:r>
      <w:r w:rsidR="00481B94">
        <w:rPr>
          <w:rFonts w:ascii="Book Antiqua" w:hAnsi="Book Antiqua" w:cs="Arial"/>
        </w:rPr>
        <w:t>It is not clear that the judge has</w:t>
      </w:r>
      <w:r w:rsidR="000C0378">
        <w:rPr>
          <w:rFonts w:ascii="Book Antiqua" w:hAnsi="Book Antiqua" w:cs="Arial"/>
        </w:rPr>
        <w:t xml:space="preserve"> taken into account </w:t>
      </w:r>
      <w:r w:rsidR="00FE689A">
        <w:rPr>
          <w:rFonts w:ascii="Book Antiqua" w:hAnsi="Book Antiqua" w:cs="Arial"/>
        </w:rPr>
        <w:t>a</w:t>
      </w:r>
      <w:r w:rsidR="000C0378">
        <w:rPr>
          <w:rFonts w:ascii="Book Antiqua" w:hAnsi="Book Antiqua" w:cs="Arial"/>
        </w:rPr>
        <w:t>ny</w:t>
      </w:r>
      <w:r w:rsidR="00FE689A">
        <w:rPr>
          <w:rFonts w:ascii="Book Antiqua" w:hAnsi="Book Antiqua" w:cs="Arial"/>
        </w:rPr>
        <w:t xml:space="preserve"> general </w:t>
      </w:r>
      <w:r w:rsidR="00A84821">
        <w:rPr>
          <w:rFonts w:ascii="Book Antiqua" w:hAnsi="Book Antiqua" w:cs="Arial"/>
        </w:rPr>
        <w:t xml:space="preserve">risk of </w:t>
      </w:r>
      <w:r w:rsidR="007C0EEF">
        <w:rPr>
          <w:rFonts w:ascii="Book Antiqua" w:hAnsi="Book Antiqua" w:cs="Arial"/>
        </w:rPr>
        <w:t xml:space="preserve">children in </w:t>
      </w:r>
      <w:proofErr w:type="spellStart"/>
      <w:r w:rsidR="007C0EEF">
        <w:rPr>
          <w:rFonts w:ascii="Book Antiqua" w:hAnsi="Book Antiqua" w:cs="Arial"/>
        </w:rPr>
        <w:t>Nangahar</w:t>
      </w:r>
      <w:proofErr w:type="spellEnd"/>
      <w:r w:rsidR="007C0EEF">
        <w:rPr>
          <w:rFonts w:ascii="Book Antiqua" w:hAnsi="Book Antiqua" w:cs="Arial"/>
        </w:rPr>
        <w:t xml:space="preserve"> Province</w:t>
      </w:r>
      <w:r w:rsidR="00A84821">
        <w:rPr>
          <w:rFonts w:ascii="Book Antiqua" w:hAnsi="Book Antiqua" w:cs="Arial"/>
        </w:rPr>
        <w:t xml:space="preserve"> being recruited to the Taliban</w:t>
      </w:r>
      <w:r w:rsidR="000C0378">
        <w:rPr>
          <w:rFonts w:ascii="Book Antiqua" w:hAnsi="Book Antiqua" w:cs="Arial"/>
        </w:rPr>
        <w:t xml:space="preserve">, although </w:t>
      </w:r>
      <w:r w:rsidR="006F53AA">
        <w:rPr>
          <w:rFonts w:ascii="Book Antiqua" w:hAnsi="Book Antiqua" w:cs="Arial"/>
        </w:rPr>
        <w:t xml:space="preserve">the judge </w:t>
      </w:r>
      <w:r w:rsidR="000C0378">
        <w:rPr>
          <w:rFonts w:ascii="Book Antiqua" w:hAnsi="Book Antiqua" w:cs="Arial"/>
        </w:rPr>
        <w:t xml:space="preserve">earlier </w:t>
      </w:r>
      <w:r w:rsidR="006F53AA">
        <w:rPr>
          <w:rFonts w:ascii="Book Antiqua" w:hAnsi="Book Antiqua" w:cs="Arial"/>
        </w:rPr>
        <w:t xml:space="preserve">addressed the inadequacies of evidence </w:t>
      </w:r>
      <w:r w:rsidR="00F819D2">
        <w:rPr>
          <w:rFonts w:ascii="Book Antiqua" w:hAnsi="Book Antiqua" w:cs="Arial"/>
        </w:rPr>
        <w:t xml:space="preserve">in this regard both from the expert and from the appellant. </w:t>
      </w:r>
    </w:p>
    <w:p w14:paraId="28CE323C" w14:textId="2A5A2F2E" w:rsidR="000C0378" w:rsidRDefault="00BC6713" w:rsidP="008F0F55">
      <w:pPr>
        <w:numPr>
          <w:ilvl w:val="0"/>
          <w:numId w:val="3"/>
        </w:numPr>
        <w:spacing w:before="240"/>
        <w:jc w:val="both"/>
        <w:rPr>
          <w:rFonts w:ascii="Book Antiqua" w:hAnsi="Book Antiqua" w:cs="Arial"/>
        </w:rPr>
      </w:pPr>
      <w:r>
        <w:rPr>
          <w:rFonts w:ascii="Book Antiqua" w:hAnsi="Book Antiqua" w:cs="Arial"/>
        </w:rPr>
        <w:t xml:space="preserve">I am satisfied that there was an inadequacy of reasoning in the decision read as a whole and a failure to demonstrate that relevant considerations had been taken into account in assessment of credibility. </w:t>
      </w:r>
      <w:r w:rsidR="000C0378">
        <w:rPr>
          <w:rFonts w:ascii="Book Antiqua" w:hAnsi="Book Antiqua" w:cs="Arial"/>
        </w:rPr>
        <w:t xml:space="preserve">In all the circumstances, for the reasons summarised above, I am satisfied that there were material errors of law in the making of the decision of the First-tier Tribunal which could have affected the outcome of the appeal. </w:t>
      </w:r>
    </w:p>
    <w:p w14:paraId="416BF71E" w14:textId="77777777" w:rsidR="00385A58" w:rsidRDefault="00385A58" w:rsidP="00FC346C">
      <w:pPr>
        <w:spacing w:before="240"/>
        <w:jc w:val="both"/>
        <w:rPr>
          <w:rFonts w:ascii="Book Antiqua" w:hAnsi="Book Antiqua" w:cs="Arial"/>
          <w:i/>
        </w:rPr>
      </w:pPr>
    </w:p>
    <w:p w14:paraId="6457FA20" w14:textId="43CD98CE" w:rsidR="00FC346C" w:rsidRPr="003E7F7B" w:rsidRDefault="00FC346C" w:rsidP="00FC346C">
      <w:pPr>
        <w:spacing w:before="240"/>
        <w:jc w:val="both"/>
        <w:rPr>
          <w:rFonts w:ascii="Book Antiqua" w:hAnsi="Book Antiqua" w:cs="Arial"/>
          <w:i/>
        </w:rPr>
      </w:pPr>
      <w:r w:rsidRPr="003E7F7B">
        <w:rPr>
          <w:rFonts w:ascii="Book Antiqua" w:hAnsi="Book Antiqua" w:cs="Arial"/>
          <w:i/>
        </w:rPr>
        <w:lastRenderedPageBreak/>
        <w:t>Remittal</w:t>
      </w:r>
    </w:p>
    <w:p w14:paraId="6553FDDB" w14:textId="5A5278D8" w:rsidR="00255E18" w:rsidRPr="00255E18" w:rsidRDefault="00255E18" w:rsidP="00FC346C">
      <w:pPr>
        <w:numPr>
          <w:ilvl w:val="0"/>
          <w:numId w:val="3"/>
        </w:numPr>
        <w:tabs>
          <w:tab w:val="left" w:pos="2520"/>
        </w:tabs>
        <w:spacing w:before="240" w:after="100" w:afterAutospacing="1"/>
        <w:jc w:val="both"/>
        <w:rPr>
          <w:rFonts w:ascii="Book Antiqua" w:hAnsi="Book Antiqua" w:cs="Arial"/>
        </w:rPr>
      </w:pPr>
      <w:r>
        <w:rPr>
          <w:rFonts w:ascii="Book Antiqua" w:hAnsi="Book Antiqua" w:cs="Arial"/>
        </w:rPr>
        <w:t xml:space="preserve">It was not possible to proceed immediately to rehear the appeal, there being no interpreter and the parties not in a position to address the evidence. </w:t>
      </w:r>
    </w:p>
    <w:p w14:paraId="1E239823" w14:textId="013EE7EC" w:rsidR="00FC346C" w:rsidRPr="00195C0A" w:rsidRDefault="00FC346C" w:rsidP="00FC346C">
      <w:pPr>
        <w:numPr>
          <w:ilvl w:val="0"/>
          <w:numId w:val="3"/>
        </w:numPr>
        <w:tabs>
          <w:tab w:val="left" w:pos="2520"/>
        </w:tabs>
        <w:spacing w:before="240" w:after="100" w:afterAutospacing="1"/>
        <w:jc w:val="both"/>
        <w:rPr>
          <w:rFonts w:ascii="Book Antiqua" w:hAnsi="Book Antiqua" w:cs="Arial"/>
        </w:rPr>
      </w:pPr>
      <w:r>
        <w:rPr>
          <w:rFonts w:ascii="Book Antiqua" w:hAnsi="Book Antiqua" w:cs="Book Antiqua"/>
          <w:lang w:val="en-US" w:eastAsia="en-US"/>
        </w:rPr>
        <w:t xml:space="preserve">When a decision of the First-tier Tribunal has been set aside, section 12(2) of the Tribunals, Courts and Enforcement Act 2007 requires either that the case is remitted to the First-tier Tribunal with directions, or it must be remade by the Upper Tribunal. </w:t>
      </w:r>
      <w:r w:rsidRPr="00546BFD">
        <w:rPr>
          <w:rFonts w:ascii="Book Antiqua" w:hAnsi="Book Antiqua" w:cs="Arial"/>
        </w:rPr>
        <w:t>The scheme of the Tribunals Court and Enforcement Act 2007 does not assign the function of primary fact finding to the Upper Tribunal.</w:t>
      </w:r>
      <w:r>
        <w:rPr>
          <w:rFonts w:ascii="Book Antiqua" w:hAnsi="Book Antiqua" w:cs="Arial"/>
        </w:rPr>
        <w:t xml:space="preserve"> </w:t>
      </w:r>
      <w:r>
        <w:rPr>
          <w:rFonts w:ascii="Book Antiqua" w:hAnsi="Book Antiqua" w:cs="Book Antiqua"/>
          <w:lang w:val="en-US" w:eastAsia="en-US"/>
        </w:rPr>
        <w:t>The errors of the First-tier Tribunal vitiate</w:t>
      </w:r>
      <w:r w:rsidR="008E5779">
        <w:rPr>
          <w:rFonts w:ascii="Book Antiqua" w:hAnsi="Book Antiqua" w:cs="Book Antiqua"/>
          <w:lang w:val="en-US" w:eastAsia="en-US"/>
        </w:rPr>
        <w:t xml:space="preserve"> </w:t>
      </w:r>
      <w:r>
        <w:rPr>
          <w:rFonts w:ascii="Book Antiqua" w:hAnsi="Book Antiqua" w:cs="Book Antiqua"/>
          <w:lang w:val="en-US" w:eastAsia="en-US"/>
        </w:rPr>
        <w:t xml:space="preserve">all other findings of fact and the conclusions from those facts so that there has not been a valid determination of the issues in the appeal. </w:t>
      </w:r>
    </w:p>
    <w:p w14:paraId="56902984" w14:textId="77777777" w:rsidR="00FC346C" w:rsidRDefault="00FC346C" w:rsidP="00FC346C">
      <w:pPr>
        <w:numPr>
          <w:ilvl w:val="0"/>
          <w:numId w:val="3"/>
        </w:numPr>
        <w:tabs>
          <w:tab w:val="left" w:pos="2520"/>
        </w:tabs>
        <w:spacing w:before="240" w:after="100" w:afterAutospacing="1"/>
        <w:jc w:val="both"/>
        <w:rPr>
          <w:rFonts w:ascii="Book Antiqua" w:hAnsi="Book Antiqua" w:cs="Arial"/>
        </w:rPr>
      </w:pPr>
      <w:r>
        <w:rPr>
          <w:rFonts w:ascii="Book Antiqua" w:hAnsi="Book Antiqua" w:cs="Book Antiqua"/>
          <w:lang w:val="en-US" w:eastAsia="en-US"/>
        </w:rPr>
        <w:t>In all the circumstances, at the invitation and request of both parties to relist this appeal for a fresh hearing in the First-tier Tribunal, I do so on the basis that this is a case which falls squarely within the Senior President’s Practice Statement at paragraph 7.2. The effect of the error has been to deprive the appellant of a fair hearing and that the nature or extent of any judicial fact finding which is necessary for the decision in the appeal to be re-made is such that, having regard to the overriding objective in rule 2 to deal with cases fairly and justly, including with the avoidance of delay, I find that it is appropriate to remit this appeal to the First-tier Tribunal to determine the appeal afresh.</w:t>
      </w:r>
    </w:p>
    <w:p w14:paraId="73958CA2" w14:textId="21718137" w:rsidR="008F0F55" w:rsidRPr="003E7F7B" w:rsidRDefault="003E7F7B" w:rsidP="008F0F55">
      <w:pPr>
        <w:tabs>
          <w:tab w:val="left" w:pos="2520"/>
        </w:tabs>
        <w:spacing w:before="240" w:after="100" w:afterAutospacing="1"/>
        <w:jc w:val="both"/>
        <w:rPr>
          <w:rFonts w:ascii="Book Antiqua" w:hAnsi="Book Antiqua" w:cs="Arial"/>
          <w:i/>
        </w:rPr>
      </w:pPr>
      <w:r w:rsidRPr="003E7F7B">
        <w:rPr>
          <w:rFonts w:ascii="Book Antiqua" w:hAnsi="Book Antiqua" w:cs="Arial"/>
          <w:i/>
        </w:rPr>
        <w:t>Decision</w:t>
      </w:r>
    </w:p>
    <w:p w14:paraId="4B412155" w14:textId="1EB8C5D4" w:rsidR="008F0F55" w:rsidRPr="003A0DFB" w:rsidRDefault="00F81D1E" w:rsidP="008F0F55">
      <w:pPr>
        <w:numPr>
          <w:ilvl w:val="0"/>
          <w:numId w:val="3"/>
        </w:numPr>
        <w:tabs>
          <w:tab w:val="left" w:pos="2520"/>
        </w:tabs>
        <w:spacing w:before="240" w:after="100" w:afterAutospacing="1"/>
        <w:jc w:val="both"/>
        <w:rPr>
          <w:rFonts w:ascii="Book Antiqua" w:hAnsi="Book Antiqua" w:cs="Arial"/>
        </w:rPr>
      </w:pPr>
      <w:r w:rsidRPr="003A0DFB">
        <w:rPr>
          <w:rFonts w:ascii="Book Antiqua" w:hAnsi="Book Antiqua" w:cs="Arial"/>
        </w:rPr>
        <w:t>The making of the decision</w:t>
      </w:r>
      <w:r>
        <w:rPr>
          <w:rFonts w:ascii="Book Antiqua" w:hAnsi="Book Antiqua" w:cs="Arial"/>
        </w:rPr>
        <w:t xml:space="preserve"> of the First-tier Tribunal did</w:t>
      </w:r>
      <w:r w:rsidRPr="003A0DFB">
        <w:rPr>
          <w:rFonts w:ascii="Book Antiqua" w:hAnsi="Book Antiqua" w:cs="Arial"/>
        </w:rPr>
        <w:t xml:space="preserve"> involve the making of an error on a point of law</w:t>
      </w:r>
      <w:r>
        <w:rPr>
          <w:rFonts w:ascii="Book Antiqua" w:hAnsi="Book Antiqua" w:cs="Arial"/>
        </w:rPr>
        <w:t xml:space="preserve"> such that the decision should be set aside</w:t>
      </w:r>
      <w:r w:rsidRPr="003A0DFB">
        <w:rPr>
          <w:rFonts w:ascii="Book Antiqua" w:hAnsi="Book Antiqua" w:cs="Arial"/>
        </w:rPr>
        <w:t>.</w:t>
      </w:r>
    </w:p>
    <w:p w14:paraId="07F8E562" w14:textId="5C80FA39" w:rsidR="008F0F55" w:rsidRDefault="00F81D1E" w:rsidP="008F0F55">
      <w:pPr>
        <w:tabs>
          <w:tab w:val="left" w:pos="2520"/>
        </w:tabs>
        <w:spacing w:before="240" w:after="100" w:afterAutospacing="1"/>
        <w:jc w:val="both"/>
        <w:rPr>
          <w:rFonts w:ascii="Book Antiqua" w:hAnsi="Book Antiqua" w:cs="Arial"/>
        </w:rPr>
      </w:pPr>
      <w:r w:rsidRPr="003A0DFB">
        <w:rPr>
          <w:rFonts w:ascii="Book Antiqua" w:hAnsi="Book Antiqua" w:cs="Arial"/>
        </w:rPr>
        <w:tab/>
        <w:t>I set aside the decision</w:t>
      </w:r>
      <w:r>
        <w:rPr>
          <w:rFonts w:ascii="Book Antiqua" w:hAnsi="Book Antiqua" w:cs="Arial"/>
        </w:rPr>
        <w:t>.</w:t>
      </w:r>
      <w:r w:rsidRPr="003A0DFB">
        <w:rPr>
          <w:rFonts w:ascii="Book Antiqua" w:hAnsi="Book Antiqua" w:cs="Arial"/>
        </w:rPr>
        <w:t xml:space="preserve"> </w:t>
      </w:r>
    </w:p>
    <w:p w14:paraId="7284A635" w14:textId="77777777" w:rsidR="00FC346C" w:rsidRPr="003A0DFB" w:rsidRDefault="00FC346C" w:rsidP="00FC346C">
      <w:pPr>
        <w:tabs>
          <w:tab w:val="left" w:pos="2520"/>
        </w:tabs>
        <w:spacing w:before="240" w:after="100" w:afterAutospacing="1"/>
        <w:ind w:left="2520"/>
        <w:jc w:val="both"/>
        <w:rPr>
          <w:rFonts w:ascii="Book Antiqua" w:hAnsi="Book Antiqua" w:cs="Arial"/>
        </w:rPr>
      </w:pPr>
      <w:r>
        <w:rPr>
          <w:rFonts w:ascii="Book Antiqua" w:hAnsi="Book Antiqua" w:cs="Arial"/>
        </w:rPr>
        <w:t xml:space="preserve">I remit the appeal to be decided afresh in the First-tier Tribunal in accordance with the attached directions. </w:t>
      </w:r>
    </w:p>
    <w:p w14:paraId="65E935A3" w14:textId="77777777" w:rsidR="008F0F55" w:rsidRDefault="00F81D1E" w:rsidP="008F0F55">
      <w:pPr>
        <w:tabs>
          <w:tab w:val="left" w:pos="2268"/>
          <w:tab w:val="left" w:pos="5103"/>
        </w:tabs>
        <w:rPr>
          <w:rFonts w:ascii="Book Antiqua" w:hAnsi="Book Antiqua" w:cs="Arial"/>
          <w:b/>
          <w:bCs/>
        </w:rPr>
      </w:pPr>
      <w:r w:rsidRPr="006E1B05">
        <w:rPr>
          <w:rFonts w:ascii="Book Antiqua" w:hAnsi="Book Antiqua" w:cs="Arial"/>
          <w:b/>
          <w:bCs/>
        </w:rPr>
        <w:tab/>
      </w:r>
      <w:r>
        <w:rPr>
          <w:noProof/>
        </w:rPr>
        <w:drawing>
          <wp:inline distT="0" distB="0" distL="0" distR="0" wp14:anchorId="6FEC3DB3" wp14:editId="5507EEBE">
            <wp:extent cx="1979295" cy="1027430"/>
            <wp:effectExtent l="25400" t="0" r="1905" b="0"/>
            <wp:docPr id="2" name="Picture 2" descr="dp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 sig"/>
                    <pic:cNvPicPr>
                      <a:picLocks noChangeAspect="1" noChangeArrowheads="1"/>
                    </pic:cNvPicPr>
                  </pic:nvPicPr>
                  <pic:blipFill>
                    <a:blip r:embed="rId8"/>
                    <a:srcRect/>
                    <a:stretch>
                      <a:fillRect/>
                    </a:stretch>
                  </pic:blipFill>
                  <pic:spPr bwMode="auto">
                    <a:xfrm>
                      <a:off x="0" y="0"/>
                      <a:ext cx="1979295" cy="1027430"/>
                    </a:xfrm>
                    <a:prstGeom prst="rect">
                      <a:avLst/>
                    </a:prstGeom>
                    <a:noFill/>
                    <a:ln w="9525">
                      <a:noFill/>
                      <a:miter lim="800000"/>
                      <a:headEnd/>
                      <a:tailEnd/>
                    </a:ln>
                  </pic:spPr>
                </pic:pic>
              </a:graphicData>
            </a:graphic>
          </wp:inline>
        </w:drawing>
      </w:r>
    </w:p>
    <w:p w14:paraId="3EBBAE1E" w14:textId="77777777" w:rsidR="008F0F55" w:rsidRPr="006E1B05" w:rsidRDefault="00F81D1E" w:rsidP="008F0F55">
      <w:pPr>
        <w:tabs>
          <w:tab w:val="left" w:pos="2268"/>
          <w:tab w:val="left" w:pos="5103"/>
        </w:tabs>
        <w:rPr>
          <w:rFonts w:ascii="Book Antiqua" w:hAnsi="Book Antiqua" w:cs="Arial"/>
          <w:b/>
          <w:bCs/>
        </w:rPr>
      </w:pPr>
      <w:r>
        <w:rPr>
          <w:rFonts w:ascii="Book Antiqua" w:hAnsi="Book Antiqua" w:cs="Arial"/>
          <w:b/>
          <w:bCs/>
        </w:rPr>
        <w:tab/>
      </w:r>
      <w:r w:rsidRPr="006E1B05">
        <w:rPr>
          <w:rFonts w:ascii="Book Antiqua" w:hAnsi="Book Antiqua" w:cs="Arial"/>
          <w:b/>
          <w:bCs/>
        </w:rPr>
        <w:t>Signed</w:t>
      </w:r>
      <w:r>
        <w:rPr>
          <w:rFonts w:ascii="Book Antiqua" w:hAnsi="Book Antiqua" w:cs="Arial"/>
          <w:b/>
          <w:bCs/>
        </w:rPr>
        <w:tab/>
      </w:r>
    </w:p>
    <w:p w14:paraId="4113910F" w14:textId="77777777" w:rsidR="008F0F55" w:rsidRPr="006E1B05" w:rsidRDefault="00E94E58" w:rsidP="008F0F55">
      <w:pPr>
        <w:tabs>
          <w:tab w:val="left" w:pos="2268"/>
          <w:tab w:val="left" w:pos="4536"/>
          <w:tab w:val="left" w:pos="5103"/>
        </w:tabs>
        <w:rPr>
          <w:rFonts w:ascii="Book Antiqua" w:hAnsi="Book Antiqua" w:cs="Arial"/>
          <w:b/>
          <w:bCs/>
        </w:rPr>
      </w:pPr>
    </w:p>
    <w:p w14:paraId="26B0D653" w14:textId="77777777" w:rsidR="008F0F55" w:rsidRPr="006E1B05" w:rsidRDefault="00F81D1E" w:rsidP="008F0F55">
      <w:pPr>
        <w:tabs>
          <w:tab w:val="left" w:pos="2268"/>
          <w:tab w:val="left" w:pos="5103"/>
        </w:tabs>
        <w:ind w:left="567"/>
        <w:rPr>
          <w:rFonts w:ascii="Book Antiqua" w:hAnsi="Book Antiqua" w:cs="Arial"/>
          <w:b/>
          <w:bCs/>
        </w:rPr>
      </w:pPr>
      <w:r>
        <w:rPr>
          <w:rFonts w:ascii="Book Antiqua" w:hAnsi="Book Antiqua" w:cs="Arial"/>
          <w:b/>
          <w:bCs/>
        </w:rPr>
        <w:tab/>
        <w:t>Deputy Upper Tribunal Judge Pickup</w:t>
      </w:r>
    </w:p>
    <w:p w14:paraId="691AFAE0" w14:textId="77777777" w:rsidR="008F0F55" w:rsidRPr="006E1B05" w:rsidRDefault="00E94E58" w:rsidP="008F0F55">
      <w:pPr>
        <w:tabs>
          <w:tab w:val="left" w:pos="2268"/>
          <w:tab w:val="left" w:pos="5103"/>
        </w:tabs>
        <w:rPr>
          <w:rFonts w:ascii="Book Antiqua" w:hAnsi="Book Antiqua" w:cs="Arial"/>
          <w:b/>
          <w:bCs/>
        </w:rPr>
      </w:pPr>
    </w:p>
    <w:p w14:paraId="4B176394" w14:textId="1563104B" w:rsidR="008F0F55" w:rsidRDefault="00F81D1E" w:rsidP="008F0F55">
      <w:pPr>
        <w:tabs>
          <w:tab w:val="left" w:pos="2268"/>
          <w:tab w:val="left" w:pos="5103"/>
        </w:tabs>
        <w:rPr>
          <w:rFonts w:ascii="Arial" w:hAnsi="Arial" w:cs="Arial"/>
          <w:b/>
          <w:bCs/>
        </w:rPr>
      </w:pPr>
      <w:r>
        <w:rPr>
          <w:rFonts w:ascii="Book Antiqua" w:hAnsi="Book Antiqua" w:cs="Arial"/>
          <w:b/>
          <w:bCs/>
        </w:rPr>
        <w:tab/>
      </w:r>
      <w:r w:rsidRPr="006E1B05">
        <w:rPr>
          <w:rFonts w:ascii="Book Antiqua" w:hAnsi="Book Antiqua" w:cs="Arial"/>
          <w:b/>
          <w:bCs/>
        </w:rPr>
        <w:t>Dated</w:t>
      </w:r>
    </w:p>
    <w:p w14:paraId="5B53F670" w14:textId="77777777" w:rsidR="008F0F55" w:rsidRPr="0083585F" w:rsidRDefault="00E94E58" w:rsidP="008F0F55">
      <w:pPr>
        <w:tabs>
          <w:tab w:val="left" w:pos="2520"/>
        </w:tabs>
        <w:jc w:val="both"/>
        <w:rPr>
          <w:rFonts w:ascii="Book Antiqua" w:hAnsi="Book Antiqua" w:cs="Arial"/>
        </w:rPr>
      </w:pPr>
    </w:p>
    <w:p w14:paraId="3F220014" w14:textId="5547192C" w:rsidR="008F0F55" w:rsidRDefault="00E94E58" w:rsidP="008F0F55">
      <w:pPr>
        <w:tabs>
          <w:tab w:val="left" w:pos="2520"/>
        </w:tabs>
        <w:jc w:val="both"/>
        <w:rPr>
          <w:rFonts w:ascii="Book Antiqua" w:hAnsi="Book Antiqua" w:cs="Arial"/>
        </w:rPr>
      </w:pPr>
    </w:p>
    <w:p w14:paraId="239D9D87" w14:textId="77777777" w:rsidR="00385A58" w:rsidRPr="0083585F" w:rsidRDefault="00385A58" w:rsidP="008F0F55">
      <w:pPr>
        <w:tabs>
          <w:tab w:val="left" w:pos="2520"/>
        </w:tabs>
        <w:jc w:val="both"/>
        <w:rPr>
          <w:rFonts w:ascii="Book Antiqua" w:hAnsi="Book Antiqua" w:cs="Arial"/>
        </w:rPr>
      </w:pPr>
    </w:p>
    <w:p w14:paraId="73FD2686" w14:textId="77777777" w:rsidR="008F0F55" w:rsidRPr="003A0DFB" w:rsidRDefault="00F81D1E" w:rsidP="008F0F55">
      <w:pPr>
        <w:tabs>
          <w:tab w:val="left" w:pos="2520"/>
        </w:tabs>
        <w:spacing w:before="240" w:after="100" w:afterAutospacing="1"/>
        <w:rPr>
          <w:rFonts w:ascii="Book Antiqua" w:hAnsi="Book Antiqua" w:cs="Arial"/>
          <w:b/>
        </w:rPr>
      </w:pPr>
      <w:r w:rsidRPr="003A0DFB">
        <w:rPr>
          <w:rFonts w:ascii="Book Antiqua" w:hAnsi="Book Antiqua" w:cs="Arial"/>
          <w:b/>
        </w:rPr>
        <w:lastRenderedPageBreak/>
        <w:t>Consequential Directions</w:t>
      </w:r>
    </w:p>
    <w:p w14:paraId="51BBD505" w14:textId="4B639B4D" w:rsidR="00FC346C" w:rsidRDefault="00FC346C" w:rsidP="008F0F55">
      <w:pPr>
        <w:numPr>
          <w:ilvl w:val="0"/>
          <w:numId w:val="3"/>
        </w:numPr>
        <w:tabs>
          <w:tab w:val="left" w:pos="2520"/>
        </w:tabs>
        <w:spacing w:before="240" w:after="100" w:afterAutospacing="1"/>
        <w:jc w:val="both"/>
        <w:rPr>
          <w:rFonts w:ascii="Book Antiqua" w:hAnsi="Book Antiqua" w:cs="Arial"/>
        </w:rPr>
      </w:pPr>
      <w:r>
        <w:rPr>
          <w:rFonts w:ascii="Book Antiqua" w:hAnsi="Book Antiqua" w:cs="Arial"/>
        </w:rPr>
        <w:t xml:space="preserve">The appeal is remitted to the First-tier Tribunal sitting at </w:t>
      </w:r>
      <w:r w:rsidR="003342F8">
        <w:rPr>
          <w:rFonts w:ascii="Book Antiqua" w:hAnsi="Book Antiqua" w:cs="Arial"/>
        </w:rPr>
        <w:t>Bradford</w:t>
      </w:r>
      <w:r>
        <w:rPr>
          <w:rFonts w:ascii="Book Antiqua" w:hAnsi="Book Antiqua" w:cs="Arial"/>
        </w:rPr>
        <w:t>;</w:t>
      </w:r>
    </w:p>
    <w:p w14:paraId="4AC61849" w14:textId="60909E1F" w:rsidR="00FC346C" w:rsidRDefault="00FC346C" w:rsidP="008F0F55">
      <w:pPr>
        <w:numPr>
          <w:ilvl w:val="0"/>
          <w:numId w:val="3"/>
        </w:numPr>
        <w:tabs>
          <w:tab w:val="left" w:pos="2520"/>
        </w:tabs>
        <w:spacing w:before="240" w:after="100" w:afterAutospacing="1"/>
        <w:jc w:val="both"/>
        <w:rPr>
          <w:rFonts w:ascii="Book Antiqua" w:hAnsi="Book Antiqua" w:cs="Arial"/>
        </w:rPr>
      </w:pPr>
      <w:r>
        <w:rPr>
          <w:rFonts w:ascii="Book Antiqua" w:hAnsi="Book Antiqua" w:cs="Arial"/>
        </w:rPr>
        <w:t xml:space="preserve">The ELH is </w:t>
      </w:r>
      <w:r w:rsidR="0083257E">
        <w:rPr>
          <w:rFonts w:ascii="Book Antiqua" w:hAnsi="Book Antiqua" w:cs="Arial"/>
        </w:rPr>
        <w:t xml:space="preserve">3 </w:t>
      </w:r>
      <w:r>
        <w:rPr>
          <w:rFonts w:ascii="Book Antiqua" w:hAnsi="Book Antiqua" w:cs="Arial"/>
        </w:rPr>
        <w:t>hours</w:t>
      </w:r>
      <w:r w:rsidR="0083257E">
        <w:rPr>
          <w:rFonts w:ascii="Book Antiqua" w:hAnsi="Book Antiqua" w:cs="Arial"/>
        </w:rPr>
        <w:t>. An interpreter in Pashto will be required;</w:t>
      </w:r>
    </w:p>
    <w:p w14:paraId="2C9E7459" w14:textId="35DF739C" w:rsidR="00FC346C" w:rsidRDefault="00FC346C" w:rsidP="008F0F55">
      <w:pPr>
        <w:numPr>
          <w:ilvl w:val="0"/>
          <w:numId w:val="3"/>
        </w:numPr>
        <w:tabs>
          <w:tab w:val="left" w:pos="2520"/>
        </w:tabs>
        <w:spacing w:before="240" w:after="100" w:afterAutospacing="1"/>
        <w:jc w:val="both"/>
        <w:rPr>
          <w:rFonts w:ascii="Book Antiqua" w:hAnsi="Book Antiqua" w:cs="Arial"/>
        </w:rPr>
      </w:pPr>
      <w:r>
        <w:rPr>
          <w:rFonts w:ascii="Book Antiqua" w:hAnsi="Book Antiqua" w:cs="Arial"/>
        </w:rPr>
        <w:t xml:space="preserve">The appeal may be listed before any First-tier Tribunal Judge, with the exception of </w:t>
      </w:r>
      <w:r w:rsidR="00B40DCD">
        <w:rPr>
          <w:rFonts w:ascii="Book Antiqua" w:hAnsi="Book Antiqua" w:cs="Arial"/>
        </w:rPr>
        <w:t xml:space="preserve">Judge Bradshaw and Judge </w:t>
      </w:r>
      <w:proofErr w:type="spellStart"/>
      <w:r w:rsidR="00B40DCD">
        <w:rPr>
          <w:rFonts w:ascii="Book Antiqua" w:hAnsi="Book Antiqua" w:cs="Arial"/>
        </w:rPr>
        <w:t>O’Garro</w:t>
      </w:r>
      <w:proofErr w:type="spellEnd"/>
      <w:r>
        <w:rPr>
          <w:rFonts w:ascii="Book Antiqua" w:hAnsi="Book Antiqua" w:cs="Arial"/>
        </w:rPr>
        <w:t>;</w:t>
      </w:r>
    </w:p>
    <w:p w14:paraId="55E24D47" w14:textId="77777777" w:rsidR="00FC346C" w:rsidRDefault="00FC346C" w:rsidP="00FC346C">
      <w:pPr>
        <w:numPr>
          <w:ilvl w:val="0"/>
          <w:numId w:val="3"/>
        </w:numPr>
        <w:tabs>
          <w:tab w:val="left" w:pos="2520"/>
        </w:tabs>
        <w:spacing w:before="240" w:after="100" w:afterAutospacing="1"/>
        <w:jc w:val="both"/>
        <w:rPr>
          <w:rFonts w:ascii="Book Antiqua" w:hAnsi="Book Antiqua" w:cs="Arial"/>
        </w:rPr>
      </w:pPr>
      <w:r>
        <w:rPr>
          <w:rFonts w:ascii="Book Antiqua" w:hAnsi="Book Antiqua" w:cs="Arial"/>
        </w:rPr>
        <w:t xml:space="preserve">The appellant is to ensure that all evidence to be relied on is contained within a single consolidated, indexed and paginated bundle of all objective and subjective material, together with any skeleton argument and copies of all case authorities to be relied on. The Tribunal will not accept materials submitted on the day of the forthcoming appeal hearing; </w:t>
      </w:r>
    </w:p>
    <w:p w14:paraId="72DC2658" w14:textId="5DBA3981" w:rsidR="008F0F55" w:rsidRPr="0083257E" w:rsidRDefault="00FC346C" w:rsidP="0083257E">
      <w:pPr>
        <w:numPr>
          <w:ilvl w:val="0"/>
          <w:numId w:val="3"/>
        </w:numPr>
        <w:tabs>
          <w:tab w:val="left" w:pos="2520"/>
        </w:tabs>
        <w:spacing w:before="240" w:after="100" w:afterAutospacing="1"/>
        <w:jc w:val="both"/>
        <w:rPr>
          <w:rFonts w:ascii="Book Antiqua" w:hAnsi="Book Antiqua" w:cs="Arial"/>
        </w:rPr>
      </w:pPr>
      <w:r>
        <w:rPr>
          <w:rFonts w:ascii="Book Antiqua" w:hAnsi="Book Antiqua" w:cs="Arial"/>
        </w:rPr>
        <w:t>The First-tier Tribunal may give such further or alternative directions as are deemed appropriate.</w:t>
      </w:r>
      <w:r w:rsidR="00F81D1E" w:rsidRPr="0083257E">
        <w:rPr>
          <w:rFonts w:ascii="Book Antiqua" w:hAnsi="Book Antiqua" w:cs="Arial"/>
        </w:rPr>
        <w:t xml:space="preserve"> </w:t>
      </w:r>
    </w:p>
    <w:p w14:paraId="02B7F256" w14:textId="77777777" w:rsidR="008F0F55" w:rsidRPr="003A0DFB" w:rsidRDefault="00F81D1E" w:rsidP="008F0F55">
      <w:pPr>
        <w:tabs>
          <w:tab w:val="left" w:pos="2520"/>
        </w:tabs>
        <w:spacing w:before="240" w:after="100" w:afterAutospacing="1"/>
        <w:jc w:val="both"/>
        <w:rPr>
          <w:rFonts w:ascii="Book Antiqua" w:hAnsi="Book Antiqua" w:cs="Arial"/>
          <w:b/>
        </w:rPr>
      </w:pPr>
      <w:r w:rsidRPr="003A0DFB">
        <w:rPr>
          <w:rFonts w:ascii="Book Antiqua" w:hAnsi="Book Antiqua" w:cs="Arial"/>
          <w:b/>
        </w:rPr>
        <w:t>Anonymity</w:t>
      </w:r>
    </w:p>
    <w:p w14:paraId="65D8842A" w14:textId="77777777" w:rsidR="008F0F55" w:rsidRPr="003A0DFB" w:rsidRDefault="00F81D1E" w:rsidP="008F0F55">
      <w:pPr>
        <w:tabs>
          <w:tab w:val="left" w:pos="2520"/>
        </w:tabs>
        <w:spacing w:before="240" w:after="100" w:afterAutospacing="1"/>
        <w:jc w:val="both"/>
        <w:rPr>
          <w:rFonts w:ascii="Book Antiqua" w:hAnsi="Book Antiqua" w:cs="Arial"/>
        </w:rPr>
      </w:pPr>
      <w:r>
        <w:rPr>
          <w:rFonts w:ascii="Book Antiqua" w:hAnsi="Book Antiqua"/>
        </w:rPr>
        <w:t xml:space="preserve">I have considered whether any parties require the protection of any anonymity direction. No submissions were made on the issue. </w:t>
      </w:r>
      <w:r>
        <w:rPr>
          <w:rFonts w:ascii="Book Antiqua" w:hAnsi="Book Antiqua" w:cs="Arial"/>
        </w:rPr>
        <w:t xml:space="preserve">The First-tier Tribunal </w:t>
      </w:r>
      <w:r w:rsidRPr="003A0DFB">
        <w:rPr>
          <w:rFonts w:ascii="Book Antiqua" w:hAnsi="Book Antiqua" w:cs="Arial"/>
        </w:rPr>
        <w:t xml:space="preserve">did not make an order pursuant to rule </w:t>
      </w:r>
      <w:r w:rsidR="00304CCE">
        <w:rPr>
          <w:rFonts w:ascii="Book Antiqua" w:hAnsi="Book Antiqua" w:cs="Arial"/>
        </w:rPr>
        <w:t>13(1)</w:t>
      </w:r>
      <w:r w:rsidRPr="003A0DFB">
        <w:rPr>
          <w:rFonts w:ascii="Book Antiqua" w:hAnsi="Book Antiqua" w:cs="Arial"/>
        </w:rPr>
        <w:t xml:space="preserve"> of the </w:t>
      </w:r>
      <w:r w:rsidR="00304CCE">
        <w:rPr>
          <w:rFonts w:ascii="Book Antiqua" w:hAnsi="Book Antiqua" w:cs="Arial"/>
        </w:rPr>
        <w:t>Tribunal Procedure Rules 2014</w:t>
      </w:r>
      <w:r w:rsidRPr="003A0DFB">
        <w:rPr>
          <w:rFonts w:ascii="Book Antiqua" w:hAnsi="Book Antiqua" w:cs="Arial"/>
        </w:rPr>
        <w:t>.</w:t>
      </w:r>
    </w:p>
    <w:p w14:paraId="3E531E92" w14:textId="77777777" w:rsidR="008F0F55" w:rsidRPr="00177DBD" w:rsidRDefault="00F81D1E" w:rsidP="008F0F55">
      <w:pPr>
        <w:tabs>
          <w:tab w:val="left" w:pos="0"/>
          <w:tab w:val="left" w:pos="360"/>
        </w:tabs>
        <w:overflowPunct w:val="0"/>
        <w:autoSpaceDE w:val="0"/>
        <w:autoSpaceDN w:val="0"/>
        <w:adjustRightInd w:val="0"/>
        <w:spacing w:after="120"/>
        <w:jc w:val="both"/>
        <w:textAlignment w:val="baseline"/>
        <w:rPr>
          <w:rFonts w:ascii="Book Antiqua" w:hAnsi="Book Antiqua"/>
        </w:rPr>
      </w:pPr>
      <w:r>
        <w:rPr>
          <w:rFonts w:ascii="Book Antiqua" w:hAnsi="Book Antiqua"/>
        </w:rPr>
        <w:t>Given the circumstances, I make no anonymity order.</w:t>
      </w:r>
    </w:p>
    <w:p w14:paraId="15C89352" w14:textId="77777777" w:rsidR="008F0F55" w:rsidRPr="003A0DFB" w:rsidRDefault="00F81D1E" w:rsidP="008F0F55">
      <w:pPr>
        <w:tabs>
          <w:tab w:val="left" w:pos="2520"/>
        </w:tabs>
        <w:spacing w:before="240" w:after="100" w:afterAutospacing="1"/>
        <w:jc w:val="both"/>
        <w:rPr>
          <w:rFonts w:ascii="Book Antiqua" w:hAnsi="Book Antiqua" w:cs="Arial"/>
          <w:b/>
        </w:rPr>
      </w:pPr>
      <w:r w:rsidRPr="003A0DFB">
        <w:rPr>
          <w:rFonts w:ascii="Book Antiqua" w:hAnsi="Book Antiqua" w:cs="Arial"/>
          <w:b/>
        </w:rPr>
        <w:t xml:space="preserve">Fee Award </w:t>
      </w:r>
      <w:r w:rsidRPr="003A0DFB">
        <w:rPr>
          <w:rFonts w:ascii="Book Antiqua" w:hAnsi="Book Antiqua" w:cs="Arial"/>
          <w:b/>
        </w:rPr>
        <w:tab/>
      </w:r>
      <w:r w:rsidRPr="003A0DFB">
        <w:rPr>
          <w:rFonts w:ascii="Book Antiqua" w:hAnsi="Book Antiqua" w:cs="Arial"/>
          <w:b/>
        </w:rPr>
        <w:tab/>
        <w:t>Note: this is not part of the determination.</w:t>
      </w:r>
    </w:p>
    <w:p w14:paraId="5146734B" w14:textId="36A2D42D" w:rsidR="008F0F55" w:rsidRPr="003A0DFB" w:rsidRDefault="00F81D1E" w:rsidP="008F0F55">
      <w:pPr>
        <w:tabs>
          <w:tab w:val="left" w:pos="2520"/>
        </w:tabs>
        <w:spacing w:before="240" w:after="100" w:afterAutospacing="1"/>
        <w:jc w:val="both"/>
        <w:rPr>
          <w:rFonts w:ascii="Book Antiqua" w:hAnsi="Book Antiqua" w:cs="Arial"/>
        </w:rPr>
      </w:pPr>
      <w:r>
        <w:rPr>
          <w:rFonts w:ascii="Book Antiqua" w:hAnsi="Book Antiqua" w:cs="Arial"/>
        </w:rPr>
        <w:t>I</w:t>
      </w:r>
      <w:r w:rsidRPr="003A0DFB">
        <w:rPr>
          <w:rFonts w:ascii="Book Antiqua" w:hAnsi="Book Antiqua" w:cs="Arial"/>
        </w:rPr>
        <w:t xml:space="preserve"> make no fee award.</w:t>
      </w:r>
    </w:p>
    <w:p w14:paraId="2A030C85" w14:textId="7E2B915C" w:rsidR="00B91238" w:rsidRPr="003A0DFB" w:rsidRDefault="00F81D1E" w:rsidP="008F0F55">
      <w:pPr>
        <w:tabs>
          <w:tab w:val="left" w:pos="2520"/>
        </w:tabs>
        <w:spacing w:before="240" w:after="100" w:afterAutospacing="1"/>
        <w:jc w:val="both"/>
        <w:rPr>
          <w:rFonts w:ascii="Book Antiqua" w:hAnsi="Book Antiqua" w:cs="Arial"/>
        </w:rPr>
      </w:pPr>
      <w:r w:rsidRPr="003A0DFB">
        <w:rPr>
          <w:rFonts w:ascii="Book Antiqua" w:hAnsi="Book Antiqua" w:cs="Arial"/>
        </w:rPr>
        <w:t xml:space="preserve">Reasons: </w:t>
      </w:r>
      <w:r w:rsidR="00B91238">
        <w:rPr>
          <w:rFonts w:ascii="Book Antiqua" w:hAnsi="Book Antiqua" w:cs="Arial"/>
        </w:rPr>
        <w:t>No fee is payable.</w:t>
      </w:r>
    </w:p>
    <w:p w14:paraId="27DED33E" w14:textId="77777777" w:rsidR="008F0F55" w:rsidRPr="00F146AE" w:rsidRDefault="00E94E58" w:rsidP="008F0F55">
      <w:pPr>
        <w:tabs>
          <w:tab w:val="left" w:pos="2520"/>
        </w:tabs>
        <w:jc w:val="both"/>
        <w:rPr>
          <w:rFonts w:ascii="Book Antiqua" w:hAnsi="Book Antiqua" w:cs="Arial"/>
        </w:rPr>
      </w:pPr>
    </w:p>
    <w:p w14:paraId="2A5AB243" w14:textId="77777777" w:rsidR="008F0F55" w:rsidRDefault="00F81D1E" w:rsidP="008F0F55">
      <w:pPr>
        <w:tabs>
          <w:tab w:val="left" w:pos="2268"/>
          <w:tab w:val="left" w:pos="5103"/>
        </w:tabs>
        <w:rPr>
          <w:rFonts w:ascii="Book Antiqua" w:hAnsi="Book Antiqua" w:cs="Arial"/>
          <w:b/>
          <w:bCs/>
        </w:rPr>
      </w:pPr>
      <w:r w:rsidRPr="006E1B05">
        <w:rPr>
          <w:rFonts w:ascii="Book Antiqua" w:hAnsi="Book Antiqua" w:cs="Arial"/>
          <w:b/>
          <w:bCs/>
        </w:rPr>
        <w:tab/>
      </w:r>
      <w:r>
        <w:rPr>
          <w:noProof/>
        </w:rPr>
        <w:drawing>
          <wp:inline distT="0" distB="0" distL="0" distR="0" wp14:anchorId="1E817B2F" wp14:editId="685F7FFB">
            <wp:extent cx="1979295" cy="1027430"/>
            <wp:effectExtent l="25400" t="0" r="1905" b="0"/>
            <wp:docPr id="3" name="Picture 2" descr="dp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 sig"/>
                    <pic:cNvPicPr>
                      <a:picLocks noChangeAspect="1" noChangeArrowheads="1"/>
                    </pic:cNvPicPr>
                  </pic:nvPicPr>
                  <pic:blipFill>
                    <a:blip r:embed="rId8"/>
                    <a:srcRect/>
                    <a:stretch>
                      <a:fillRect/>
                    </a:stretch>
                  </pic:blipFill>
                  <pic:spPr bwMode="auto">
                    <a:xfrm>
                      <a:off x="0" y="0"/>
                      <a:ext cx="1979295" cy="1027430"/>
                    </a:xfrm>
                    <a:prstGeom prst="rect">
                      <a:avLst/>
                    </a:prstGeom>
                    <a:noFill/>
                    <a:ln w="9525">
                      <a:noFill/>
                      <a:miter lim="800000"/>
                      <a:headEnd/>
                      <a:tailEnd/>
                    </a:ln>
                  </pic:spPr>
                </pic:pic>
              </a:graphicData>
            </a:graphic>
          </wp:inline>
        </w:drawing>
      </w:r>
    </w:p>
    <w:p w14:paraId="74758BC7" w14:textId="77777777" w:rsidR="008F0F55" w:rsidRPr="006E1B05" w:rsidRDefault="00F81D1E" w:rsidP="008F0F55">
      <w:pPr>
        <w:tabs>
          <w:tab w:val="left" w:pos="2268"/>
          <w:tab w:val="left" w:pos="5103"/>
        </w:tabs>
        <w:rPr>
          <w:rFonts w:ascii="Book Antiqua" w:hAnsi="Book Antiqua" w:cs="Arial"/>
          <w:b/>
          <w:bCs/>
        </w:rPr>
      </w:pPr>
      <w:r>
        <w:rPr>
          <w:rFonts w:ascii="Book Antiqua" w:hAnsi="Book Antiqua" w:cs="Arial"/>
          <w:b/>
          <w:bCs/>
        </w:rPr>
        <w:tab/>
      </w:r>
      <w:r w:rsidRPr="006E1B05">
        <w:rPr>
          <w:rFonts w:ascii="Book Antiqua" w:hAnsi="Book Antiqua" w:cs="Arial"/>
          <w:b/>
          <w:bCs/>
        </w:rPr>
        <w:t>Signed</w:t>
      </w:r>
      <w:r>
        <w:rPr>
          <w:rFonts w:ascii="Book Antiqua" w:hAnsi="Book Antiqua" w:cs="Arial"/>
          <w:b/>
          <w:bCs/>
        </w:rPr>
        <w:tab/>
      </w:r>
    </w:p>
    <w:p w14:paraId="5C805085" w14:textId="77777777" w:rsidR="008F0F55" w:rsidRPr="006E1B05" w:rsidRDefault="00E94E58" w:rsidP="008F0F55">
      <w:pPr>
        <w:tabs>
          <w:tab w:val="left" w:pos="2268"/>
          <w:tab w:val="left" w:pos="4536"/>
          <w:tab w:val="left" w:pos="5103"/>
        </w:tabs>
        <w:rPr>
          <w:rFonts w:ascii="Book Antiqua" w:hAnsi="Book Antiqua" w:cs="Arial"/>
          <w:b/>
          <w:bCs/>
        </w:rPr>
      </w:pPr>
    </w:p>
    <w:p w14:paraId="419DE8A4" w14:textId="77777777" w:rsidR="008F0F55" w:rsidRPr="006E1B05" w:rsidRDefault="00F81D1E" w:rsidP="008F0F55">
      <w:pPr>
        <w:tabs>
          <w:tab w:val="left" w:pos="2268"/>
          <w:tab w:val="left" w:pos="5103"/>
        </w:tabs>
        <w:ind w:left="567"/>
        <w:rPr>
          <w:rFonts w:ascii="Book Antiqua" w:hAnsi="Book Antiqua" w:cs="Arial"/>
          <w:b/>
          <w:bCs/>
        </w:rPr>
      </w:pPr>
      <w:r>
        <w:rPr>
          <w:rFonts w:ascii="Book Antiqua" w:hAnsi="Book Antiqua" w:cs="Arial"/>
          <w:b/>
          <w:bCs/>
        </w:rPr>
        <w:tab/>
        <w:t>Deputy Upper Tribunal Judge Pickup</w:t>
      </w:r>
    </w:p>
    <w:p w14:paraId="61F2ABC0" w14:textId="77777777" w:rsidR="008F0F55" w:rsidRPr="006E1B05" w:rsidRDefault="00E94E58" w:rsidP="008F0F55">
      <w:pPr>
        <w:tabs>
          <w:tab w:val="left" w:pos="2268"/>
          <w:tab w:val="left" w:pos="5103"/>
        </w:tabs>
        <w:rPr>
          <w:rFonts w:ascii="Book Antiqua" w:hAnsi="Book Antiqua" w:cs="Arial"/>
          <w:b/>
          <w:bCs/>
        </w:rPr>
      </w:pPr>
    </w:p>
    <w:p w14:paraId="35B3CC3A" w14:textId="10B59733" w:rsidR="008F0F55" w:rsidRDefault="00F81D1E" w:rsidP="008F0F55">
      <w:pPr>
        <w:tabs>
          <w:tab w:val="left" w:pos="2268"/>
          <w:tab w:val="left" w:pos="5103"/>
        </w:tabs>
        <w:rPr>
          <w:rFonts w:ascii="Arial" w:hAnsi="Arial" w:cs="Arial"/>
          <w:b/>
          <w:bCs/>
        </w:rPr>
      </w:pPr>
      <w:r>
        <w:rPr>
          <w:rFonts w:ascii="Book Antiqua" w:hAnsi="Book Antiqua" w:cs="Arial"/>
          <w:b/>
          <w:bCs/>
        </w:rPr>
        <w:tab/>
      </w:r>
      <w:r w:rsidRPr="006E1B05">
        <w:rPr>
          <w:rFonts w:ascii="Book Antiqua" w:hAnsi="Book Antiqua" w:cs="Arial"/>
          <w:b/>
          <w:bCs/>
        </w:rPr>
        <w:t>Dated</w:t>
      </w:r>
    </w:p>
    <w:p w14:paraId="3F62F489" w14:textId="11A26D56" w:rsidR="008F0F55" w:rsidRDefault="00E94E58">
      <w:pPr>
        <w:rPr>
          <w:rFonts w:ascii="Book Antiqua" w:hAnsi="Book Antiqua" w:cs="Arial"/>
        </w:rPr>
      </w:pPr>
    </w:p>
    <w:sectPr w:rsidR="008F0F55" w:rsidSect="008F0F55">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DFF0A" w14:textId="77777777" w:rsidR="000D531F" w:rsidRDefault="000D531F">
      <w:r>
        <w:separator/>
      </w:r>
    </w:p>
  </w:endnote>
  <w:endnote w:type="continuationSeparator" w:id="0">
    <w:p w14:paraId="43ECAA0C" w14:textId="77777777" w:rsidR="000D531F" w:rsidRDefault="000D5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D65E9" w14:textId="2CE2BC70" w:rsidR="008F0F55" w:rsidRPr="00F146AE" w:rsidRDefault="00F81D1E" w:rsidP="008F0F55">
    <w:pPr>
      <w:pStyle w:val="Footer"/>
      <w:jc w:val="center"/>
      <w:rPr>
        <w:rFonts w:ascii="Book Antiqua" w:hAnsi="Book Antiqua" w:cs="Arial"/>
        <w:sz w:val="16"/>
        <w:szCs w:val="16"/>
      </w:rPr>
    </w:pPr>
    <w:r w:rsidRPr="00F146AE">
      <w:rPr>
        <w:rStyle w:val="PageNumber"/>
        <w:rFonts w:ascii="Book Antiqua" w:hAnsi="Book Antiqua" w:cs="Arial"/>
        <w:sz w:val="16"/>
        <w:szCs w:val="16"/>
      </w:rPr>
      <w:fldChar w:fldCharType="begin"/>
    </w:r>
    <w:r w:rsidRPr="00F146AE">
      <w:rPr>
        <w:rStyle w:val="PageNumber"/>
        <w:rFonts w:ascii="Book Antiqua" w:hAnsi="Book Antiqua" w:cs="Arial"/>
        <w:sz w:val="16"/>
        <w:szCs w:val="16"/>
      </w:rPr>
      <w:instrText xml:space="preserve"> PAGE </w:instrText>
    </w:r>
    <w:r w:rsidRPr="00F146AE">
      <w:rPr>
        <w:rStyle w:val="PageNumber"/>
        <w:rFonts w:ascii="Book Antiqua" w:hAnsi="Book Antiqua" w:cs="Arial"/>
        <w:sz w:val="16"/>
        <w:szCs w:val="16"/>
      </w:rPr>
      <w:fldChar w:fldCharType="separate"/>
    </w:r>
    <w:r w:rsidR="00E94E58">
      <w:rPr>
        <w:rStyle w:val="PageNumber"/>
        <w:rFonts w:ascii="Book Antiqua" w:hAnsi="Book Antiqua" w:cs="Arial"/>
        <w:noProof/>
        <w:sz w:val="16"/>
        <w:szCs w:val="16"/>
      </w:rPr>
      <w:t>5</w:t>
    </w:r>
    <w:r w:rsidRPr="00F146A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C21D5" w14:textId="77777777" w:rsidR="008F0F55" w:rsidRPr="00F146AE" w:rsidRDefault="00F81D1E" w:rsidP="008F0F55">
    <w:pPr>
      <w:jc w:val="center"/>
      <w:rPr>
        <w:rFonts w:ascii="Book Antiqua" w:hAnsi="Book Antiqua" w:cs="Arial"/>
        <w:b/>
      </w:rPr>
    </w:pPr>
    <w:r w:rsidRPr="00F146AE">
      <w:rPr>
        <w:rFonts w:ascii="Book Antiqua" w:hAnsi="Book Antiqua" w:cs="Arial"/>
        <w:b/>
        <w:spacing w:val="-6"/>
      </w:rPr>
      <w:t>©</w:t>
    </w:r>
    <w:r w:rsidR="00E366C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F4D04" w14:textId="77777777" w:rsidR="000D531F" w:rsidRDefault="000D531F">
      <w:r>
        <w:separator/>
      </w:r>
    </w:p>
  </w:footnote>
  <w:footnote w:type="continuationSeparator" w:id="0">
    <w:p w14:paraId="2A3314F3" w14:textId="77777777" w:rsidR="000D531F" w:rsidRDefault="000D53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CC239" w14:textId="4F3B7CBB" w:rsidR="008F0F55" w:rsidRPr="00EF136D" w:rsidRDefault="00F81D1E" w:rsidP="008F0F55">
    <w:pPr>
      <w:pStyle w:val="Header"/>
      <w:tabs>
        <w:tab w:val="clear" w:pos="4153"/>
        <w:tab w:val="clear" w:pos="8306"/>
        <w:tab w:val="right" w:pos="9639"/>
      </w:tabs>
      <w:jc w:val="right"/>
      <w:rPr>
        <w:rFonts w:ascii="Book Antiqua" w:hAnsi="Book Antiqua" w:cs="Arial"/>
        <w:sz w:val="20"/>
        <w:szCs w:val="16"/>
      </w:rPr>
    </w:pPr>
    <w:r w:rsidRPr="00EF136D">
      <w:rPr>
        <w:rFonts w:ascii="Book Antiqua" w:hAnsi="Book Antiqua" w:cs="Arial"/>
        <w:sz w:val="20"/>
        <w:szCs w:val="16"/>
      </w:rPr>
      <w:t xml:space="preserve">Appeal Number: </w:t>
    </w:r>
    <w:r w:rsidR="003F0F1B">
      <w:rPr>
        <w:rFonts w:ascii="Book Antiqua" w:hAnsi="Book Antiqua" w:cs="Arial"/>
        <w:sz w:val="20"/>
        <w:szCs w:val="16"/>
      </w:rPr>
      <w:t>PA/02290/2017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E3BF5" w14:textId="77777777" w:rsidR="008F0F55" w:rsidRPr="00F146AE" w:rsidRDefault="00F81D1E">
    <w:pPr>
      <w:pStyle w:val="Header"/>
      <w:rPr>
        <w:rFonts w:ascii="Book Antiqua" w:hAnsi="Book Antiqua"/>
      </w:rPr>
    </w:pPr>
    <w:r w:rsidRPr="00F146A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3F2A7E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0837268"/>
    <w:multiLevelType w:val="singleLevel"/>
    <w:tmpl w:val="E578DE1C"/>
    <w:lvl w:ilvl="0">
      <w:start w:val="1"/>
      <w:numFmt w:val="decimal"/>
      <w:lvlText w:val="%1."/>
      <w:legacy w:legacy="1" w:legacySpace="120" w:legacyIndent="360"/>
      <w:lvlJc w:val="left"/>
      <w:pPr>
        <w:ind w:left="720" w:hanging="360"/>
      </w:pPr>
      <w:rPr>
        <w:b w:val="0"/>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C0A432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4423E35"/>
    <w:multiLevelType w:val="hybridMultilevel"/>
    <w:tmpl w:val="E5965568"/>
    <w:lvl w:ilvl="0" w:tplc="A7F84808">
      <w:start w:val="1"/>
      <w:numFmt w:val="lowerLetter"/>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2" w15:restartNumberingAfterBreak="0">
    <w:nsid w:val="54A579B4"/>
    <w:multiLevelType w:val="hybridMultilevel"/>
    <w:tmpl w:val="73B2F2A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6"/>
  </w:num>
  <w:num w:numId="3">
    <w:abstractNumId w:val="2"/>
  </w:num>
  <w:num w:numId="4">
    <w:abstractNumId w:val="13"/>
  </w:num>
  <w:num w:numId="5">
    <w:abstractNumId w:val="21"/>
  </w:num>
  <w:num w:numId="6">
    <w:abstractNumId w:val="14"/>
  </w:num>
  <w:num w:numId="7">
    <w:abstractNumId w:val="20"/>
  </w:num>
  <w:num w:numId="8">
    <w:abstractNumId w:val="9"/>
  </w:num>
  <w:num w:numId="9">
    <w:abstractNumId w:val="7"/>
  </w:num>
  <w:num w:numId="10">
    <w:abstractNumId w:val="19"/>
  </w:num>
  <w:num w:numId="11">
    <w:abstractNumId w:val="18"/>
  </w:num>
  <w:num w:numId="12">
    <w:abstractNumId w:val="1"/>
  </w:num>
  <w:num w:numId="13">
    <w:abstractNumId w:val="17"/>
  </w:num>
  <w:num w:numId="14">
    <w:abstractNumId w:val="0"/>
  </w:num>
  <w:num w:numId="15">
    <w:abstractNumId w:val="3"/>
  </w:num>
  <w:num w:numId="16">
    <w:abstractNumId w:val="5"/>
  </w:num>
  <w:num w:numId="17">
    <w:abstractNumId w:val="15"/>
  </w:num>
  <w:num w:numId="18">
    <w:abstractNumId w:val="10"/>
  </w:num>
  <w:num w:numId="19">
    <w:abstractNumId w:val="12"/>
  </w:num>
  <w:num w:numId="20">
    <w:abstractNumId w:val="8"/>
  </w:num>
  <w:num w:numId="21">
    <w:abstractNumId w:val="1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46C"/>
    <w:rsid w:val="00086C7F"/>
    <w:rsid w:val="000A18F0"/>
    <w:rsid w:val="000C0378"/>
    <w:rsid w:val="000D531F"/>
    <w:rsid w:val="000F3575"/>
    <w:rsid w:val="001A6A82"/>
    <w:rsid w:val="001E654D"/>
    <w:rsid w:val="001F0C6B"/>
    <w:rsid w:val="00234203"/>
    <w:rsid w:val="0023511D"/>
    <w:rsid w:val="00250AE8"/>
    <w:rsid w:val="00255E18"/>
    <w:rsid w:val="002D282E"/>
    <w:rsid w:val="00304CCE"/>
    <w:rsid w:val="00325442"/>
    <w:rsid w:val="003342F8"/>
    <w:rsid w:val="0035319F"/>
    <w:rsid w:val="00366DC7"/>
    <w:rsid w:val="00385A58"/>
    <w:rsid w:val="003C2924"/>
    <w:rsid w:val="003E7F7B"/>
    <w:rsid w:val="003F0F1B"/>
    <w:rsid w:val="00437C34"/>
    <w:rsid w:val="004743D0"/>
    <w:rsid w:val="00481B94"/>
    <w:rsid w:val="004903A1"/>
    <w:rsid w:val="0052247F"/>
    <w:rsid w:val="00566289"/>
    <w:rsid w:val="005A632C"/>
    <w:rsid w:val="005C68D2"/>
    <w:rsid w:val="00650535"/>
    <w:rsid w:val="0068595F"/>
    <w:rsid w:val="006F53AA"/>
    <w:rsid w:val="007860EA"/>
    <w:rsid w:val="007B0A98"/>
    <w:rsid w:val="007B3641"/>
    <w:rsid w:val="007C0EEF"/>
    <w:rsid w:val="007C3E2B"/>
    <w:rsid w:val="007F166A"/>
    <w:rsid w:val="008225CB"/>
    <w:rsid w:val="008234AA"/>
    <w:rsid w:val="0082373D"/>
    <w:rsid w:val="0083257E"/>
    <w:rsid w:val="008445DF"/>
    <w:rsid w:val="008C1132"/>
    <w:rsid w:val="008C60DA"/>
    <w:rsid w:val="008E0DA6"/>
    <w:rsid w:val="008E5779"/>
    <w:rsid w:val="00906934"/>
    <w:rsid w:val="009777A4"/>
    <w:rsid w:val="00A12241"/>
    <w:rsid w:val="00A178C6"/>
    <w:rsid w:val="00A44F2B"/>
    <w:rsid w:val="00A54A20"/>
    <w:rsid w:val="00A84821"/>
    <w:rsid w:val="00A87F50"/>
    <w:rsid w:val="00A97F92"/>
    <w:rsid w:val="00AA27BC"/>
    <w:rsid w:val="00AB0DB7"/>
    <w:rsid w:val="00B0424A"/>
    <w:rsid w:val="00B40013"/>
    <w:rsid w:val="00B40DCD"/>
    <w:rsid w:val="00B516B1"/>
    <w:rsid w:val="00B716BD"/>
    <w:rsid w:val="00B753A7"/>
    <w:rsid w:val="00B91238"/>
    <w:rsid w:val="00BC6713"/>
    <w:rsid w:val="00BE3E4B"/>
    <w:rsid w:val="00C22A8E"/>
    <w:rsid w:val="00C3465E"/>
    <w:rsid w:val="00D1687F"/>
    <w:rsid w:val="00D25D82"/>
    <w:rsid w:val="00DD62C1"/>
    <w:rsid w:val="00E0475F"/>
    <w:rsid w:val="00E15205"/>
    <w:rsid w:val="00E178F4"/>
    <w:rsid w:val="00E366C9"/>
    <w:rsid w:val="00E412EA"/>
    <w:rsid w:val="00E57C6E"/>
    <w:rsid w:val="00E832D2"/>
    <w:rsid w:val="00E94E58"/>
    <w:rsid w:val="00EB062E"/>
    <w:rsid w:val="00ED6CF3"/>
    <w:rsid w:val="00F819D2"/>
    <w:rsid w:val="00F81D1E"/>
    <w:rsid w:val="00FC346C"/>
    <w:rsid w:val="00FD46D1"/>
    <w:rsid w:val="00FE689A"/>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F8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23A"/>
    <w:rPr>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835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1575</Words>
  <Characters>8978</Characters>
  <Application>Microsoft Office Word</Application>
  <DocSecurity>0</DocSecurity>
  <Lines>74</Lines>
  <Paragraphs>21</Paragraphs>
  <ScaleCrop>false</ScaleCrop>
  <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2018-08-09T14:50:00Z</dcterms:created>
  <dcterms:modified xsi:type="dcterms:W3CDTF">2018-08-09T14:50:00Z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