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64D6F" w14:textId="77777777" w:rsidR="00D94AFC" w:rsidRPr="00A544A8" w:rsidRDefault="00D94AFC">
      <w:pPr>
        <w:rPr>
          <w:rFonts w:ascii="Sylfaen" w:hAnsi="Sylfaen" w:cs="Arial"/>
          <w:color w:val="000000"/>
          <w:sz w:val="16"/>
          <w:szCs w:val="16"/>
        </w:rPr>
      </w:pPr>
    </w:p>
    <w:p w14:paraId="5D455C36" w14:textId="0F95CA02" w:rsidR="00F97703" w:rsidRPr="00A544A8" w:rsidRDefault="002A39B3" w:rsidP="00F97703">
      <w:pPr>
        <w:jc w:val="center"/>
        <w:rPr>
          <w:rFonts w:ascii="Sylfaen" w:hAnsi="Sylfaen" w:cs="Arial"/>
          <w:color w:val="000000"/>
        </w:rPr>
      </w:pPr>
      <w:r w:rsidRPr="00A544A8">
        <w:rPr>
          <w:rFonts w:ascii="Sylfaen" w:hAnsi="Sylfaen"/>
          <w:noProof/>
        </w:rPr>
        <w:drawing>
          <wp:inline distT="0" distB="0" distL="0" distR="0" wp14:anchorId="6AF7B3CE" wp14:editId="08FA90E8">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48EF68FF" w14:textId="77777777" w:rsidR="00F97703" w:rsidRPr="00A544A8" w:rsidRDefault="00611011" w:rsidP="00780F86">
      <w:pPr>
        <w:tabs>
          <w:tab w:val="right" w:pos="9720"/>
        </w:tabs>
        <w:ind w:right="-82"/>
        <w:rPr>
          <w:rFonts w:ascii="Sylfaen" w:hAnsi="Sylfaen" w:cs="Arial"/>
          <w:b/>
          <w:color w:val="000000"/>
        </w:rPr>
      </w:pPr>
      <w:r w:rsidRPr="00A544A8">
        <w:rPr>
          <w:rFonts w:ascii="Sylfaen" w:hAnsi="Sylfaen" w:cs="Arial"/>
          <w:b/>
          <w:color w:val="000000"/>
        </w:rPr>
        <w:t>Upper</w:t>
      </w:r>
      <w:r w:rsidR="00F97703" w:rsidRPr="00A544A8">
        <w:rPr>
          <w:rFonts w:ascii="Sylfaen" w:hAnsi="Sylfaen" w:cs="Arial"/>
          <w:b/>
          <w:color w:val="000000"/>
        </w:rPr>
        <w:t xml:space="preserve"> Tribunal </w:t>
      </w:r>
    </w:p>
    <w:p w14:paraId="239BCF43" w14:textId="77777777" w:rsidR="007B0824" w:rsidRPr="00A544A8" w:rsidRDefault="00F97703" w:rsidP="00780F86">
      <w:pPr>
        <w:tabs>
          <w:tab w:val="right" w:pos="9720"/>
        </w:tabs>
        <w:ind w:right="-82"/>
        <w:rPr>
          <w:rFonts w:ascii="Sylfaen" w:hAnsi="Sylfaen" w:cs="Arial"/>
          <w:color w:val="000000"/>
        </w:rPr>
      </w:pPr>
      <w:r w:rsidRPr="00A544A8">
        <w:rPr>
          <w:rFonts w:ascii="Sylfaen" w:hAnsi="Sylfaen" w:cs="Arial"/>
          <w:b/>
          <w:color w:val="000000"/>
        </w:rPr>
        <w:t>(Immigration and Asylum Chamber)</w:t>
      </w:r>
      <w:r w:rsidR="00DB70AE" w:rsidRPr="00A544A8">
        <w:rPr>
          <w:rFonts w:ascii="Sylfaen" w:hAnsi="Sylfaen" w:cs="Arial"/>
          <w:b/>
          <w:color w:val="000000"/>
        </w:rPr>
        <w:tab/>
      </w:r>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r w:rsidR="00623F1E">
        <w:rPr>
          <w:rFonts w:ascii="Sylfaen" w:hAnsi="Sylfaen" w:cs="Arial"/>
          <w:color w:val="000000"/>
        </w:rPr>
        <w:t>PA/02534/20</w:t>
      </w:r>
      <w:r w:rsidR="00731D80">
        <w:rPr>
          <w:rFonts w:ascii="Sylfaen" w:hAnsi="Sylfaen" w:cs="Arial"/>
          <w:color w:val="000000"/>
        </w:rPr>
        <w:t>17</w:t>
      </w:r>
    </w:p>
    <w:p w14:paraId="2B6B01E7" w14:textId="77777777" w:rsidR="00C345E1" w:rsidRPr="00A544A8" w:rsidRDefault="00C345E1" w:rsidP="00C345E1">
      <w:pPr>
        <w:jc w:val="center"/>
        <w:rPr>
          <w:rFonts w:ascii="Sylfaen" w:hAnsi="Sylfaen" w:cs="Arial"/>
          <w:color w:val="000000"/>
        </w:rPr>
      </w:pPr>
    </w:p>
    <w:p w14:paraId="34913335" w14:textId="77777777" w:rsidR="008B2BF0" w:rsidRDefault="008B2BF0" w:rsidP="00C345E1">
      <w:pPr>
        <w:jc w:val="center"/>
        <w:rPr>
          <w:rFonts w:ascii="Sylfaen" w:hAnsi="Sylfaen" w:cs="Arial"/>
          <w:b/>
          <w:color w:val="000000"/>
          <w:u w:val="single"/>
        </w:rPr>
      </w:pPr>
    </w:p>
    <w:p w14:paraId="4334B61D" w14:textId="2CDE5646" w:rsidR="00C345E1"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14:paraId="68A08EF9" w14:textId="77777777" w:rsidR="008B2BF0" w:rsidRPr="00A544A8" w:rsidRDefault="008B2BF0" w:rsidP="00C345E1">
      <w:pPr>
        <w:jc w:val="center"/>
        <w:rPr>
          <w:rFonts w:ascii="Sylfaen" w:hAnsi="Sylfaen" w:cs="Arial"/>
          <w:b/>
          <w:color w:val="000000"/>
          <w:u w:val="single"/>
        </w:rPr>
      </w:pPr>
    </w:p>
    <w:p w14:paraId="583B3D0B" w14:textId="77777777" w:rsidR="00C345E1" w:rsidRPr="00A544A8" w:rsidRDefault="00C345E1" w:rsidP="00C345E1">
      <w:pPr>
        <w:jc w:val="center"/>
        <w:rPr>
          <w:rFonts w:ascii="Sylfaen" w:hAnsi="Sylfaen" w:cs="Arial"/>
          <w:b/>
          <w:u w:val="single"/>
        </w:rPr>
      </w:pPr>
    </w:p>
    <w:tbl>
      <w:tblPr>
        <w:tblW w:w="0" w:type="auto"/>
        <w:tblLook w:val="01E0" w:firstRow="1" w:lastRow="1" w:firstColumn="1" w:lastColumn="1" w:noHBand="0" w:noVBand="0"/>
      </w:tblPr>
      <w:tblGrid>
        <w:gridCol w:w="5880"/>
        <w:gridCol w:w="3758"/>
      </w:tblGrid>
      <w:tr w:rsidR="00D22636" w:rsidRPr="007A7CEE" w14:paraId="5257F93C" w14:textId="77777777" w:rsidTr="007A7CEE">
        <w:tc>
          <w:tcPr>
            <w:tcW w:w="6048" w:type="dxa"/>
            <w:shd w:val="clear" w:color="auto" w:fill="auto"/>
          </w:tcPr>
          <w:p w14:paraId="73A1A5E9" w14:textId="77777777" w:rsidR="00D22636" w:rsidRPr="007A7CEE" w:rsidRDefault="00BD3A9C" w:rsidP="007A7CEE">
            <w:pPr>
              <w:ind w:left="540" w:hanging="540"/>
              <w:jc w:val="both"/>
              <w:rPr>
                <w:rFonts w:ascii="Sylfaen" w:hAnsi="Sylfaen" w:cs="Arial"/>
                <w:b/>
              </w:rPr>
            </w:pPr>
            <w:r w:rsidRPr="007A7CEE">
              <w:rPr>
                <w:rFonts w:ascii="Sylfaen" w:hAnsi="Sylfaen" w:cs="Arial"/>
              </w:rPr>
              <w:t>At</w:t>
            </w:r>
            <w:r w:rsidRPr="007A7CEE">
              <w:rPr>
                <w:rFonts w:ascii="Sylfaen" w:hAnsi="Sylfaen" w:cs="Arial"/>
                <w:b/>
              </w:rPr>
              <w:t xml:space="preserve">    </w:t>
            </w:r>
            <w:r w:rsidR="00731D80">
              <w:rPr>
                <w:rFonts w:ascii="Sylfaen" w:hAnsi="Sylfaen" w:cs="Arial"/>
                <w:b/>
              </w:rPr>
              <w:t>Royal Courts of Justice, Belfast</w:t>
            </w:r>
          </w:p>
        </w:tc>
        <w:tc>
          <w:tcPr>
            <w:tcW w:w="3780" w:type="dxa"/>
            <w:shd w:val="clear" w:color="auto" w:fill="auto"/>
          </w:tcPr>
          <w:p w14:paraId="1B66D076" w14:textId="77777777" w:rsidR="00D22636" w:rsidRPr="007A7CEE" w:rsidRDefault="00A544A8" w:rsidP="007A7CEE">
            <w:pPr>
              <w:ind w:left="1872" w:hanging="1872"/>
              <w:jc w:val="both"/>
              <w:rPr>
                <w:rFonts w:ascii="Sylfaen" w:hAnsi="Sylfaen" w:cs="Arial"/>
                <w:b/>
                <w:color w:val="000000"/>
              </w:rPr>
            </w:pPr>
            <w:r w:rsidRPr="007A7CEE">
              <w:rPr>
                <w:rFonts w:ascii="Sylfaen" w:hAnsi="Sylfaen" w:cs="Arial"/>
                <w:color w:val="000000"/>
              </w:rPr>
              <w:t xml:space="preserve">Decision </w:t>
            </w:r>
            <w:r w:rsidR="00F07170" w:rsidRPr="007A7CEE">
              <w:rPr>
                <w:rFonts w:ascii="Sylfaen" w:hAnsi="Sylfaen" w:cs="Arial"/>
                <w:color w:val="000000"/>
              </w:rPr>
              <w:t>signed:</w:t>
            </w:r>
            <w:r w:rsidR="00F07170" w:rsidRPr="007A7CEE">
              <w:rPr>
                <w:rFonts w:ascii="Sylfaen" w:hAnsi="Sylfaen" w:cs="Arial"/>
                <w:b/>
                <w:color w:val="000000"/>
              </w:rPr>
              <w:t xml:space="preserve">   </w:t>
            </w:r>
            <w:r w:rsidR="006C4065">
              <w:rPr>
                <w:rFonts w:ascii="Sylfaen" w:hAnsi="Sylfaen" w:cs="Arial"/>
                <w:b/>
                <w:color w:val="000000"/>
              </w:rPr>
              <w:t>30.07.2018</w:t>
            </w:r>
          </w:p>
        </w:tc>
      </w:tr>
      <w:tr w:rsidR="00D22636" w:rsidRPr="007A7CEE" w14:paraId="352E89F9" w14:textId="77777777" w:rsidTr="007A7CEE">
        <w:tc>
          <w:tcPr>
            <w:tcW w:w="6048" w:type="dxa"/>
            <w:shd w:val="clear" w:color="auto" w:fill="auto"/>
          </w:tcPr>
          <w:p w14:paraId="14015FBF" w14:textId="77777777" w:rsidR="00D22636" w:rsidRPr="007A7CEE" w:rsidRDefault="00BD3A9C" w:rsidP="007A7CEE">
            <w:pPr>
              <w:jc w:val="both"/>
              <w:rPr>
                <w:rFonts w:ascii="Sylfaen" w:hAnsi="Sylfaen" w:cs="Arial"/>
                <w:b/>
              </w:rPr>
            </w:pPr>
            <w:r w:rsidRPr="007A7CEE">
              <w:rPr>
                <w:rFonts w:ascii="Sylfaen" w:hAnsi="Sylfaen" w:cs="Arial"/>
              </w:rPr>
              <w:t>on</w:t>
            </w:r>
            <w:r w:rsidRPr="007A7CEE">
              <w:rPr>
                <w:rFonts w:ascii="Sylfaen" w:hAnsi="Sylfaen" w:cs="Arial"/>
                <w:b/>
              </w:rPr>
              <w:t xml:space="preserve">    </w:t>
            </w:r>
            <w:r w:rsidR="00731D80">
              <w:rPr>
                <w:rFonts w:ascii="Sylfaen" w:hAnsi="Sylfaen" w:cs="Arial"/>
                <w:b/>
              </w:rPr>
              <w:t>23.07.2018</w:t>
            </w:r>
          </w:p>
        </w:tc>
        <w:tc>
          <w:tcPr>
            <w:tcW w:w="3780" w:type="dxa"/>
            <w:shd w:val="clear" w:color="auto" w:fill="auto"/>
          </w:tcPr>
          <w:p w14:paraId="13C2D9E9" w14:textId="77777777" w:rsidR="00D22636" w:rsidRPr="007A7CEE" w:rsidRDefault="00F07170" w:rsidP="007A7CEE">
            <w:pPr>
              <w:ind w:left="1872" w:hanging="1872"/>
              <w:jc w:val="both"/>
              <w:rPr>
                <w:rFonts w:ascii="Sylfaen" w:hAnsi="Sylfaen" w:cs="Arial"/>
                <w:b/>
              </w:rPr>
            </w:pPr>
            <w:r w:rsidRPr="007A7CEE">
              <w:rPr>
                <w:rFonts w:ascii="Sylfaen" w:hAnsi="Sylfaen" w:cs="Arial"/>
                <w:color w:val="000000"/>
              </w:rPr>
              <w:t>sent out:</w:t>
            </w:r>
            <w:r w:rsidRPr="007A7CEE">
              <w:rPr>
                <w:rFonts w:ascii="Sylfaen" w:hAnsi="Sylfaen" w:cs="Arial"/>
                <w:b/>
                <w:color w:val="000000"/>
              </w:rPr>
              <w:t xml:space="preserve">                </w:t>
            </w:r>
            <w:r w:rsidR="00623F1E">
              <w:rPr>
                <w:rFonts w:ascii="Sylfaen" w:hAnsi="Sylfaen" w:cs="Arial"/>
                <w:b/>
                <w:color w:val="000000"/>
              </w:rPr>
              <w:t>06.08.2018</w:t>
            </w:r>
          </w:p>
        </w:tc>
      </w:tr>
    </w:tbl>
    <w:p w14:paraId="556FF67D" w14:textId="77777777" w:rsidR="00F07170" w:rsidRDefault="00F07170" w:rsidP="00BD3A9C">
      <w:pPr>
        <w:rPr>
          <w:rFonts w:ascii="Sylfaen" w:hAnsi="Sylfaen" w:cs="Arial"/>
          <w:b/>
        </w:rPr>
      </w:pPr>
    </w:p>
    <w:p w14:paraId="061FEF37" w14:textId="77777777" w:rsidR="008B2BF0" w:rsidRDefault="008B2BF0" w:rsidP="00BD3A9C">
      <w:pPr>
        <w:rPr>
          <w:rFonts w:ascii="Sylfaen" w:hAnsi="Sylfaen" w:cs="Arial"/>
        </w:rPr>
      </w:pPr>
    </w:p>
    <w:p w14:paraId="434FFBDE" w14:textId="4E4347A2" w:rsidR="00A15234" w:rsidRPr="003860CF" w:rsidRDefault="00207617" w:rsidP="00BD3A9C">
      <w:pPr>
        <w:rPr>
          <w:rFonts w:ascii="Sylfaen" w:hAnsi="Sylfaen" w:cs="Arial"/>
        </w:rPr>
      </w:pPr>
      <w:r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14:paraId="6E7E410C" w14:textId="77777777" w:rsidR="00D20757" w:rsidRPr="003860CF" w:rsidRDefault="00BA334F" w:rsidP="00A15234">
      <w:pPr>
        <w:jc w:val="center"/>
        <w:rPr>
          <w:rFonts w:ascii="Sylfaen" w:hAnsi="Sylfaen" w:cs="Arial"/>
          <w:color w:val="000000"/>
        </w:rPr>
      </w:pPr>
      <w:r>
        <w:rPr>
          <w:rFonts w:ascii="Sylfaen" w:hAnsi="Sylfaen" w:cs="Arial"/>
          <w:color w:val="000000"/>
        </w:rPr>
        <w:t>Upper Tribunal Ju</w:t>
      </w:r>
      <w:r w:rsidRPr="003860CF">
        <w:rPr>
          <w:rFonts w:ascii="Sylfaen" w:hAnsi="Sylfaen" w:cs="Arial"/>
          <w:color w:val="000000"/>
        </w:rPr>
        <w:t xml:space="preserve">dge </w:t>
      </w:r>
    </w:p>
    <w:p w14:paraId="7C925B8C" w14:textId="77777777" w:rsidR="00A544A8" w:rsidRPr="00A544A8" w:rsidRDefault="00A544A8" w:rsidP="00A544A8">
      <w:pPr>
        <w:jc w:val="center"/>
        <w:rPr>
          <w:rFonts w:ascii="Sylfaen" w:hAnsi="Sylfaen" w:cs="Arial"/>
          <w:b/>
          <w:color w:val="000000"/>
        </w:rPr>
      </w:pPr>
      <w:r w:rsidRPr="00A544A8">
        <w:rPr>
          <w:rFonts w:ascii="Sylfaen" w:hAnsi="Sylfaen" w:cs="Arial"/>
          <w:b/>
          <w:color w:val="000000"/>
        </w:rPr>
        <w:t>John FREEMAN</w:t>
      </w:r>
    </w:p>
    <w:p w14:paraId="56F950B9" w14:textId="77777777" w:rsidR="008B2BF0" w:rsidRDefault="008B2BF0" w:rsidP="00BD3A9C">
      <w:pPr>
        <w:rPr>
          <w:rFonts w:ascii="Sylfaen" w:hAnsi="Sylfaen" w:cs="Arial"/>
        </w:rPr>
      </w:pPr>
    </w:p>
    <w:p w14:paraId="15CF032C" w14:textId="035B0C73" w:rsidR="00A845DC" w:rsidRPr="003860CF" w:rsidRDefault="00A845DC" w:rsidP="00BD3A9C">
      <w:pPr>
        <w:rPr>
          <w:rFonts w:ascii="Sylfaen" w:hAnsi="Sylfaen" w:cs="Arial"/>
        </w:rPr>
      </w:pPr>
      <w:r w:rsidRPr="003860CF">
        <w:rPr>
          <w:rFonts w:ascii="Sylfaen" w:hAnsi="Sylfaen" w:cs="Arial"/>
        </w:rPr>
        <w:t>Between</w:t>
      </w:r>
      <w:r w:rsidR="00BD3A9C" w:rsidRPr="003860CF">
        <w:rPr>
          <w:rFonts w:ascii="Sylfaen" w:hAnsi="Sylfaen" w:cs="Arial"/>
        </w:rPr>
        <w:t>:</w:t>
      </w:r>
    </w:p>
    <w:p w14:paraId="41B96575" w14:textId="0C59B7F9" w:rsidR="00704B61" w:rsidRPr="00A544A8" w:rsidRDefault="008B2BF0" w:rsidP="00A15234">
      <w:pPr>
        <w:jc w:val="center"/>
        <w:rPr>
          <w:rFonts w:ascii="Sylfaen" w:hAnsi="Sylfaen" w:cs="Arial"/>
          <w:b/>
        </w:rPr>
      </w:pPr>
      <w:r>
        <w:rPr>
          <w:rFonts w:ascii="Sylfaen" w:hAnsi="Sylfaen" w:cs="Arial"/>
          <w:b/>
        </w:rPr>
        <w:t>[</w:t>
      </w:r>
      <w:r w:rsidR="00731D80">
        <w:rPr>
          <w:rFonts w:ascii="Sylfaen" w:hAnsi="Sylfaen" w:cs="Arial"/>
          <w:b/>
        </w:rPr>
        <w:t>A</w:t>
      </w:r>
      <w:r>
        <w:rPr>
          <w:rFonts w:ascii="Sylfaen" w:hAnsi="Sylfaen" w:cs="Arial"/>
          <w:b/>
        </w:rPr>
        <w:t xml:space="preserve"> </w:t>
      </w:r>
      <w:r w:rsidR="00731D80">
        <w:rPr>
          <w:rFonts w:ascii="Sylfaen" w:hAnsi="Sylfaen" w:cs="Arial"/>
          <w:b/>
          <w:caps/>
        </w:rPr>
        <w:t>a</w:t>
      </w:r>
      <w:r>
        <w:rPr>
          <w:rFonts w:ascii="Sylfaen" w:hAnsi="Sylfaen" w:cs="Arial"/>
          <w:b/>
          <w:caps/>
        </w:rPr>
        <w:t>]</w:t>
      </w:r>
      <w:bookmarkStart w:id="0" w:name="_GoBack"/>
      <w:bookmarkEnd w:id="0"/>
    </w:p>
    <w:p w14:paraId="0076155F" w14:textId="77777777" w:rsidR="00704B61" w:rsidRPr="003860CF" w:rsidRDefault="00BD3A9C" w:rsidP="00731D80">
      <w:pPr>
        <w:jc w:val="right"/>
        <w:rPr>
          <w:rFonts w:ascii="Sylfaen" w:hAnsi="Sylfaen" w:cs="Arial"/>
        </w:rPr>
      </w:pPr>
      <w:r w:rsidRPr="003860CF">
        <w:rPr>
          <w:rFonts w:ascii="Sylfaen" w:hAnsi="Sylfaen" w:cs="Arial"/>
        </w:rPr>
        <w:t>appellant</w:t>
      </w:r>
    </w:p>
    <w:p w14:paraId="4D1E8526" w14:textId="77777777" w:rsidR="00704B61" w:rsidRPr="00A544A8" w:rsidRDefault="00DD5071" w:rsidP="00704B61">
      <w:pPr>
        <w:jc w:val="center"/>
        <w:rPr>
          <w:rFonts w:ascii="Sylfaen" w:hAnsi="Sylfaen" w:cs="Arial"/>
          <w:b/>
        </w:rPr>
      </w:pPr>
      <w:r w:rsidRPr="00A544A8">
        <w:rPr>
          <w:rFonts w:ascii="Sylfaen" w:hAnsi="Sylfaen" w:cs="Arial"/>
          <w:b/>
        </w:rPr>
        <w:t>and</w:t>
      </w:r>
    </w:p>
    <w:p w14:paraId="26E6E005" w14:textId="77777777" w:rsidR="00DD5071" w:rsidRPr="00A544A8" w:rsidRDefault="00DD5071" w:rsidP="00704B61">
      <w:pPr>
        <w:jc w:val="center"/>
        <w:rPr>
          <w:rFonts w:ascii="Sylfaen" w:hAnsi="Sylfaen" w:cs="Arial"/>
          <w:b/>
        </w:rPr>
      </w:pPr>
    </w:p>
    <w:bookmarkStart w:id="1" w:name="Dropdown1"/>
    <w:p w14:paraId="022CDD43" w14:textId="77777777"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EA09D2">
        <w:rPr>
          <w:rFonts w:ascii="Sylfaen" w:hAnsi="Sylfaen" w:cs="Arial"/>
          <w:b/>
        </w:rPr>
      </w:r>
      <w:r w:rsidR="00EA09D2">
        <w:rPr>
          <w:rFonts w:ascii="Sylfaen" w:hAnsi="Sylfaen" w:cs="Arial"/>
          <w:b/>
        </w:rPr>
        <w:fldChar w:fldCharType="separate"/>
      </w:r>
      <w:r w:rsidRPr="00A544A8">
        <w:rPr>
          <w:rFonts w:ascii="Sylfaen" w:hAnsi="Sylfaen" w:cs="Arial"/>
          <w:b/>
        </w:rPr>
        <w:fldChar w:fldCharType="end"/>
      </w:r>
      <w:bookmarkEnd w:id="1"/>
      <w:r w:rsidR="009E30EE">
        <w:rPr>
          <w:rFonts w:ascii="Sylfaen" w:hAnsi="Sylfaen" w:cs="Arial"/>
          <w:b/>
        </w:rPr>
        <w:t xml:space="preserve"> </w:t>
      </w:r>
      <w:r w:rsidR="009E30EE">
        <w:rPr>
          <w:rFonts w:ascii="Sylfaen" w:hAnsi="Sylfaen" w:cs="Arial"/>
          <w:b/>
        </w:rPr>
        <w:fldChar w:fldCharType="begin">
          <w:ffData>
            <w:name w:val="Text34"/>
            <w:enabled/>
            <w:calcOnExit w:val="0"/>
            <w:textInput/>
          </w:ffData>
        </w:fldChar>
      </w:r>
      <w:bookmarkStart w:id="2" w:name="Text34"/>
      <w:r w:rsidR="009E30EE">
        <w:rPr>
          <w:rFonts w:ascii="Sylfaen" w:hAnsi="Sylfaen" w:cs="Arial"/>
          <w:b/>
        </w:rPr>
        <w:instrText xml:space="preserve"> FORMTEXT </w:instrText>
      </w:r>
      <w:r w:rsidR="009E30EE">
        <w:rPr>
          <w:rFonts w:ascii="Sylfaen" w:hAnsi="Sylfaen" w:cs="Arial"/>
          <w:b/>
        </w:rPr>
      </w:r>
      <w:r w:rsidR="009E30EE">
        <w:rPr>
          <w:rFonts w:ascii="Sylfaen" w:hAnsi="Sylfaen" w:cs="Arial"/>
          <w:b/>
        </w:rPr>
        <w:fldChar w:fldCharType="separate"/>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374981">
        <w:rPr>
          <w:rFonts w:ascii="Sylfaen" w:hAnsi="Sylfaen" w:cs="Arial"/>
          <w:b/>
          <w:noProof/>
        </w:rPr>
        <w:t> </w:t>
      </w:r>
      <w:r w:rsidR="009E30EE">
        <w:rPr>
          <w:rFonts w:ascii="Sylfaen" w:hAnsi="Sylfaen" w:cs="Arial"/>
          <w:b/>
        </w:rPr>
        <w:fldChar w:fldCharType="end"/>
      </w:r>
      <w:bookmarkEnd w:id="2"/>
    </w:p>
    <w:p w14:paraId="0E3104B9" w14:textId="77777777" w:rsidR="00DD5071" w:rsidRPr="003860CF" w:rsidRDefault="00BD3A9C" w:rsidP="00DD5071">
      <w:pPr>
        <w:jc w:val="right"/>
        <w:rPr>
          <w:rFonts w:ascii="Sylfaen" w:hAnsi="Sylfaen" w:cs="Arial"/>
        </w:rPr>
      </w:pPr>
      <w:r w:rsidRPr="003860CF">
        <w:rPr>
          <w:rFonts w:ascii="Sylfaen" w:hAnsi="Sylfaen" w:cs="Arial"/>
        </w:rPr>
        <w:t>respondent</w:t>
      </w:r>
    </w:p>
    <w:p w14:paraId="34FFFCF2" w14:textId="77777777" w:rsidR="008B2BF0" w:rsidRDefault="008B2BF0" w:rsidP="00DD5071">
      <w:pPr>
        <w:rPr>
          <w:rFonts w:ascii="Sylfaen" w:hAnsi="Sylfaen" w:cs="Arial"/>
          <w:u w:val="single"/>
        </w:rPr>
      </w:pPr>
    </w:p>
    <w:p w14:paraId="76C37254" w14:textId="77777777" w:rsidR="008B2BF0" w:rsidRDefault="008B2BF0" w:rsidP="00DD5071">
      <w:pPr>
        <w:rPr>
          <w:rFonts w:ascii="Sylfaen" w:hAnsi="Sylfaen" w:cs="Arial"/>
          <w:u w:val="single"/>
        </w:rPr>
      </w:pPr>
    </w:p>
    <w:p w14:paraId="098ED53A" w14:textId="629E878F"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14:paraId="4796B609" w14:textId="77777777" w:rsidR="00DE7DB7" w:rsidRPr="00731D80"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Pr="00A544A8">
        <w:rPr>
          <w:rFonts w:ascii="Sylfaen" w:hAnsi="Sylfaen" w:cs="Arial"/>
        </w:rPr>
        <w:t>:</w:t>
      </w:r>
      <w:r w:rsidRPr="00A544A8">
        <w:rPr>
          <w:rFonts w:ascii="Sylfaen" w:hAnsi="Sylfaen" w:cs="Arial"/>
        </w:rPr>
        <w:tab/>
      </w:r>
      <w:r w:rsidR="00731D80">
        <w:rPr>
          <w:rFonts w:ascii="Sylfaen" w:hAnsi="Sylfaen" w:cs="Arial"/>
          <w:i/>
        </w:rPr>
        <w:t xml:space="preserve">Stuart </w:t>
      </w:r>
      <w:r w:rsidR="00623F1E">
        <w:rPr>
          <w:rFonts w:ascii="Sylfaen" w:hAnsi="Sylfaen" w:cs="Arial"/>
          <w:i/>
        </w:rPr>
        <w:t xml:space="preserve">McTaggart </w:t>
      </w:r>
      <w:r w:rsidR="00623F1E">
        <w:rPr>
          <w:rFonts w:ascii="Sylfaen" w:hAnsi="Sylfaen" w:cs="Arial"/>
        </w:rPr>
        <w:t>(</w:t>
      </w:r>
      <w:r w:rsidR="00731D80">
        <w:rPr>
          <w:rFonts w:ascii="Sylfaen" w:hAnsi="Sylfaen" w:cs="Arial"/>
        </w:rPr>
        <w:t>counsel instructed by MSM)</w:t>
      </w:r>
    </w:p>
    <w:p w14:paraId="7BD2584C" w14:textId="77777777" w:rsidR="00731D80" w:rsidRPr="00A544A8"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Pr="00A544A8">
        <w:rPr>
          <w:rFonts w:ascii="Sylfaen" w:hAnsi="Sylfaen" w:cs="Arial"/>
        </w:rPr>
        <w:tab/>
      </w:r>
      <w:r w:rsidR="00731D80">
        <w:rPr>
          <w:rFonts w:ascii="Sylfaen" w:hAnsi="Sylfaen" w:cs="Arial"/>
        </w:rPr>
        <w:t>Mr A Govan</w:t>
      </w:r>
    </w:p>
    <w:p w14:paraId="4F92646E" w14:textId="77777777" w:rsidR="00DE7DB7" w:rsidRPr="00A544A8" w:rsidRDefault="00DE7DB7" w:rsidP="00402B9E">
      <w:pPr>
        <w:tabs>
          <w:tab w:val="left" w:pos="2520"/>
        </w:tabs>
        <w:jc w:val="center"/>
        <w:rPr>
          <w:rFonts w:ascii="Sylfaen" w:hAnsi="Sylfaen" w:cs="Arial"/>
        </w:rPr>
      </w:pPr>
    </w:p>
    <w:p w14:paraId="62DD165E" w14:textId="77777777" w:rsidR="008B2BF0" w:rsidRDefault="008B2BF0" w:rsidP="00BD3A9C">
      <w:pPr>
        <w:tabs>
          <w:tab w:val="left" w:pos="2520"/>
        </w:tabs>
        <w:spacing w:after="120"/>
        <w:jc w:val="center"/>
        <w:rPr>
          <w:rFonts w:ascii="Sylfaen" w:hAnsi="Sylfaen" w:cs="Arial"/>
          <w:b/>
          <w:u w:val="single"/>
        </w:rPr>
      </w:pPr>
    </w:p>
    <w:p w14:paraId="3E239D83" w14:textId="63C049D3" w:rsidR="00DE7DB7" w:rsidRPr="00A544A8" w:rsidRDefault="00402B9E" w:rsidP="00BD3A9C">
      <w:pPr>
        <w:tabs>
          <w:tab w:val="left" w:pos="2520"/>
        </w:tabs>
        <w:spacing w:after="120"/>
        <w:jc w:val="center"/>
        <w:rPr>
          <w:rFonts w:ascii="Sylfaen" w:hAnsi="Sylfaen" w:cs="Arial"/>
        </w:rPr>
      </w:pPr>
      <w:r w:rsidRPr="00A544A8">
        <w:rPr>
          <w:rFonts w:ascii="Sylfaen" w:hAnsi="Sylfaen" w:cs="Arial"/>
          <w:b/>
          <w:u w:val="single"/>
        </w:rPr>
        <w:t>DETERMINATION AND REASONS</w:t>
      </w:r>
    </w:p>
    <w:p w14:paraId="775E845A" w14:textId="70446553" w:rsidR="00BF23BB" w:rsidRPr="00A544A8" w:rsidRDefault="00FE4D99" w:rsidP="008B2BF0">
      <w:pPr>
        <w:tabs>
          <w:tab w:val="left" w:pos="567"/>
        </w:tabs>
        <w:spacing w:before="240"/>
        <w:ind w:left="567"/>
        <w:jc w:val="both"/>
        <w:rPr>
          <w:rFonts w:ascii="Sylfaen" w:hAnsi="Sylfaen" w:cs="Arial"/>
        </w:rPr>
      </w:pPr>
      <w:r>
        <w:rPr>
          <w:rFonts w:ascii="Sylfaen" w:hAnsi="Sylfaen" w:cs="Arial"/>
        </w:rPr>
        <w:t>This is an appeal</w:t>
      </w:r>
      <w:r w:rsidR="00DF392C">
        <w:rPr>
          <w:rFonts w:ascii="Sylfaen" w:hAnsi="Sylfaen" w:cs="Arial"/>
        </w:rPr>
        <w:t>,</w:t>
      </w:r>
      <w:r>
        <w:rPr>
          <w:rFonts w:ascii="Sylfaen" w:hAnsi="Sylfaen" w:cs="Arial"/>
        </w:rPr>
        <w:t xml:space="preserve"> by</w:t>
      </w:r>
      <w:r w:rsidR="00DE20CE">
        <w:rPr>
          <w:rFonts w:ascii="Sylfaen" w:hAnsi="Sylfaen" w:cs="Arial"/>
        </w:rPr>
        <w:t xml:space="preserve"> the </w:t>
      </w:r>
      <w:bookmarkStart w:id="3" w:name="Dropdown4"/>
      <w:r w:rsidR="00DE20CE">
        <w:rPr>
          <w:rFonts w:ascii="Sylfaen" w:hAnsi="Sylfaen" w:cs="Arial"/>
        </w:rPr>
        <w:fldChar w:fldCharType="begin">
          <w:ffData>
            <w:name w:val="Dropdown4"/>
            <w:enabled/>
            <w:calcOnExit w:val="0"/>
            <w:ddList>
              <w:listEntry w:val="appellant"/>
              <w:listEntry w:val="appellants"/>
              <w:listEntry w:val="respondent to the original appeal"/>
            </w:ddList>
          </w:ffData>
        </w:fldChar>
      </w:r>
      <w:r w:rsidR="00DE20CE">
        <w:rPr>
          <w:rFonts w:ascii="Sylfaen" w:hAnsi="Sylfaen" w:cs="Arial"/>
        </w:rPr>
        <w:instrText xml:space="preserve"> FORMDROPDOWN </w:instrText>
      </w:r>
      <w:r w:rsidR="00EA09D2">
        <w:rPr>
          <w:rFonts w:ascii="Sylfaen" w:hAnsi="Sylfaen" w:cs="Arial"/>
        </w:rPr>
      </w:r>
      <w:r w:rsidR="00EA09D2">
        <w:rPr>
          <w:rFonts w:ascii="Sylfaen" w:hAnsi="Sylfaen" w:cs="Arial"/>
        </w:rPr>
        <w:fldChar w:fldCharType="separate"/>
      </w:r>
      <w:r w:rsidR="00DE20CE">
        <w:rPr>
          <w:rFonts w:ascii="Sylfaen" w:hAnsi="Sylfaen" w:cs="Arial"/>
        </w:rPr>
        <w:fldChar w:fldCharType="end"/>
      </w:r>
      <w:bookmarkEnd w:id="3"/>
      <w:r w:rsidR="00DF392C">
        <w:rPr>
          <w:rFonts w:ascii="Sylfaen" w:hAnsi="Sylfaen" w:cs="Arial"/>
        </w:rPr>
        <w:t>,</w:t>
      </w:r>
      <w:r>
        <w:rPr>
          <w:rFonts w:ascii="Sylfaen" w:hAnsi="Sylfaen" w:cs="Arial"/>
        </w:rPr>
        <w:t xml:space="preserve"> against the decision of </w:t>
      </w:r>
      <w:r w:rsidR="00194E6E">
        <w:rPr>
          <w:rFonts w:ascii="Sylfaen" w:hAnsi="Sylfaen" w:cs="Arial"/>
        </w:rPr>
        <w:t>the First-tier Tribunal</w:t>
      </w:r>
      <w:r>
        <w:rPr>
          <w:rFonts w:ascii="Sylfaen" w:hAnsi="Sylfaen" w:cs="Arial"/>
        </w:rPr>
        <w:t xml:space="preserve"> </w:t>
      </w:r>
      <w:r w:rsidR="00194E6E">
        <w:rPr>
          <w:rFonts w:ascii="Sylfaen" w:hAnsi="Sylfaen" w:cs="Arial"/>
        </w:rPr>
        <w:t>(</w:t>
      </w:r>
      <w:r>
        <w:rPr>
          <w:rFonts w:ascii="Sylfaen" w:hAnsi="Sylfaen" w:cs="Arial"/>
        </w:rPr>
        <w:t xml:space="preserve">Judge </w:t>
      </w:r>
      <w:r w:rsidR="00731D80">
        <w:rPr>
          <w:rFonts w:ascii="Sylfaen" w:hAnsi="Sylfaen" w:cs="Arial"/>
        </w:rPr>
        <w:t xml:space="preserve">Francis </w:t>
      </w:r>
      <w:proofErr w:type="spellStart"/>
      <w:r w:rsidR="00731D80">
        <w:rPr>
          <w:rFonts w:ascii="Sylfaen" w:hAnsi="Sylfaen" w:cs="Arial"/>
        </w:rPr>
        <w:t>Farrelly</w:t>
      </w:r>
      <w:proofErr w:type="spellEnd"/>
      <w:r w:rsidR="00194E6E">
        <w:rPr>
          <w:rFonts w:ascii="Sylfaen" w:hAnsi="Sylfaen" w:cs="Arial"/>
        </w:rPr>
        <w:t>)</w:t>
      </w:r>
      <w:r>
        <w:rPr>
          <w:rFonts w:ascii="Sylfaen" w:hAnsi="Sylfaen" w:cs="Arial"/>
        </w:rPr>
        <w:t xml:space="preserve">, sitting at </w:t>
      </w:r>
      <w:r w:rsidR="00731D80">
        <w:rPr>
          <w:rFonts w:ascii="Sylfaen" w:hAnsi="Sylfaen" w:cs="Arial"/>
        </w:rPr>
        <w:t>Belfast</w:t>
      </w:r>
      <w:r>
        <w:rPr>
          <w:rFonts w:ascii="Sylfaen" w:hAnsi="Sylfaen" w:cs="Arial"/>
        </w:rPr>
        <w:t xml:space="preserve"> on </w:t>
      </w:r>
      <w:r w:rsidR="00731D80">
        <w:rPr>
          <w:rFonts w:ascii="Sylfaen" w:hAnsi="Sylfaen" w:cs="Arial"/>
        </w:rPr>
        <w:t>7 September 2017</w:t>
      </w:r>
      <w:r>
        <w:rPr>
          <w:rFonts w:ascii="Sylfaen" w:hAnsi="Sylfaen" w:cs="Arial"/>
        </w:rPr>
        <w:t xml:space="preserve">, to </w:t>
      </w:r>
      <w:bookmarkStart w:id="4" w:name="Dropdown2"/>
      <w:r w:rsidR="004617F0">
        <w:rPr>
          <w:rFonts w:ascii="Sylfaen" w:hAnsi="Sylfaen" w:cs="Arial"/>
        </w:rPr>
        <w:fldChar w:fldCharType="begin">
          <w:ffData>
            <w:name w:val="Dropdown2"/>
            <w:enabled/>
            <w:calcOnExit w:val="0"/>
            <w:ddList>
              <w:listEntry w:val="dismiss"/>
              <w:listEntry w:val="allow"/>
            </w:ddList>
          </w:ffData>
        </w:fldChar>
      </w:r>
      <w:r w:rsidR="004617F0">
        <w:rPr>
          <w:rFonts w:ascii="Sylfaen" w:hAnsi="Sylfaen" w:cs="Arial"/>
        </w:rPr>
        <w:instrText xml:space="preserve"> FORMDROPDOWN </w:instrText>
      </w:r>
      <w:r w:rsidR="00EA09D2">
        <w:rPr>
          <w:rFonts w:ascii="Sylfaen" w:hAnsi="Sylfaen" w:cs="Arial"/>
        </w:rPr>
      </w:r>
      <w:r w:rsidR="00EA09D2">
        <w:rPr>
          <w:rFonts w:ascii="Sylfaen" w:hAnsi="Sylfaen" w:cs="Arial"/>
        </w:rPr>
        <w:fldChar w:fldCharType="separate"/>
      </w:r>
      <w:r w:rsidR="004617F0">
        <w:rPr>
          <w:rFonts w:ascii="Sylfaen" w:hAnsi="Sylfaen" w:cs="Arial"/>
        </w:rPr>
        <w:fldChar w:fldCharType="end"/>
      </w:r>
      <w:bookmarkEnd w:id="4"/>
      <w:r>
        <w:rPr>
          <w:rFonts w:ascii="Sylfaen" w:hAnsi="Sylfaen" w:cs="Arial"/>
        </w:rPr>
        <w:t xml:space="preserve"> </w:t>
      </w:r>
      <w:r w:rsidR="00731D80">
        <w:rPr>
          <w:rFonts w:ascii="Sylfaen" w:hAnsi="Sylfaen" w:cs="Arial"/>
        </w:rPr>
        <w:t>an asylum</w:t>
      </w:r>
      <w:r>
        <w:rPr>
          <w:rFonts w:ascii="Sylfaen" w:hAnsi="Sylfaen" w:cs="Arial"/>
        </w:rPr>
        <w:t xml:space="preserve"> appeal by a citizen of </w:t>
      </w:r>
      <w:r w:rsidR="00731D80">
        <w:rPr>
          <w:rFonts w:ascii="Sylfaen" w:hAnsi="Sylfaen" w:cs="Arial"/>
        </w:rPr>
        <w:t>the Sudan</w:t>
      </w:r>
      <w:r w:rsidR="00102EBC">
        <w:rPr>
          <w:rFonts w:ascii="Sylfaen" w:hAnsi="Sylfaen" w:cs="Arial"/>
        </w:rPr>
        <w:t xml:space="preserve">, born </w:t>
      </w:r>
      <w:r w:rsidR="00731D80">
        <w:rPr>
          <w:rFonts w:ascii="Sylfaen" w:hAnsi="Sylfaen" w:cs="Arial"/>
        </w:rPr>
        <w:t>1965</w:t>
      </w:r>
      <w:r>
        <w:rPr>
          <w:rFonts w:ascii="Sylfaen" w:hAnsi="Sylfaen" w:cs="Arial"/>
        </w:rPr>
        <w:t>.</w:t>
      </w:r>
      <w:r w:rsidR="00731D80">
        <w:rPr>
          <w:rFonts w:ascii="Sylfaen" w:hAnsi="Sylfaen" w:cs="Arial"/>
        </w:rPr>
        <w:t xml:space="preserve"> </w:t>
      </w:r>
    </w:p>
    <w:p w14:paraId="000861C4" w14:textId="77777777" w:rsidR="002220FA" w:rsidRDefault="00731D80" w:rsidP="008B2BF0">
      <w:pPr>
        <w:numPr>
          <w:ilvl w:val="0"/>
          <w:numId w:val="1"/>
        </w:numPr>
        <w:tabs>
          <w:tab w:val="clear" w:pos="757"/>
        </w:tabs>
        <w:spacing w:before="240"/>
        <w:ind w:left="567" w:hanging="567"/>
        <w:jc w:val="both"/>
        <w:rPr>
          <w:rFonts w:ascii="Sylfaen" w:hAnsi="Sylfaen" w:cs="Arial"/>
        </w:rPr>
      </w:pPr>
      <w:r>
        <w:rPr>
          <w:rFonts w:ascii="Sylfaen" w:hAnsi="Sylfaen" w:cs="Arial"/>
        </w:rPr>
        <w:lastRenderedPageBreak/>
        <w:t>The appellant had first come here on a visit visa</w:t>
      </w:r>
      <w:r w:rsidR="002220FA">
        <w:rPr>
          <w:rFonts w:ascii="Sylfaen" w:hAnsi="Sylfaen" w:cs="Arial"/>
        </w:rPr>
        <w:t>, for an international Scout gathering</w:t>
      </w:r>
      <w:r>
        <w:rPr>
          <w:rFonts w:ascii="Sylfaen" w:hAnsi="Sylfaen" w:cs="Arial"/>
        </w:rPr>
        <w:t xml:space="preserve"> in 2007. Later that year he had returned to the Sudan, </w:t>
      </w:r>
      <w:r w:rsidR="002220FA">
        <w:rPr>
          <w:rFonts w:ascii="Sylfaen" w:hAnsi="Sylfaen" w:cs="Arial"/>
        </w:rPr>
        <w:t xml:space="preserve">and then come back, by way of Dubai. He was arrested on return on 26 April 2008, and at that point claimed asylum, on the basis of events which he said had taken place when he went back to the Sudan. That was refused in 2010, when his appeal was dismissed by Judge Sean Fox, and was finally refused permission to appeal on 22 December that year. </w:t>
      </w:r>
    </w:p>
    <w:p w14:paraId="5C9B536D" w14:textId="77777777" w:rsidR="00ED6AA3" w:rsidRPr="00ED6AA3" w:rsidRDefault="002220FA" w:rsidP="008B2BF0">
      <w:pPr>
        <w:numPr>
          <w:ilvl w:val="0"/>
          <w:numId w:val="1"/>
        </w:numPr>
        <w:tabs>
          <w:tab w:val="clear" w:pos="757"/>
        </w:tabs>
        <w:spacing w:before="240"/>
        <w:ind w:left="567" w:hanging="567"/>
        <w:jc w:val="both"/>
        <w:rPr>
          <w:rFonts w:ascii="Sylfaen" w:hAnsi="Sylfaen" w:cs="Arial"/>
        </w:rPr>
      </w:pPr>
      <w:r>
        <w:rPr>
          <w:rFonts w:ascii="Sylfaen" w:hAnsi="Sylfaen" w:cs="Arial"/>
        </w:rPr>
        <w:t xml:space="preserve">Over the next few years the appellant made various sets of further submissions, all refused without any steps being taken to remove him, till a </w:t>
      </w:r>
      <w:r w:rsidR="00285302">
        <w:rPr>
          <w:rFonts w:ascii="Sylfaen" w:hAnsi="Sylfaen" w:cs="Arial"/>
        </w:rPr>
        <w:t xml:space="preserve">refusal decision was given, with a </w:t>
      </w:r>
      <w:r>
        <w:rPr>
          <w:rFonts w:ascii="Sylfaen" w:hAnsi="Sylfaen" w:cs="Arial"/>
        </w:rPr>
        <w:t>removal window</w:t>
      </w:r>
      <w:r w:rsidR="00285302">
        <w:rPr>
          <w:rFonts w:ascii="Sylfaen" w:hAnsi="Sylfaen" w:cs="Arial"/>
        </w:rPr>
        <w:t>,</w:t>
      </w:r>
      <w:r>
        <w:rPr>
          <w:rFonts w:ascii="Sylfaen" w:hAnsi="Sylfaen" w:cs="Arial"/>
        </w:rPr>
        <w:t xml:space="preserve"> on 15 February 2017, allowing him a further right of appeal. </w:t>
      </w:r>
      <w:r w:rsidR="00ED6AA3" w:rsidRPr="00ED6AA3">
        <w:rPr>
          <w:rFonts w:ascii="Sylfaen" w:hAnsi="Sylfaen" w:cs="Arial"/>
        </w:rPr>
        <w:t xml:space="preserve">Judge </w:t>
      </w:r>
      <w:proofErr w:type="spellStart"/>
      <w:r w:rsidR="00ED6AA3" w:rsidRPr="00ED6AA3">
        <w:rPr>
          <w:rFonts w:ascii="Sylfaen" w:hAnsi="Sylfaen" w:cs="Arial"/>
        </w:rPr>
        <w:t>Farrelly</w:t>
      </w:r>
      <w:proofErr w:type="spellEnd"/>
      <w:r w:rsidR="00ED6AA3">
        <w:rPr>
          <w:rFonts w:ascii="Sylfaen" w:hAnsi="Sylfaen" w:cs="Arial"/>
        </w:rPr>
        <w:t xml:space="preserve"> of course referred to the effect of </w:t>
      </w:r>
      <w:hyperlink r:id="rId8" w:tgtFrame="_blank" w:tooltip="Devaseelan (Second Appeals - ECHR - Extra-Territorial Effect)" w:history="1">
        <w:proofErr w:type="spellStart"/>
        <w:r w:rsidR="00ED6AA3" w:rsidRPr="00ED6AA3">
          <w:rPr>
            <w:rFonts w:ascii="Sylfaen" w:hAnsi="Sylfaen" w:cs="Arial"/>
            <w:i/>
            <w:color w:val="000000"/>
            <w:shd w:val="clear" w:color="auto" w:fill="FFFFFF"/>
          </w:rPr>
          <w:t>Devaseelan</w:t>
        </w:r>
        <w:proofErr w:type="spellEnd"/>
        <w:r w:rsidR="00ED6AA3" w:rsidRPr="00ED6AA3">
          <w:rPr>
            <w:rFonts w:ascii="Sylfaen" w:hAnsi="Sylfaen" w:cs="Arial"/>
            <w:color w:val="000000"/>
            <w:shd w:val="clear" w:color="auto" w:fill="FFFFFF"/>
          </w:rPr>
          <w:t xml:space="preserve"> (Second Appeals - ECHR - Extra-Territorial Effect)</w:t>
        </w:r>
      </w:hyperlink>
      <w:r w:rsidR="00ED6AA3" w:rsidRPr="00ED6AA3">
        <w:rPr>
          <w:rFonts w:ascii="Sylfaen" w:hAnsi="Sylfaen" w:cs="Arial"/>
          <w:color w:val="000000"/>
        </w:rPr>
        <w:t xml:space="preserve"> [2002] UKIAT 702*</w:t>
      </w:r>
      <w:r w:rsidR="00ED6AA3">
        <w:rPr>
          <w:rFonts w:ascii="Sylfaen" w:hAnsi="Sylfaen" w:cs="Arial"/>
          <w:color w:val="000000"/>
        </w:rPr>
        <w:t>, making Judge Fox’s decision the starting-point for his own, and set it out impeccably at paragraph 21.</w:t>
      </w:r>
    </w:p>
    <w:p w14:paraId="4DDC516B" w14:textId="77777777" w:rsidR="004617F0" w:rsidRDefault="00ED6AA3" w:rsidP="008B2BF0">
      <w:pPr>
        <w:numPr>
          <w:ilvl w:val="0"/>
          <w:numId w:val="1"/>
        </w:numPr>
        <w:tabs>
          <w:tab w:val="clear" w:pos="757"/>
        </w:tabs>
        <w:spacing w:before="240"/>
        <w:ind w:left="567" w:hanging="567"/>
        <w:jc w:val="both"/>
        <w:rPr>
          <w:rFonts w:ascii="Sylfaen" w:hAnsi="Sylfaen" w:cs="Arial"/>
        </w:rPr>
      </w:pPr>
      <w:r>
        <w:rPr>
          <w:rFonts w:ascii="Sylfaen" w:hAnsi="Sylfaen" w:cs="Arial"/>
          <w:color w:val="000000"/>
        </w:rPr>
        <w:t xml:space="preserve">The appellant’s case was that he had been detained on his return to the Sudan in 2007, as a result of contacts he had had with Israeli Scout leaders at the gathering here. He had been ill-treated, but released and then heard he would be re-arrested and killed, so took flight. In 2010 He produced medical evidence by way of letters from </w:t>
      </w:r>
      <w:r>
        <w:rPr>
          <w:rFonts w:ascii="Sylfaen" w:hAnsi="Sylfaen" w:cs="Arial"/>
        </w:rPr>
        <w:t>his GP here, Dr Linda Agnew.</w:t>
      </w:r>
    </w:p>
    <w:p w14:paraId="182C4EAA" w14:textId="77777777" w:rsidR="00ED6AA3" w:rsidRDefault="00ED6AA3" w:rsidP="008B2BF0">
      <w:pPr>
        <w:numPr>
          <w:ilvl w:val="0"/>
          <w:numId w:val="1"/>
        </w:numPr>
        <w:tabs>
          <w:tab w:val="clear" w:pos="757"/>
        </w:tabs>
        <w:spacing w:before="240"/>
        <w:ind w:left="567" w:hanging="567"/>
        <w:jc w:val="both"/>
        <w:rPr>
          <w:rFonts w:ascii="Sylfaen" w:hAnsi="Sylfaen" w:cs="Arial"/>
        </w:rPr>
      </w:pPr>
      <w:r>
        <w:rPr>
          <w:rFonts w:ascii="Sylfaen" w:hAnsi="Sylfaen" w:cs="Arial"/>
        </w:rPr>
        <w:t>The main addition to the appellant’s evidence in 2017 was further medical evidence, this time by way of a report dated 3 September 2016, and an addendum on 21 August 2017</w:t>
      </w:r>
      <w:r w:rsidR="00285302">
        <w:rPr>
          <w:rFonts w:ascii="Sylfaen" w:hAnsi="Sylfaen" w:cs="Arial"/>
        </w:rPr>
        <w:t xml:space="preserve">, commenting on the treatment of the previous report in the refusal letter. The author of these was Dr Frank Arnold FRCS, a wound specialist with many years’ experience, both clinical and forensic. The main point </w:t>
      </w:r>
      <w:r w:rsidR="00285302" w:rsidRPr="00285302">
        <w:rPr>
          <w:rFonts w:ascii="Sylfaen" w:hAnsi="Sylfaen" w:cs="Arial"/>
        </w:rPr>
        <w:t xml:space="preserve">Judge </w:t>
      </w:r>
      <w:proofErr w:type="spellStart"/>
      <w:r w:rsidR="00285302" w:rsidRPr="00285302">
        <w:rPr>
          <w:rFonts w:ascii="Sylfaen" w:hAnsi="Sylfaen" w:cs="Arial"/>
        </w:rPr>
        <w:t>Farrelly</w:t>
      </w:r>
      <w:proofErr w:type="spellEnd"/>
      <w:r w:rsidR="00285302">
        <w:rPr>
          <w:rFonts w:ascii="Sylfaen" w:hAnsi="Sylfaen" w:cs="Arial"/>
        </w:rPr>
        <w:t xml:space="preserve"> needed to deal with was what Dr Arnold’s specific conclusions, at paragraphs 51 – 65, had added to the evidence before Judge Fox. </w:t>
      </w:r>
      <w:r w:rsidR="00DA1902">
        <w:rPr>
          <w:rFonts w:ascii="Sylfaen" w:hAnsi="Sylfaen" w:cs="Arial"/>
        </w:rPr>
        <w:t>(</w:t>
      </w:r>
      <w:r w:rsidR="00DA1902" w:rsidRPr="00DA1902">
        <w:rPr>
          <w:rFonts w:ascii="Sylfaen" w:hAnsi="Sylfaen" w:cs="Arial"/>
        </w:rPr>
        <w:t>Dr Arnold</w:t>
      </w:r>
      <w:r w:rsidR="00DA1902">
        <w:rPr>
          <w:rFonts w:ascii="Sylfaen" w:hAnsi="Sylfaen" w:cs="Arial"/>
        </w:rPr>
        <w:t xml:space="preserve"> also refers to the results of a further examination of the </w:t>
      </w:r>
      <w:r w:rsidR="00623F1E">
        <w:rPr>
          <w:rFonts w:ascii="Sylfaen" w:hAnsi="Sylfaen" w:cs="Arial"/>
        </w:rPr>
        <w:t>appellant by</w:t>
      </w:r>
      <w:r w:rsidR="00DA1902">
        <w:rPr>
          <w:rFonts w:ascii="Sylfaen" w:hAnsi="Sylfaen" w:cs="Arial"/>
        </w:rPr>
        <w:t xml:space="preserve"> Dr </w:t>
      </w:r>
      <w:proofErr w:type="spellStart"/>
      <w:r w:rsidR="008561E7">
        <w:rPr>
          <w:rFonts w:ascii="Sylfaen" w:hAnsi="Sylfaen" w:cs="Arial"/>
        </w:rPr>
        <w:t>Droo</w:t>
      </w:r>
      <w:r w:rsidR="00DA1902">
        <w:rPr>
          <w:rFonts w:ascii="Sylfaen" w:hAnsi="Sylfaen" w:cs="Arial"/>
        </w:rPr>
        <w:t>gan</w:t>
      </w:r>
      <w:proofErr w:type="spellEnd"/>
      <w:r w:rsidR="00DA1902">
        <w:rPr>
          <w:rFonts w:ascii="Sylfaen" w:hAnsi="Sylfaen" w:cs="Arial"/>
        </w:rPr>
        <w:t>, a consultant neurologist).</w:t>
      </w:r>
    </w:p>
    <w:p w14:paraId="76D28C99" w14:textId="77777777" w:rsidR="00285302" w:rsidRDefault="00DA1902" w:rsidP="008B2BF0">
      <w:pPr>
        <w:numPr>
          <w:ilvl w:val="0"/>
          <w:numId w:val="1"/>
        </w:numPr>
        <w:tabs>
          <w:tab w:val="clear" w:pos="757"/>
        </w:tabs>
        <w:spacing w:before="240"/>
        <w:ind w:left="567" w:hanging="567"/>
        <w:jc w:val="both"/>
        <w:rPr>
          <w:rFonts w:ascii="Sylfaen" w:hAnsi="Sylfaen" w:cs="Arial"/>
        </w:rPr>
      </w:pPr>
      <w:r w:rsidRPr="00DA1902">
        <w:rPr>
          <w:rFonts w:ascii="Sylfaen" w:hAnsi="Sylfaen" w:cs="Arial"/>
        </w:rPr>
        <w:t>Dr Arnold</w:t>
      </w:r>
      <w:r>
        <w:rPr>
          <w:rFonts w:ascii="Sylfaen" w:hAnsi="Sylfaen" w:cs="Arial"/>
        </w:rPr>
        <w:t xml:space="preserve">’s own </w:t>
      </w:r>
      <w:r w:rsidR="00623F1E">
        <w:rPr>
          <w:rFonts w:ascii="Sylfaen" w:hAnsi="Sylfaen" w:cs="Arial"/>
        </w:rPr>
        <w:t>conclusions are</w:t>
      </w:r>
      <w:r w:rsidR="00285302">
        <w:rPr>
          <w:rFonts w:ascii="Sylfaen" w:hAnsi="Sylfaen" w:cs="Arial"/>
        </w:rPr>
        <w:t xml:space="preserve"> helpfully set out by reference </w:t>
      </w:r>
      <w:r>
        <w:rPr>
          <w:rFonts w:ascii="Sylfaen" w:hAnsi="Sylfaen" w:cs="Arial"/>
        </w:rPr>
        <w:t xml:space="preserve">to numbered findings on examination, set out at 30 – 44. I will confine myself for the moment to those he considered ‘typical’ of the injury related by the appellant, in terms of the Istanbul </w:t>
      </w:r>
      <w:proofErr w:type="spellStart"/>
      <w:r>
        <w:rPr>
          <w:rFonts w:ascii="Sylfaen" w:hAnsi="Sylfaen" w:cs="Arial"/>
        </w:rPr>
        <w:t>protocoal</w:t>
      </w:r>
      <w:proofErr w:type="spellEnd"/>
      <w:r>
        <w:rPr>
          <w:rFonts w:ascii="Sylfaen" w:hAnsi="Sylfaen" w:cs="Arial"/>
        </w:rPr>
        <w:t xml:space="preserve">. Others, including Dr </w:t>
      </w:r>
      <w:proofErr w:type="spellStart"/>
      <w:r w:rsidR="008561E7">
        <w:rPr>
          <w:rFonts w:ascii="Sylfaen" w:hAnsi="Sylfaen" w:cs="Arial"/>
        </w:rPr>
        <w:t>Droo</w:t>
      </w:r>
      <w:r>
        <w:rPr>
          <w:rFonts w:ascii="Sylfaen" w:hAnsi="Sylfaen" w:cs="Arial"/>
        </w:rPr>
        <w:t>gan’s</w:t>
      </w:r>
      <w:proofErr w:type="spellEnd"/>
      <w:r>
        <w:rPr>
          <w:rFonts w:ascii="Sylfaen" w:hAnsi="Sylfaen" w:cs="Arial"/>
        </w:rPr>
        <w:t xml:space="preserve"> findings, were ‘consistent’, including S1, a slightly irregular scar on the top of the appellant’s head: while </w:t>
      </w:r>
      <w:r w:rsidRPr="00DA1902">
        <w:rPr>
          <w:rFonts w:ascii="Sylfaen" w:hAnsi="Sylfaen" w:cs="Arial"/>
        </w:rPr>
        <w:t>Dr Arnold</w:t>
      </w:r>
      <w:r>
        <w:rPr>
          <w:rFonts w:ascii="Sylfaen" w:hAnsi="Sylfaen" w:cs="Arial"/>
        </w:rPr>
        <w:t xml:space="preserve"> rates that as ‘diagnostic’ of some blunt trauma, it is no more than consistent with the blow or blows described.</w:t>
      </w:r>
    </w:p>
    <w:p w14:paraId="0668B64F" w14:textId="77777777" w:rsidR="00DA1902" w:rsidRDefault="00DA1902" w:rsidP="008B2BF0">
      <w:pPr>
        <w:numPr>
          <w:ilvl w:val="0"/>
          <w:numId w:val="1"/>
        </w:numPr>
        <w:tabs>
          <w:tab w:val="clear" w:pos="757"/>
        </w:tabs>
        <w:spacing w:before="240"/>
        <w:ind w:left="567" w:hanging="567"/>
        <w:jc w:val="both"/>
        <w:rPr>
          <w:rFonts w:ascii="Sylfaen" w:hAnsi="Sylfaen" w:cs="Arial"/>
        </w:rPr>
      </w:pPr>
      <w:r>
        <w:rPr>
          <w:rFonts w:ascii="Sylfaen" w:hAnsi="Sylfaen" w:cs="Arial"/>
        </w:rPr>
        <w:t>The findings which were typical</w:t>
      </w:r>
      <w:r w:rsidRPr="00DA1902">
        <w:rPr>
          <w:rFonts w:ascii="Sylfaen" w:hAnsi="Sylfaen" w:cs="Arial"/>
        </w:rPr>
        <w:t xml:space="preserve"> </w:t>
      </w:r>
      <w:r>
        <w:rPr>
          <w:rFonts w:ascii="Sylfaen" w:hAnsi="Sylfaen" w:cs="Arial"/>
        </w:rPr>
        <w:t>of the injuries related by the appellant were as follows:</w:t>
      </w:r>
    </w:p>
    <w:p w14:paraId="7A269763" w14:textId="77777777" w:rsidR="00DA1902" w:rsidRDefault="008561E7" w:rsidP="008B2BF0">
      <w:pPr>
        <w:spacing w:before="120"/>
        <w:ind w:left="1559" w:hanging="992"/>
        <w:jc w:val="both"/>
        <w:rPr>
          <w:rFonts w:ascii="Sylfaen" w:hAnsi="Sylfaen" w:cs="Arial"/>
        </w:rPr>
      </w:pPr>
      <w:r>
        <w:rPr>
          <w:rFonts w:ascii="Sylfaen" w:hAnsi="Sylfaen" w:cs="Arial"/>
          <w:u w:val="single"/>
        </w:rPr>
        <w:t>S5 &amp; S9</w:t>
      </w:r>
      <w:r>
        <w:rPr>
          <w:rFonts w:ascii="Sylfaen" w:hAnsi="Sylfaen" w:cs="Arial"/>
        </w:rPr>
        <w:tab/>
        <w:t>small transverse scars on the front of the appellant’s right and left arms, below the elbow crease; the appellant had put these down to having had his arms restrained by wires tied round them</w:t>
      </w:r>
    </w:p>
    <w:p w14:paraId="358AB4FD" w14:textId="77777777" w:rsidR="008561E7" w:rsidRDefault="008561E7" w:rsidP="008B2BF0">
      <w:pPr>
        <w:spacing w:before="120"/>
        <w:ind w:left="1559" w:hanging="992"/>
        <w:jc w:val="both"/>
        <w:rPr>
          <w:rFonts w:ascii="Sylfaen" w:hAnsi="Sylfaen" w:cs="Arial"/>
        </w:rPr>
      </w:pPr>
      <w:r>
        <w:rPr>
          <w:rFonts w:ascii="Sylfaen" w:hAnsi="Sylfaen" w:cs="Arial"/>
          <w:u w:val="single"/>
        </w:rPr>
        <w:t>S6 &amp; S7</w:t>
      </w:r>
      <w:r>
        <w:rPr>
          <w:rFonts w:ascii="Sylfaen" w:hAnsi="Sylfaen" w:cs="Arial"/>
        </w:rPr>
        <w:tab/>
        <w:t xml:space="preserve">small linear scars close to the front of the appellant’s right wrist, which he put down to injuries caused by handcuffs. Taken together with the ‘shooting sensation’ produced by tapping (see 36), </w:t>
      </w:r>
      <w:r w:rsidRPr="008561E7">
        <w:rPr>
          <w:rFonts w:ascii="Sylfaen" w:hAnsi="Sylfaen" w:cs="Arial"/>
        </w:rPr>
        <w:t>Dr Arnold</w:t>
      </w:r>
      <w:r>
        <w:rPr>
          <w:rFonts w:ascii="Sylfaen" w:hAnsi="Sylfaen" w:cs="Arial"/>
        </w:rPr>
        <w:t xml:space="preserve"> regarded them as typical of such injuries.</w:t>
      </w:r>
    </w:p>
    <w:p w14:paraId="254E29D9" w14:textId="77777777" w:rsidR="008561E7" w:rsidRPr="004E6395" w:rsidRDefault="00623F1E" w:rsidP="008B2BF0">
      <w:pPr>
        <w:spacing w:before="240"/>
        <w:ind w:left="567"/>
        <w:jc w:val="both"/>
        <w:rPr>
          <w:rFonts w:ascii="Sylfaen" w:hAnsi="Sylfaen" w:cs="Arial"/>
        </w:rPr>
      </w:pPr>
      <w:r w:rsidRPr="008561E7">
        <w:rPr>
          <w:rFonts w:ascii="Sylfaen" w:hAnsi="Sylfaen" w:cs="Arial"/>
        </w:rPr>
        <w:lastRenderedPageBreak/>
        <w:t>Finally,</w:t>
      </w:r>
      <w:r w:rsidR="008561E7">
        <w:rPr>
          <w:rFonts w:ascii="Sylfaen" w:hAnsi="Sylfaen" w:cs="Arial"/>
        </w:rPr>
        <w:t xml:space="preserve"> there are </w:t>
      </w:r>
      <w:r w:rsidR="008561E7" w:rsidRPr="008561E7">
        <w:rPr>
          <w:rFonts w:ascii="Sylfaen" w:hAnsi="Sylfaen" w:cs="Arial"/>
        </w:rPr>
        <w:t>Dr Arnold</w:t>
      </w:r>
      <w:r w:rsidR="008561E7">
        <w:rPr>
          <w:rFonts w:ascii="Sylfaen" w:hAnsi="Sylfaen" w:cs="Arial"/>
        </w:rPr>
        <w:t xml:space="preserve">’s findings on examination of the appellant’s </w:t>
      </w:r>
      <w:r w:rsidR="004E6395">
        <w:rPr>
          <w:rFonts w:ascii="Sylfaen" w:hAnsi="Sylfaen" w:cs="Arial"/>
        </w:rPr>
        <w:t xml:space="preserve">feet: at 45 he says “There is marked tenderness over the whole of the soles of both feet, extending from heels to the balls of the feet. Dorsiflexion of the right great toes is abnormally painful”. </w:t>
      </w:r>
      <w:r w:rsidR="004E6395" w:rsidRPr="004E6395">
        <w:rPr>
          <w:rFonts w:ascii="Sylfaen" w:hAnsi="Sylfaen" w:cs="Arial"/>
        </w:rPr>
        <w:t>Dr Arnold</w:t>
      </w:r>
      <w:r w:rsidR="004E6395">
        <w:rPr>
          <w:rFonts w:ascii="Sylfaen" w:hAnsi="Sylfaen" w:cs="Arial"/>
        </w:rPr>
        <w:t xml:space="preserve"> concludes at 53 that these were typical of the recurrent blunt trauma to the soles, related by the appellant (the procedure known as </w:t>
      </w:r>
      <w:proofErr w:type="spellStart"/>
      <w:r w:rsidR="004E6395">
        <w:rPr>
          <w:rFonts w:ascii="Sylfaen" w:hAnsi="Sylfaen" w:cs="Arial"/>
          <w:i/>
        </w:rPr>
        <w:t>falaka</w:t>
      </w:r>
      <w:proofErr w:type="spellEnd"/>
      <w:r w:rsidR="004E6395">
        <w:rPr>
          <w:rFonts w:ascii="Sylfaen" w:hAnsi="Sylfaen" w:cs="Arial"/>
        </w:rPr>
        <w:t>), because (see 54) they got worse as the day went on, rather than being worst first thing in the morning, as could be expected of non-traumatic conditions otherwise producing the same effect.</w:t>
      </w:r>
    </w:p>
    <w:p w14:paraId="42A83ECD" w14:textId="77777777" w:rsidR="00DA1902" w:rsidRPr="004E6395" w:rsidRDefault="004E6395" w:rsidP="008B2BF0">
      <w:pPr>
        <w:numPr>
          <w:ilvl w:val="0"/>
          <w:numId w:val="1"/>
        </w:numPr>
        <w:tabs>
          <w:tab w:val="clear" w:pos="757"/>
        </w:tabs>
        <w:spacing w:before="240"/>
        <w:ind w:left="567" w:hanging="567"/>
        <w:jc w:val="both"/>
        <w:rPr>
          <w:rFonts w:ascii="Sylfaen" w:hAnsi="Sylfaen" w:cs="Arial"/>
        </w:rPr>
      </w:pPr>
      <w:r>
        <w:rPr>
          <w:rFonts w:ascii="Sylfaen" w:hAnsi="Sylfaen" w:cs="Arial"/>
        </w:rPr>
        <w:t xml:space="preserve">The judge relates </w:t>
      </w:r>
      <w:r w:rsidRPr="004E6395">
        <w:rPr>
          <w:rFonts w:ascii="Sylfaen" w:hAnsi="Sylfaen" w:cs="Arial"/>
        </w:rPr>
        <w:t>Dr Arnold</w:t>
      </w:r>
      <w:r>
        <w:rPr>
          <w:rFonts w:ascii="Sylfaen" w:hAnsi="Sylfaen" w:cs="Arial"/>
        </w:rPr>
        <w:t xml:space="preserve">’s conclusions at 29, and sets out the effect of </w:t>
      </w:r>
      <w:hyperlink r:id="rId9" w:history="1">
        <w:r w:rsidRPr="004E6395">
          <w:rPr>
            <w:rFonts w:ascii="Sylfaen" w:hAnsi="Sylfaen" w:cs="Arial"/>
            <w:i/>
            <w:color w:val="000000"/>
          </w:rPr>
          <w:t>KV (Sri Lanka)</w:t>
        </w:r>
        <w:r w:rsidRPr="004E6395">
          <w:rPr>
            <w:rFonts w:ascii="Sylfaen" w:hAnsi="Sylfaen" w:cs="Arial"/>
            <w:color w:val="000000"/>
          </w:rPr>
          <w:t xml:space="preserve"> [2017] EWCA </w:t>
        </w:r>
        <w:proofErr w:type="spellStart"/>
        <w:r w:rsidRPr="004E6395">
          <w:rPr>
            <w:rFonts w:ascii="Sylfaen" w:hAnsi="Sylfaen" w:cs="Arial"/>
            <w:color w:val="000000"/>
          </w:rPr>
          <w:t>Civ</w:t>
        </w:r>
        <w:proofErr w:type="spellEnd"/>
        <w:r w:rsidRPr="004E6395">
          <w:rPr>
            <w:rFonts w:ascii="Sylfaen" w:hAnsi="Sylfaen" w:cs="Arial"/>
            <w:color w:val="000000"/>
          </w:rPr>
          <w:t xml:space="preserve"> 119</w:t>
        </w:r>
      </w:hyperlink>
      <w:r>
        <w:rPr>
          <w:rFonts w:ascii="Sylfaen" w:hAnsi="Sylfaen" w:cs="Arial"/>
          <w:color w:val="000000"/>
        </w:rPr>
        <w:t xml:space="preserve"> at 32, including the definition of ‘typical’ as “… usually found with this type of trauma, but there are other possible causes”. However, the only one of the ‘typical’ or ‘conclusive’ conclusions he comments on is the scar on the appellant’s head. Here I have already accepted that the injury was no more than consistent with the particular history he had given.</w:t>
      </w:r>
    </w:p>
    <w:p w14:paraId="4B7E1790" w14:textId="77777777" w:rsidR="004E6395" w:rsidRPr="00E30380" w:rsidRDefault="00E30380" w:rsidP="008B2BF0">
      <w:pPr>
        <w:numPr>
          <w:ilvl w:val="0"/>
          <w:numId w:val="1"/>
        </w:numPr>
        <w:tabs>
          <w:tab w:val="clear" w:pos="757"/>
        </w:tabs>
        <w:spacing w:before="240"/>
        <w:ind w:left="567" w:hanging="567"/>
        <w:jc w:val="both"/>
        <w:rPr>
          <w:rFonts w:ascii="Sylfaen" w:hAnsi="Sylfaen" w:cs="Arial"/>
        </w:rPr>
      </w:pPr>
      <w:r>
        <w:rPr>
          <w:rFonts w:ascii="Sylfaen" w:hAnsi="Sylfaen" w:cs="Arial"/>
          <w:color w:val="000000"/>
        </w:rPr>
        <w:t xml:space="preserve">In </w:t>
      </w:r>
      <w:r w:rsidRPr="00E30380">
        <w:rPr>
          <w:rFonts w:ascii="Sylfaen" w:hAnsi="Sylfaen" w:cs="Arial"/>
          <w:color w:val="000000"/>
        </w:rPr>
        <w:t>Dr Arnold</w:t>
      </w:r>
      <w:r>
        <w:rPr>
          <w:rFonts w:ascii="Sylfaen" w:hAnsi="Sylfaen" w:cs="Arial"/>
          <w:color w:val="000000"/>
        </w:rPr>
        <w:t>’s addendum report he gives his opinion at 12 as to the possibility of the appellant’s scars being self-inflicted. This would have been physically possible, but “… medically implausible because the scars are so numerous and widely distributed”. He goes on to note from his experience that self-inflicted wounds are most commonly done with the dominant arm on the other one.</w:t>
      </w:r>
    </w:p>
    <w:p w14:paraId="3F5AC807" w14:textId="77777777" w:rsidR="00E30380" w:rsidRPr="00E30380" w:rsidRDefault="00E30380" w:rsidP="008B2BF0">
      <w:pPr>
        <w:numPr>
          <w:ilvl w:val="0"/>
          <w:numId w:val="1"/>
        </w:numPr>
        <w:tabs>
          <w:tab w:val="clear" w:pos="757"/>
        </w:tabs>
        <w:spacing w:before="240"/>
        <w:ind w:left="567" w:hanging="567"/>
        <w:jc w:val="both"/>
        <w:rPr>
          <w:rFonts w:ascii="Sylfaen" w:hAnsi="Sylfaen" w:cs="Arial"/>
        </w:rPr>
      </w:pPr>
      <w:r>
        <w:rPr>
          <w:rFonts w:ascii="Sylfaen" w:hAnsi="Sylfaen" w:cs="Arial"/>
          <w:color w:val="000000"/>
        </w:rPr>
        <w:t xml:space="preserve">The judge does set out this conclusion by </w:t>
      </w:r>
      <w:r w:rsidRPr="00E30380">
        <w:rPr>
          <w:rFonts w:ascii="Sylfaen" w:hAnsi="Sylfaen" w:cs="Arial"/>
          <w:color w:val="000000"/>
        </w:rPr>
        <w:t>Dr Arnold</w:t>
      </w:r>
      <w:r>
        <w:rPr>
          <w:rFonts w:ascii="Sylfaen" w:hAnsi="Sylfaen" w:cs="Arial"/>
          <w:color w:val="000000"/>
        </w:rPr>
        <w:t xml:space="preserve"> at 30, and accepted it at 36. </w:t>
      </w:r>
      <w:r w:rsidR="00623F1E">
        <w:rPr>
          <w:rFonts w:ascii="Sylfaen" w:hAnsi="Sylfaen" w:cs="Arial"/>
          <w:color w:val="000000"/>
        </w:rPr>
        <w:t>However,</w:t>
      </w:r>
      <w:r>
        <w:rPr>
          <w:rFonts w:ascii="Sylfaen" w:hAnsi="Sylfaen" w:cs="Arial"/>
          <w:color w:val="000000"/>
        </w:rPr>
        <w:t xml:space="preserve"> he goes on at 37:</w:t>
      </w:r>
    </w:p>
    <w:p w14:paraId="18B890C8" w14:textId="21939432" w:rsidR="00E30380" w:rsidRPr="00E30380" w:rsidRDefault="008B2BF0" w:rsidP="008B2BF0">
      <w:pPr>
        <w:spacing w:before="120"/>
        <w:ind w:left="1134" w:right="567"/>
        <w:jc w:val="both"/>
        <w:rPr>
          <w:rFonts w:ascii="Sylfaen" w:hAnsi="Sylfaen" w:cs="Arial"/>
          <w:sz w:val="22"/>
          <w:szCs w:val="22"/>
        </w:rPr>
      </w:pPr>
      <w:r>
        <w:rPr>
          <w:rFonts w:ascii="Sylfaen" w:hAnsi="Sylfaen" w:cs="Arial"/>
          <w:sz w:val="22"/>
          <w:szCs w:val="22"/>
        </w:rPr>
        <w:t>“</w:t>
      </w:r>
      <w:r w:rsidR="00E30380">
        <w:rPr>
          <w:rFonts w:ascii="Sylfaen" w:hAnsi="Sylfaen" w:cs="Arial"/>
          <w:sz w:val="22"/>
          <w:szCs w:val="22"/>
        </w:rPr>
        <w:t xml:space="preserve">The medical evidence is not determinative nor is the Istanbul protocol. Rather, all the evidence must be considered. The respondent did raise </w:t>
      </w:r>
      <w:r w:rsidR="00E30380" w:rsidRPr="00E30380">
        <w:rPr>
          <w:rFonts w:ascii="Sylfaen" w:hAnsi="Sylfaen" w:cs="Arial"/>
          <w:sz w:val="22"/>
        </w:rPr>
        <w:t>significant</w:t>
      </w:r>
      <w:r w:rsidR="00E30380">
        <w:rPr>
          <w:rFonts w:ascii="Sylfaen" w:hAnsi="Sylfaen" w:cs="Arial"/>
          <w:sz w:val="22"/>
        </w:rPr>
        <w:t xml:space="preserve"> credibility points which were maintained by Judge Fox. I find merit in these points. They are aspects which detract from the claim significantly.</w:t>
      </w:r>
      <w:r>
        <w:rPr>
          <w:rFonts w:ascii="Sylfaen" w:hAnsi="Sylfaen" w:cs="Arial"/>
          <w:sz w:val="22"/>
        </w:rPr>
        <w:t>”</w:t>
      </w:r>
    </w:p>
    <w:p w14:paraId="7B971322" w14:textId="77777777" w:rsidR="00E30380" w:rsidRDefault="005549D0" w:rsidP="008B2BF0">
      <w:pPr>
        <w:numPr>
          <w:ilvl w:val="0"/>
          <w:numId w:val="1"/>
        </w:numPr>
        <w:tabs>
          <w:tab w:val="clear" w:pos="757"/>
        </w:tabs>
        <w:spacing w:before="240"/>
        <w:ind w:left="567" w:hanging="567"/>
        <w:jc w:val="both"/>
        <w:rPr>
          <w:rFonts w:ascii="Sylfaen" w:hAnsi="Sylfaen" w:cs="Arial"/>
        </w:rPr>
      </w:pPr>
      <w:r>
        <w:rPr>
          <w:rFonts w:ascii="Sylfaen" w:hAnsi="Sylfaen" w:cs="Arial"/>
        </w:rPr>
        <w:t>The judge goes on to consider these points, and to reach what appear to be entirely tenable conclusions on them. In his conclusions at 39 he says this</w:t>
      </w:r>
    </w:p>
    <w:p w14:paraId="6DC5EE51" w14:textId="1BBB91EB" w:rsidR="005549D0" w:rsidRPr="005549D0" w:rsidRDefault="008B2BF0" w:rsidP="008B2BF0">
      <w:pPr>
        <w:spacing w:before="120"/>
        <w:ind w:left="1134" w:right="567"/>
        <w:jc w:val="both"/>
        <w:rPr>
          <w:rFonts w:ascii="Sylfaen" w:hAnsi="Sylfaen" w:cs="Arial"/>
          <w:sz w:val="22"/>
          <w:szCs w:val="22"/>
        </w:rPr>
      </w:pPr>
      <w:r>
        <w:rPr>
          <w:rFonts w:ascii="Sylfaen" w:hAnsi="Sylfaen" w:cs="Arial"/>
          <w:sz w:val="22"/>
          <w:szCs w:val="22"/>
        </w:rPr>
        <w:t>“</w:t>
      </w:r>
      <w:r w:rsidR="005549D0">
        <w:rPr>
          <w:rFonts w:ascii="Sylfaen" w:hAnsi="Sylfaen" w:cs="Arial"/>
          <w:sz w:val="22"/>
          <w:szCs w:val="22"/>
        </w:rPr>
        <w:t xml:space="preserve">When I consider all matters I am not satisfied as to the truth of [the appellant’s] account of past persecution. I find he has not demonstrated he is wanted by the authorities in his home country. I do not find the content of the medical evidence so strong that it can outbalance the very </w:t>
      </w:r>
      <w:r w:rsidR="005549D0" w:rsidRPr="005549D0">
        <w:rPr>
          <w:rFonts w:ascii="Sylfaen" w:hAnsi="Sylfaen" w:cs="Arial"/>
          <w:sz w:val="22"/>
        </w:rPr>
        <w:t>significant</w:t>
      </w:r>
      <w:r w:rsidR="005549D0">
        <w:rPr>
          <w:rFonts w:ascii="Sylfaen" w:hAnsi="Sylfaen" w:cs="Arial"/>
          <w:sz w:val="22"/>
        </w:rPr>
        <w:t xml:space="preserve"> credibility issues arising.</w:t>
      </w:r>
      <w:r>
        <w:rPr>
          <w:rFonts w:ascii="Sylfaen" w:hAnsi="Sylfaen" w:cs="Arial"/>
          <w:sz w:val="22"/>
        </w:rPr>
        <w:t>”</w:t>
      </w:r>
    </w:p>
    <w:p w14:paraId="5D549A14" w14:textId="77777777" w:rsidR="005549D0" w:rsidRDefault="005549D0" w:rsidP="008B2BF0">
      <w:pPr>
        <w:numPr>
          <w:ilvl w:val="0"/>
          <w:numId w:val="1"/>
        </w:numPr>
        <w:tabs>
          <w:tab w:val="clear" w:pos="757"/>
        </w:tabs>
        <w:spacing w:before="240"/>
        <w:ind w:left="567" w:hanging="567"/>
        <w:jc w:val="both"/>
        <w:rPr>
          <w:rFonts w:ascii="Sylfaen" w:hAnsi="Sylfaen" w:cs="Arial"/>
        </w:rPr>
      </w:pPr>
      <w:r>
        <w:rPr>
          <w:rFonts w:ascii="Sylfaen" w:hAnsi="Sylfaen" w:cs="Arial"/>
        </w:rPr>
        <w:t xml:space="preserve">While that might have been a conclusion open to the judge at the end of the day, it seemed to me that he could only properly reach it after specifically considering how the </w:t>
      </w:r>
      <w:proofErr w:type="spellStart"/>
      <w:r>
        <w:rPr>
          <w:rFonts w:ascii="Sylfaen" w:hAnsi="Sylfaen" w:cs="Arial"/>
        </w:rPr>
        <w:t>the</w:t>
      </w:r>
      <w:proofErr w:type="spellEnd"/>
      <w:r>
        <w:rPr>
          <w:rFonts w:ascii="Sylfaen" w:hAnsi="Sylfaen" w:cs="Arial"/>
        </w:rPr>
        <w:t xml:space="preserve"> ‘typical’ injuries to the appellant’s wrists and the soles of his feet could have been inflicted, if not as he said. I put this suggestion to Mr Govan, who conceded that to do so would have been helpful.</w:t>
      </w:r>
    </w:p>
    <w:p w14:paraId="11A7C676" w14:textId="77777777" w:rsidR="009F5220" w:rsidRPr="006C4065" w:rsidRDefault="005549D0" w:rsidP="008B2BF0">
      <w:pPr>
        <w:numPr>
          <w:ilvl w:val="0"/>
          <w:numId w:val="1"/>
        </w:numPr>
        <w:tabs>
          <w:tab w:val="clear" w:pos="757"/>
        </w:tabs>
        <w:spacing w:before="240"/>
        <w:ind w:left="567" w:hanging="567"/>
        <w:jc w:val="both"/>
        <w:rPr>
          <w:rFonts w:ascii="Sylfaen" w:hAnsi="Sylfaen" w:cs="Arial"/>
        </w:rPr>
      </w:pPr>
      <w:r w:rsidRPr="006C4065">
        <w:rPr>
          <w:rFonts w:ascii="Sylfaen" w:hAnsi="Sylfaen" w:cs="Arial"/>
        </w:rPr>
        <w:t xml:space="preserve">In my view, particularly given the judge’s acceptance of what Dr Arnold says in his </w:t>
      </w:r>
      <w:r w:rsidRPr="006C4065">
        <w:rPr>
          <w:rFonts w:ascii="Sylfaen" w:hAnsi="Sylfaen" w:cs="Arial"/>
          <w:color w:val="000000"/>
        </w:rPr>
        <w:t xml:space="preserve">addendum about the possibility of self-infliction, he did need to deal specifically with the injuries to the appellant’s wrists and soles. It follows that there will </w:t>
      </w:r>
      <w:r w:rsidR="006C4065" w:rsidRPr="006C4065">
        <w:rPr>
          <w:rFonts w:ascii="Sylfaen" w:hAnsi="Sylfaen" w:cs="Arial"/>
          <w:color w:val="000000"/>
        </w:rPr>
        <w:t>have to be a fresh hearing.</w:t>
      </w:r>
    </w:p>
    <w:p w14:paraId="6C75647F" w14:textId="77777777" w:rsidR="006C4065" w:rsidRDefault="008F23F4" w:rsidP="008B2BF0">
      <w:pPr>
        <w:spacing w:before="240"/>
        <w:ind w:left="540" w:hanging="540"/>
        <w:jc w:val="both"/>
        <w:rPr>
          <w:rFonts w:ascii="Sylfaen" w:hAnsi="Sylfaen" w:cs="Arial"/>
          <w:b/>
        </w:rPr>
      </w:pPr>
      <w:r>
        <w:rPr>
          <w:rFonts w:ascii="Sylfaen" w:hAnsi="Sylfaen" w:cs="Arial"/>
          <w:b/>
        </w:rPr>
        <w:lastRenderedPageBreak/>
        <w:t xml:space="preserve">Appeal </w:t>
      </w:r>
      <w:r w:rsidR="006C4065">
        <w:rPr>
          <w:rFonts w:ascii="Sylfaen" w:hAnsi="Sylfaen" w:cs="Arial"/>
          <w:b/>
        </w:rPr>
        <w:fldChar w:fldCharType="begin">
          <w:ffData>
            <w:name w:val="Dropdown3"/>
            <w:enabled/>
            <w:calcOnExit w:val="0"/>
            <w:ddList>
              <w:listEntry w:val="allowed"/>
              <w:listEntry w:val="dismissed"/>
            </w:ddList>
          </w:ffData>
        </w:fldChar>
      </w:r>
      <w:bookmarkStart w:id="5" w:name="Dropdown3"/>
      <w:r w:rsidR="006C4065">
        <w:rPr>
          <w:rFonts w:ascii="Sylfaen" w:hAnsi="Sylfaen" w:cs="Arial"/>
          <w:b/>
        </w:rPr>
        <w:instrText xml:space="preserve"> FORMDROPDOWN </w:instrText>
      </w:r>
      <w:r w:rsidR="00EA09D2">
        <w:rPr>
          <w:rFonts w:ascii="Sylfaen" w:hAnsi="Sylfaen" w:cs="Arial"/>
          <w:b/>
        </w:rPr>
      </w:r>
      <w:r w:rsidR="00EA09D2">
        <w:rPr>
          <w:rFonts w:ascii="Sylfaen" w:hAnsi="Sylfaen" w:cs="Arial"/>
          <w:b/>
        </w:rPr>
        <w:fldChar w:fldCharType="separate"/>
      </w:r>
      <w:r w:rsidR="006C4065">
        <w:rPr>
          <w:rFonts w:ascii="Sylfaen" w:hAnsi="Sylfaen" w:cs="Arial"/>
          <w:b/>
        </w:rPr>
        <w:fldChar w:fldCharType="end"/>
      </w:r>
      <w:bookmarkEnd w:id="5"/>
      <w:r w:rsidR="006C4065">
        <w:rPr>
          <w:rFonts w:ascii="Sylfaen" w:hAnsi="Sylfaen" w:cs="Arial"/>
          <w:b/>
        </w:rPr>
        <w:t xml:space="preserve">:: </w:t>
      </w:r>
      <w:r w:rsidR="006C4065" w:rsidRPr="006C4065">
        <w:rPr>
          <w:rFonts w:ascii="Sylfaen" w:hAnsi="Sylfaen" w:cs="Arial"/>
          <w:b/>
        </w:rPr>
        <w:t>: first-tier decision set aside</w:t>
      </w:r>
    </w:p>
    <w:p w14:paraId="6E9D4ED9" w14:textId="77777777" w:rsidR="009F5220" w:rsidRPr="008F23F4" w:rsidRDefault="006C4065" w:rsidP="008B2BF0">
      <w:pPr>
        <w:spacing w:before="240"/>
        <w:ind w:left="540" w:hanging="540"/>
        <w:jc w:val="both"/>
        <w:rPr>
          <w:rFonts w:ascii="Sylfaen" w:hAnsi="Sylfaen" w:cs="Arial"/>
          <w:b/>
        </w:rPr>
      </w:pPr>
      <w:r>
        <w:rPr>
          <w:rFonts w:ascii="Sylfaen" w:hAnsi="Sylfaen" w:cs="Arial"/>
          <w:b/>
        </w:rPr>
        <w:t xml:space="preserve">Fresh hearing in First-tier Tribunal at Belfast, not before </w:t>
      </w:r>
      <w:r w:rsidRPr="006C4065">
        <w:rPr>
          <w:rFonts w:ascii="Sylfaen" w:hAnsi="Sylfaen" w:cs="Arial"/>
          <w:b/>
        </w:rPr>
        <w:t xml:space="preserve">Judge </w:t>
      </w:r>
      <w:proofErr w:type="spellStart"/>
      <w:r w:rsidRPr="006C4065">
        <w:rPr>
          <w:rFonts w:ascii="Sylfaen" w:hAnsi="Sylfaen" w:cs="Arial"/>
          <w:b/>
        </w:rPr>
        <w:t>Farrelly</w:t>
      </w:r>
      <w:proofErr w:type="spellEnd"/>
    </w:p>
    <w:p w14:paraId="23E6DEA2" w14:textId="3D4E048C" w:rsidR="00B95326" w:rsidRPr="00A544A8" w:rsidRDefault="002A39B3" w:rsidP="00F07170">
      <w:pPr>
        <w:ind w:left="4508" w:hanging="539"/>
        <w:rPr>
          <w:rFonts w:ascii="Sylfaen" w:hAnsi="Sylfaen" w:cs="Arial"/>
          <w:color w:val="000000"/>
        </w:rPr>
      </w:pPr>
      <w:r w:rsidRPr="00A544A8">
        <w:rPr>
          <w:rFonts w:ascii="Sylfaen" w:hAnsi="Sylfaen" w:cs="Arial"/>
          <w:b/>
          <w:noProof/>
        </w:rPr>
        <w:drawing>
          <wp:inline distT="0" distB="0" distL="0" distR="0" wp14:anchorId="3BB9E690" wp14:editId="1DB4D4A2">
            <wp:extent cx="2143125" cy="103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038225"/>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of the Upper Tribunal)</w:t>
      </w:r>
    </w:p>
    <w:sectPr w:rsidR="00B95326" w:rsidRPr="00A544A8" w:rsidSect="008B2BF0">
      <w:headerReference w:type="default" r:id="rId11"/>
      <w:footerReference w:type="default" r:id="rId12"/>
      <w:footerReference w:type="first" r:id="rId13"/>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28283" w14:textId="77777777" w:rsidR="002D07CC" w:rsidRDefault="002D07CC">
      <w:r>
        <w:separator/>
      </w:r>
    </w:p>
  </w:endnote>
  <w:endnote w:type="continuationSeparator" w:id="0">
    <w:p w14:paraId="0514FD0C" w14:textId="77777777" w:rsidR="002D07CC" w:rsidRDefault="002D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1DF85" w14:textId="7966F4EC" w:rsidR="00374981" w:rsidRPr="006B058B" w:rsidRDefault="00374981" w:rsidP="00593795">
    <w:pPr>
      <w:pStyle w:val="Footer"/>
      <w:jc w:val="center"/>
      <w:rPr>
        <w:rFonts w:ascii="Sylfaen" w:hAnsi="Sylfaen" w:cs="Arial"/>
        <w:sz w:val="22"/>
        <w:szCs w:val="22"/>
      </w:rPr>
    </w:pPr>
    <w:r w:rsidRPr="006B058B">
      <w:rPr>
        <w:rStyle w:val="PageNumber"/>
        <w:rFonts w:ascii="Sylfaen" w:hAnsi="Sylfaen" w:cs="Arial"/>
        <w:sz w:val="22"/>
        <w:szCs w:val="22"/>
      </w:rPr>
      <w:fldChar w:fldCharType="begin"/>
    </w:r>
    <w:r w:rsidRPr="006B058B">
      <w:rPr>
        <w:rStyle w:val="PageNumber"/>
        <w:rFonts w:ascii="Sylfaen" w:hAnsi="Sylfaen" w:cs="Arial"/>
        <w:sz w:val="22"/>
        <w:szCs w:val="22"/>
      </w:rPr>
      <w:instrText xml:space="preserve"> PAGE </w:instrText>
    </w:r>
    <w:r w:rsidRPr="006B058B">
      <w:rPr>
        <w:rStyle w:val="PageNumber"/>
        <w:rFonts w:ascii="Sylfaen" w:hAnsi="Sylfaen" w:cs="Arial"/>
        <w:sz w:val="22"/>
        <w:szCs w:val="22"/>
      </w:rPr>
      <w:fldChar w:fldCharType="separate"/>
    </w:r>
    <w:r w:rsidR="00EA09D2">
      <w:rPr>
        <w:rStyle w:val="PageNumber"/>
        <w:rFonts w:ascii="Sylfaen" w:hAnsi="Sylfaen" w:cs="Arial"/>
        <w:noProof/>
        <w:sz w:val="22"/>
        <w:szCs w:val="22"/>
      </w:rPr>
      <w:t>4</w:t>
    </w:r>
    <w:r w:rsidRPr="006B058B">
      <w:rPr>
        <w:rStyle w:val="PageNumber"/>
        <w:rFonts w:ascii="Sylfaen" w:hAnsi="Sylfaen" w:cs="Arial"/>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564C9" w14:textId="77777777" w:rsidR="00C45496" w:rsidRPr="00686C0C" w:rsidRDefault="00C45496"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sidR="00D50A21">
      <w:rPr>
        <w:rFonts w:ascii="Sylfaen" w:hAnsi="Sylfaen" w:cs="Arial"/>
        <w:i/>
        <w:spacing w:val="-6"/>
        <w:sz w:val="22"/>
        <w:szCs w:val="22"/>
      </w:rPr>
      <w:tab/>
      <w:t>(1)</w:t>
    </w:r>
    <w:r w:rsidR="00D50A21">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sidR="007B67B0">
      <w:rPr>
        <w:rFonts w:ascii="Sylfaen" w:hAnsi="Sylfaen" w:cs="Arial"/>
        <w:i/>
        <w:spacing w:val="-6"/>
        <w:sz w:val="22"/>
        <w:szCs w:val="22"/>
      </w:rPr>
      <w:t xml:space="preserve">will continue, unless extended </w:t>
    </w:r>
    <w:r w:rsidR="00742454" w:rsidRPr="00686C0C">
      <w:rPr>
        <w:rFonts w:ascii="Sylfaen" w:hAnsi="Sylfaen" w:cs="Arial"/>
        <w:i/>
        <w:spacing w:val="-6"/>
        <w:sz w:val="22"/>
        <w:szCs w:val="22"/>
      </w:rPr>
      <w:t>by me</w:t>
    </w:r>
    <w:r w:rsidR="00FF5012" w:rsidRPr="00686C0C">
      <w:rPr>
        <w:rFonts w:ascii="Sylfaen" w:hAnsi="Sylfaen" w:cs="Arial"/>
        <w:i/>
        <w:spacing w:val="-6"/>
        <w:sz w:val="22"/>
        <w:szCs w:val="22"/>
      </w:rPr>
      <w:t>.</w:t>
    </w:r>
  </w:p>
  <w:p w14:paraId="2AF8436B" w14:textId="77777777" w:rsidR="00686C0C" w:rsidRPr="00686C0C" w:rsidRDefault="00D50A21"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14:paraId="5EF6B9C9" w14:textId="77777777" w:rsidR="008B2BF0" w:rsidRDefault="008B2BF0" w:rsidP="00090CF9">
    <w:pPr>
      <w:jc w:val="center"/>
      <w:rPr>
        <w:rFonts w:ascii="Sylfaen" w:hAnsi="Sylfaen" w:cs="Arial"/>
        <w:i/>
        <w:spacing w:val="-6"/>
        <w:sz w:val="22"/>
        <w:szCs w:val="22"/>
      </w:rPr>
    </w:pPr>
  </w:p>
  <w:p w14:paraId="113F35E4" w14:textId="589B757A" w:rsidR="00374981" w:rsidRPr="008B2BF0" w:rsidRDefault="00374981" w:rsidP="00090CF9">
    <w:pPr>
      <w:jc w:val="center"/>
      <w:rPr>
        <w:rFonts w:ascii="Sylfaen" w:hAnsi="Sylfaen" w:cs="Arial"/>
        <w:b/>
        <w:i/>
        <w:szCs w:val="22"/>
      </w:rPr>
    </w:pPr>
    <w:r w:rsidRPr="008B2BF0">
      <w:rPr>
        <w:rFonts w:ascii="Sylfaen" w:hAnsi="Sylfaen" w:cs="Arial"/>
        <w:b/>
        <w:i/>
        <w:spacing w:val="-6"/>
        <w:szCs w:val="22"/>
      </w:rPr>
      <w:t>©</w:t>
    </w:r>
    <w:r w:rsidRPr="008B2BF0">
      <w:rPr>
        <w:rFonts w:ascii="Sylfaen" w:hAnsi="Sylfaen" w:cs="Arial"/>
        <w:b/>
        <w:i/>
        <w:szCs w:val="22"/>
      </w:rPr>
      <w:t xml:space="preserve"> CROWN COPYRIGHT 201</w:t>
    </w:r>
    <w:r w:rsidR="00990B37" w:rsidRPr="008B2BF0">
      <w:rPr>
        <w:rFonts w:ascii="Sylfaen" w:hAnsi="Sylfaen" w:cs="Arial"/>
        <w:b/>
        <w:i/>
        <w:szCs w:val="22"/>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ECD8E" w14:textId="77777777" w:rsidR="002D07CC" w:rsidRDefault="002D07CC">
      <w:r>
        <w:separator/>
      </w:r>
    </w:p>
  </w:footnote>
  <w:footnote w:type="continuationSeparator" w:id="0">
    <w:p w14:paraId="2CEF9DFC" w14:textId="77777777" w:rsidR="002D07CC" w:rsidRDefault="002D0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21211" w14:textId="77777777" w:rsidR="00990B37" w:rsidRPr="008B2BF0" w:rsidRDefault="00623F1E" w:rsidP="00623F1E">
    <w:pPr>
      <w:pStyle w:val="Header"/>
      <w:jc w:val="right"/>
      <w:rPr>
        <w:sz w:val="20"/>
      </w:rPr>
    </w:pPr>
    <w:r w:rsidRPr="008B2BF0">
      <w:rPr>
        <w:rFonts w:ascii="Sylfaen" w:hAnsi="Sylfaen" w:cs="Arial"/>
        <w:color w:val="000000"/>
        <w:sz w:val="20"/>
      </w:rPr>
      <w:t>Appeal no: PA/02534/2017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C2D46"/>
    <w:multiLevelType w:val="hybridMultilevel"/>
    <w:tmpl w:val="8760021E"/>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D80"/>
    <w:rsid w:val="00000621"/>
    <w:rsid w:val="000036C2"/>
    <w:rsid w:val="00033D3D"/>
    <w:rsid w:val="00057601"/>
    <w:rsid w:val="00062F02"/>
    <w:rsid w:val="00071A7E"/>
    <w:rsid w:val="000746C0"/>
    <w:rsid w:val="00074D1D"/>
    <w:rsid w:val="000857AF"/>
    <w:rsid w:val="00090CF9"/>
    <w:rsid w:val="00092580"/>
    <w:rsid w:val="00093D4D"/>
    <w:rsid w:val="000A1210"/>
    <w:rsid w:val="000B2183"/>
    <w:rsid w:val="000D5D94"/>
    <w:rsid w:val="000F1A0E"/>
    <w:rsid w:val="00102EBC"/>
    <w:rsid w:val="001165A7"/>
    <w:rsid w:val="00117FD8"/>
    <w:rsid w:val="001435AF"/>
    <w:rsid w:val="00167D3A"/>
    <w:rsid w:val="00194E6E"/>
    <w:rsid w:val="001A3082"/>
    <w:rsid w:val="001A5D86"/>
    <w:rsid w:val="001B186A"/>
    <w:rsid w:val="001B2F75"/>
    <w:rsid w:val="001E6DE8"/>
    <w:rsid w:val="001F114E"/>
    <w:rsid w:val="001F2716"/>
    <w:rsid w:val="00206F6B"/>
    <w:rsid w:val="00207617"/>
    <w:rsid w:val="002220FA"/>
    <w:rsid w:val="0023134B"/>
    <w:rsid w:val="0026015E"/>
    <w:rsid w:val="002667BE"/>
    <w:rsid w:val="00270E13"/>
    <w:rsid w:val="00283659"/>
    <w:rsid w:val="00285302"/>
    <w:rsid w:val="002A39B3"/>
    <w:rsid w:val="002B5149"/>
    <w:rsid w:val="002C6BD4"/>
    <w:rsid w:val="002D07CC"/>
    <w:rsid w:val="002D68BF"/>
    <w:rsid w:val="002F6B98"/>
    <w:rsid w:val="00310B90"/>
    <w:rsid w:val="00336CBF"/>
    <w:rsid w:val="00343FE3"/>
    <w:rsid w:val="003546C8"/>
    <w:rsid w:val="00374981"/>
    <w:rsid w:val="003860CF"/>
    <w:rsid w:val="003A3DA7"/>
    <w:rsid w:val="003A7CF2"/>
    <w:rsid w:val="003C5CE5"/>
    <w:rsid w:val="003E267B"/>
    <w:rsid w:val="003E5773"/>
    <w:rsid w:val="003E7CD1"/>
    <w:rsid w:val="003F2E3F"/>
    <w:rsid w:val="00402B9E"/>
    <w:rsid w:val="00420643"/>
    <w:rsid w:val="004249CB"/>
    <w:rsid w:val="0044127D"/>
    <w:rsid w:val="004448DB"/>
    <w:rsid w:val="00446C9A"/>
    <w:rsid w:val="00452F2B"/>
    <w:rsid w:val="004617F0"/>
    <w:rsid w:val="00473EEA"/>
    <w:rsid w:val="00477193"/>
    <w:rsid w:val="00480D87"/>
    <w:rsid w:val="004A1848"/>
    <w:rsid w:val="004A6F4A"/>
    <w:rsid w:val="004C5C63"/>
    <w:rsid w:val="004E4717"/>
    <w:rsid w:val="004E6395"/>
    <w:rsid w:val="005035E7"/>
    <w:rsid w:val="00507FEC"/>
    <w:rsid w:val="00510F0E"/>
    <w:rsid w:val="00531929"/>
    <w:rsid w:val="005479E1"/>
    <w:rsid w:val="00553E0A"/>
    <w:rsid w:val="005549D0"/>
    <w:rsid w:val="005570FD"/>
    <w:rsid w:val="005575EA"/>
    <w:rsid w:val="00574E42"/>
    <w:rsid w:val="0057790C"/>
    <w:rsid w:val="005829AB"/>
    <w:rsid w:val="00593795"/>
    <w:rsid w:val="00593821"/>
    <w:rsid w:val="00597008"/>
    <w:rsid w:val="005A549B"/>
    <w:rsid w:val="005A75FF"/>
    <w:rsid w:val="005D10AB"/>
    <w:rsid w:val="005D721A"/>
    <w:rsid w:val="005F1F19"/>
    <w:rsid w:val="00601D8F"/>
    <w:rsid w:val="00611011"/>
    <w:rsid w:val="00623F1E"/>
    <w:rsid w:val="00653E97"/>
    <w:rsid w:val="00676204"/>
    <w:rsid w:val="00684A74"/>
    <w:rsid w:val="00686C0C"/>
    <w:rsid w:val="00690B8A"/>
    <w:rsid w:val="0069160E"/>
    <w:rsid w:val="00696018"/>
    <w:rsid w:val="00696D3B"/>
    <w:rsid w:val="006B058B"/>
    <w:rsid w:val="006C4065"/>
    <w:rsid w:val="006F2CF1"/>
    <w:rsid w:val="007038ED"/>
    <w:rsid w:val="00703BC3"/>
    <w:rsid w:val="00704B61"/>
    <w:rsid w:val="00731D80"/>
    <w:rsid w:val="007334B3"/>
    <w:rsid w:val="00741157"/>
    <w:rsid w:val="007420F1"/>
    <w:rsid w:val="00742454"/>
    <w:rsid w:val="00750745"/>
    <w:rsid w:val="007552A9"/>
    <w:rsid w:val="00761858"/>
    <w:rsid w:val="00767D59"/>
    <w:rsid w:val="00776E97"/>
    <w:rsid w:val="00780F86"/>
    <w:rsid w:val="007912AD"/>
    <w:rsid w:val="007A37E8"/>
    <w:rsid w:val="007A7CEE"/>
    <w:rsid w:val="007B0824"/>
    <w:rsid w:val="007B5D3C"/>
    <w:rsid w:val="007B67B0"/>
    <w:rsid w:val="00821B72"/>
    <w:rsid w:val="00823EF2"/>
    <w:rsid w:val="008303B8"/>
    <w:rsid w:val="00833DCE"/>
    <w:rsid w:val="008561E7"/>
    <w:rsid w:val="00871D34"/>
    <w:rsid w:val="008A414E"/>
    <w:rsid w:val="008B270C"/>
    <w:rsid w:val="008B2BF0"/>
    <w:rsid w:val="008B382D"/>
    <w:rsid w:val="008B5078"/>
    <w:rsid w:val="008C3D3D"/>
    <w:rsid w:val="008D4131"/>
    <w:rsid w:val="008F0697"/>
    <w:rsid w:val="008F1932"/>
    <w:rsid w:val="008F23F4"/>
    <w:rsid w:val="00921062"/>
    <w:rsid w:val="00923B15"/>
    <w:rsid w:val="00925AB2"/>
    <w:rsid w:val="009722BC"/>
    <w:rsid w:val="009727A3"/>
    <w:rsid w:val="00977EB3"/>
    <w:rsid w:val="00987774"/>
    <w:rsid w:val="00990B37"/>
    <w:rsid w:val="00996FBB"/>
    <w:rsid w:val="009A11E8"/>
    <w:rsid w:val="009C5F92"/>
    <w:rsid w:val="009E30EE"/>
    <w:rsid w:val="009F3381"/>
    <w:rsid w:val="009F5220"/>
    <w:rsid w:val="00A11F19"/>
    <w:rsid w:val="00A15234"/>
    <w:rsid w:val="00A201AB"/>
    <w:rsid w:val="00A240AA"/>
    <w:rsid w:val="00A253BF"/>
    <w:rsid w:val="00A31C8B"/>
    <w:rsid w:val="00A509FA"/>
    <w:rsid w:val="00A544A8"/>
    <w:rsid w:val="00A845DC"/>
    <w:rsid w:val="00A8721C"/>
    <w:rsid w:val="00AE226C"/>
    <w:rsid w:val="00B20636"/>
    <w:rsid w:val="00B26AA2"/>
    <w:rsid w:val="00B3524D"/>
    <w:rsid w:val="00B40F69"/>
    <w:rsid w:val="00B46616"/>
    <w:rsid w:val="00B7040A"/>
    <w:rsid w:val="00B83391"/>
    <w:rsid w:val="00B95326"/>
    <w:rsid w:val="00BA334F"/>
    <w:rsid w:val="00BB3FC4"/>
    <w:rsid w:val="00BB7997"/>
    <w:rsid w:val="00BC481C"/>
    <w:rsid w:val="00BC4DE5"/>
    <w:rsid w:val="00BD2083"/>
    <w:rsid w:val="00BD3A9C"/>
    <w:rsid w:val="00BD4196"/>
    <w:rsid w:val="00BF22CA"/>
    <w:rsid w:val="00BF23BB"/>
    <w:rsid w:val="00C12F97"/>
    <w:rsid w:val="00C217AF"/>
    <w:rsid w:val="00C26032"/>
    <w:rsid w:val="00C345E1"/>
    <w:rsid w:val="00C43BFD"/>
    <w:rsid w:val="00C45496"/>
    <w:rsid w:val="00CB6E35"/>
    <w:rsid w:val="00CC0CC9"/>
    <w:rsid w:val="00CE1A46"/>
    <w:rsid w:val="00D20757"/>
    <w:rsid w:val="00D22636"/>
    <w:rsid w:val="00D40FD9"/>
    <w:rsid w:val="00D50A21"/>
    <w:rsid w:val="00D53769"/>
    <w:rsid w:val="00D85C13"/>
    <w:rsid w:val="00D9111A"/>
    <w:rsid w:val="00D91BE3"/>
    <w:rsid w:val="00D94AFC"/>
    <w:rsid w:val="00DA1902"/>
    <w:rsid w:val="00DB1EA9"/>
    <w:rsid w:val="00DB70AE"/>
    <w:rsid w:val="00DD5071"/>
    <w:rsid w:val="00DD5C39"/>
    <w:rsid w:val="00DD6918"/>
    <w:rsid w:val="00DE20CE"/>
    <w:rsid w:val="00DE65C8"/>
    <w:rsid w:val="00DE7DB7"/>
    <w:rsid w:val="00DF2161"/>
    <w:rsid w:val="00DF392C"/>
    <w:rsid w:val="00E00A0A"/>
    <w:rsid w:val="00E066DE"/>
    <w:rsid w:val="00E07F57"/>
    <w:rsid w:val="00E30380"/>
    <w:rsid w:val="00E30683"/>
    <w:rsid w:val="00E453D8"/>
    <w:rsid w:val="00E50BCE"/>
    <w:rsid w:val="00E574BF"/>
    <w:rsid w:val="00E61292"/>
    <w:rsid w:val="00E74B5A"/>
    <w:rsid w:val="00E77C4D"/>
    <w:rsid w:val="00E80AD9"/>
    <w:rsid w:val="00E81D01"/>
    <w:rsid w:val="00E862ED"/>
    <w:rsid w:val="00EA09D2"/>
    <w:rsid w:val="00ED6AA3"/>
    <w:rsid w:val="00EE43F3"/>
    <w:rsid w:val="00EE45D8"/>
    <w:rsid w:val="00F07170"/>
    <w:rsid w:val="00F118C6"/>
    <w:rsid w:val="00F22EDA"/>
    <w:rsid w:val="00F556F2"/>
    <w:rsid w:val="00F97703"/>
    <w:rsid w:val="00FA48DC"/>
    <w:rsid w:val="00FC5AE2"/>
    <w:rsid w:val="00FD79ED"/>
    <w:rsid w:val="00FE4D99"/>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74DFBE7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it.gov.uk/Public/Upload/j1575/2002_ukiat_00702_devaseelan_srilanka_starred.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bailii.org/cgi-bin/format.cgi?doc=/ew/cases/EWCA/Civ/2017/119.html&amp;query=%28title:%28+kv+%29%2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1193</Words>
  <Characters>6123</Characters>
  <Application>Microsoft Office Word</Application>
  <DocSecurity>0</DocSecurity>
  <Lines>51</Lines>
  <Paragraphs>14</Paragraphs>
  <ScaleCrop>false</ScaleCrop>
  <Company/>
  <LinksUpToDate>false</LinksUpToDate>
  <CharactersWithSpaces>7302</CharactersWithSpaces>
  <SharedDoc>false</SharedDoc>
  <HLinks>
    <vt:vector size="12" baseType="variant">
      <vt:variant>
        <vt:i4>2818092</vt:i4>
      </vt:variant>
      <vt:variant>
        <vt:i4>15</vt:i4>
      </vt:variant>
      <vt:variant>
        <vt:i4>0</vt:i4>
      </vt:variant>
      <vt:variant>
        <vt:i4>5</vt:i4>
      </vt:variant>
      <vt:variant>
        <vt:lpwstr>http://www.bailii.org/cgi-bin/format.cgi?doc=/ew/cases/EWCA/Civ/2017/119.html&amp;query=%28title:%28+kv+%29%29</vt:lpwstr>
      </vt:variant>
      <vt:variant>
        <vt:lpwstr/>
      </vt:variant>
      <vt:variant>
        <vt:i4>393249</vt:i4>
      </vt:variant>
      <vt:variant>
        <vt:i4>12</vt:i4>
      </vt:variant>
      <vt:variant>
        <vt:i4>0</vt:i4>
      </vt:variant>
      <vt:variant>
        <vt:i4>5</vt:i4>
      </vt:variant>
      <vt:variant>
        <vt:lpwstr>http://www.ait.gov.uk/Public/Upload/j1575/2002_ukiat_00702_devaseelan_srilanka_starred.DOC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2018-08-21T11:06:00Z</dcterms:created>
  <dcterms:modified xsi:type="dcterms:W3CDTF">2018-08-21T11:06:00Z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