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F73E74" w:rsidRDefault="002A77DC" w:rsidP="00643BFC">
      <w:pPr>
        <w:jc w:val="center"/>
        <w:rPr>
          <w:rFonts w:ascii="Book Antiqua" w:hAnsi="Book Antiqua" w:cs="Arial"/>
          <w:caps/>
          <w:color w:val="000000"/>
          <w:sz w:val="16"/>
          <w:szCs w:val="16"/>
        </w:rPr>
      </w:pPr>
      <w:r w:rsidRPr="00F73E74">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F73E74"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8F6D98">
        <w:rPr>
          <w:rFonts w:ascii="Book Antiqua" w:hAnsi="Book Antiqua" w:cs="Arial"/>
          <w:color w:val="000000"/>
        </w:rPr>
        <w:t xml:space="preserve"> </w:t>
      </w:r>
      <w:bookmarkStart w:id="0" w:name="_GoBack"/>
      <w:r w:rsidR="002A77DC" w:rsidRPr="002A77DC">
        <w:rPr>
          <w:rFonts w:ascii="Book Antiqua" w:hAnsi="Book Antiqua" w:cs="Arial"/>
          <w:caps/>
          <w:color w:val="000000"/>
        </w:rPr>
        <w:t>PA/02560/2017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2A77DC">
              <w:rPr>
                <w:rFonts w:ascii="Book Antiqua" w:hAnsi="Book Antiqua" w:cs="Arial"/>
                <w:b/>
              </w:rPr>
              <w:t xml:space="preserve">Field House </w:t>
            </w:r>
          </w:p>
        </w:tc>
        <w:tc>
          <w:tcPr>
            <w:tcW w:w="3960"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2A77DC">
              <w:rPr>
                <w:rFonts w:ascii="Book Antiqua" w:hAnsi="Book Antiqua" w:cs="Arial"/>
                <w:b/>
              </w:rPr>
              <w:t>11 June 2018</w:t>
            </w:r>
          </w:p>
        </w:tc>
        <w:tc>
          <w:tcPr>
            <w:tcW w:w="3960" w:type="dxa"/>
          </w:tcPr>
          <w:p w:rsidR="00D22636" w:rsidRPr="000704BB" w:rsidRDefault="008F6D98" w:rsidP="004A1848">
            <w:pPr>
              <w:jc w:val="both"/>
              <w:rPr>
                <w:rFonts w:ascii="Book Antiqua" w:hAnsi="Book Antiqua" w:cs="Arial"/>
                <w:b/>
              </w:rPr>
            </w:pPr>
            <w:r>
              <w:rPr>
                <w:rFonts w:ascii="Book Antiqua" w:hAnsi="Book Antiqua" w:cs="Arial"/>
                <w:b/>
              </w:rPr>
              <w:t>On 10 August 2018</w:t>
            </w:r>
          </w:p>
        </w:tc>
      </w:tr>
      <w:tr w:rsidR="00D22636" w:rsidRPr="000704BB" w:rsidTr="00C7558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r w:rsidR="000B6967">
        <w:rPr>
          <w:rFonts w:ascii="Book Antiqua" w:hAnsi="Book Antiqua" w:cs="Arial"/>
          <w:b/>
          <w:color w:val="000000"/>
        </w:rPr>
        <w:t>Mc</w:t>
      </w:r>
      <w:r w:rsidR="008856CB">
        <w:rPr>
          <w:rFonts w:ascii="Book Antiqua" w:hAnsi="Book Antiqua" w:cs="Arial"/>
          <w:b/>
          <w:color w:val="000000"/>
        </w:rPr>
        <w:t>WILLIAM</w:t>
      </w:r>
    </w:p>
    <w:p w:rsidR="00D20757" w:rsidRPr="000704BB" w:rsidRDefault="00D20757" w:rsidP="00A15234">
      <w:pPr>
        <w:jc w:val="center"/>
        <w:rPr>
          <w:rFonts w:ascii="Book Antiqua" w:hAnsi="Book Antiqua" w:cs="Arial"/>
          <w:b/>
        </w:rPr>
      </w:pPr>
    </w:p>
    <w:p w:rsidR="00F73E74" w:rsidRDefault="00F73E74"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2A77DC" w:rsidP="00A15234">
      <w:pPr>
        <w:jc w:val="center"/>
        <w:rPr>
          <w:rFonts w:ascii="Book Antiqua" w:hAnsi="Book Antiqua" w:cs="Arial"/>
          <w:b/>
          <w:caps/>
        </w:rPr>
      </w:pPr>
      <w:r>
        <w:rPr>
          <w:rFonts w:ascii="Book Antiqua" w:hAnsi="Book Antiqua" w:cs="Arial"/>
          <w:b/>
          <w:caps/>
        </w:rPr>
        <w:t>AKA</w:t>
      </w:r>
    </w:p>
    <w:p w:rsidR="00C7558F" w:rsidRPr="00F73E74" w:rsidRDefault="00C7558F" w:rsidP="00C7558F">
      <w:pPr>
        <w:jc w:val="center"/>
        <w:rPr>
          <w:rFonts w:ascii="Book Antiqua" w:hAnsi="Book Antiqua" w:cs="Arial"/>
          <w:b/>
          <w:caps/>
          <w:sz w:val="22"/>
        </w:rPr>
      </w:pPr>
      <w:r w:rsidRPr="00F73E74">
        <w:rPr>
          <w:rFonts w:ascii="Book Antiqua" w:hAnsi="Book Antiqua" w:cs="Arial"/>
          <w:b/>
          <w:caps/>
          <w:sz w:val="22"/>
        </w:rPr>
        <w:t xml:space="preserve">(ANONYMITY DIRECTION </w:t>
      </w:r>
      <w:r w:rsidR="002A77DC" w:rsidRPr="00F73E74">
        <w:rPr>
          <w:rFonts w:ascii="Book Antiqua" w:hAnsi="Book Antiqua" w:cs="Arial"/>
          <w:b/>
          <w:caps/>
          <w:sz w:val="22"/>
        </w:rPr>
        <w:t>made</w:t>
      </w:r>
      <w:r w:rsidRPr="00F73E74">
        <w:rPr>
          <w:rFonts w:ascii="Book Antiqua" w:hAnsi="Book Antiqua" w:cs="Arial"/>
          <w:b/>
          <w:caps/>
          <w:sz w:val="22"/>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4A4839"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DD5071"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111C3A">
        <w:rPr>
          <w:rFonts w:ascii="Book Antiqua" w:hAnsi="Book Antiqua" w:cs="Arial"/>
        </w:rPr>
        <w:t>Mr B Bedford, Counsel instructed by Sultan Lloyd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111C3A">
        <w:rPr>
          <w:rFonts w:ascii="Book Antiqua" w:hAnsi="Book Antiqua" w:cs="Arial"/>
        </w:rPr>
        <w:t>Mr S Kotas, Home Office Presenting Officer</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Pr="000704BB" w:rsidRDefault="00C7558F" w:rsidP="00402B9E">
      <w:pPr>
        <w:tabs>
          <w:tab w:val="left" w:pos="2520"/>
        </w:tabs>
        <w:jc w:val="center"/>
        <w:rPr>
          <w:rFonts w:ascii="Book Antiqua" w:hAnsi="Book Antiqua" w:cs="Arial"/>
        </w:rPr>
      </w:pPr>
    </w:p>
    <w:p w:rsidR="00072485"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160CCF">
        <w:rPr>
          <w:rFonts w:ascii="Book Antiqua" w:hAnsi="Book Antiqua" w:cs="Arial"/>
        </w:rPr>
        <w:t xml:space="preserve">The Appellant is a citizen of Afghanistan.  His date of birth is 1 January 2000.  He came to the UK </w:t>
      </w:r>
      <w:r w:rsidR="00CA0034">
        <w:rPr>
          <w:rFonts w:ascii="Book Antiqua" w:hAnsi="Book Antiqua" w:cs="Arial"/>
        </w:rPr>
        <w:t>on 28August 2013 aged 13 years.  He made a claim on 11 September 2013 which was refused on 31 Ja</w:t>
      </w:r>
      <w:r w:rsidR="00072485">
        <w:rPr>
          <w:rFonts w:ascii="Book Antiqua" w:hAnsi="Book Antiqua" w:cs="Arial"/>
        </w:rPr>
        <w:t xml:space="preserve">nuary 2014.  </w:t>
      </w:r>
      <w:r w:rsidR="002C5FFA">
        <w:rPr>
          <w:rFonts w:ascii="Book Antiqua" w:hAnsi="Book Antiqua" w:cs="Arial"/>
        </w:rPr>
        <w:t xml:space="preserve"> T</w:t>
      </w:r>
      <w:r w:rsidR="00804C1E">
        <w:rPr>
          <w:rFonts w:ascii="Book Antiqua" w:hAnsi="Book Antiqua" w:cs="Arial"/>
        </w:rPr>
        <w:t>he Appellant was granted leave until 31 July 2016.</w:t>
      </w:r>
      <w:r w:rsidR="00160CCF">
        <w:rPr>
          <w:rFonts w:ascii="Book Antiqua" w:hAnsi="Book Antiqua" w:cs="Arial"/>
        </w:rPr>
        <w:t xml:space="preserve">  He appealed</w:t>
      </w:r>
      <w:r w:rsidR="00804C1E">
        <w:rPr>
          <w:rFonts w:ascii="Book Antiqua" w:hAnsi="Book Antiqua" w:cs="Arial"/>
        </w:rPr>
        <w:t xml:space="preserve"> the decision on asylum grounds.</w:t>
      </w:r>
      <w:r w:rsidR="00160CCF">
        <w:rPr>
          <w:rFonts w:ascii="Book Antiqua" w:hAnsi="Book Antiqua" w:cs="Arial"/>
        </w:rPr>
        <w:t xml:space="preserve">  His appeal was dismissed on 16 April 2014</w:t>
      </w:r>
      <w:r w:rsidR="00CA0034">
        <w:rPr>
          <w:rFonts w:ascii="Book Antiqua" w:hAnsi="Book Antiqua" w:cs="Arial"/>
        </w:rPr>
        <w:t xml:space="preserve"> by First-tier Tribunal Judge Ferguson (“the first judge”). </w:t>
      </w:r>
      <w:r w:rsidR="00160CCF">
        <w:rPr>
          <w:rFonts w:ascii="Book Antiqua" w:hAnsi="Book Antiqua" w:cs="Arial"/>
        </w:rPr>
        <w:t xml:space="preserve"> He applied for further leave to remain</w:t>
      </w:r>
      <w:r w:rsidR="00804C1E">
        <w:rPr>
          <w:rFonts w:ascii="Book Antiqua" w:hAnsi="Book Antiqua" w:cs="Arial"/>
        </w:rPr>
        <w:t xml:space="preserve">. The application was refused on asylum grounds on </w:t>
      </w:r>
      <w:r w:rsidR="00160CCF">
        <w:rPr>
          <w:rFonts w:ascii="Book Antiqua" w:hAnsi="Book Antiqua" w:cs="Arial"/>
        </w:rPr>
        <w:t>10 February 2017</w:t>
      </w:r>
      <w:r w:rsidR="00804C1E">
        <w:rPr>
          <w:rFonts w:ascii="Book Antiqua" w:hAnsi="Book Antiqua" w:cs="Arial"/>
        </w:rPr>
        <w:t xml:space="preserve">; however, he was granted leave until 10 July 2017. </w:t>
      </w:r>
      <w:r w:rsidR="00160CCF">
        <w:rPr>
          <w:rFonts w:ascii="Book Antiqua" w:hAnsi="Book Antiqua" w:cs="Arial"/>
        </w:rPr>
        <w:t xml:space="preserve"> He appealed against that decision</w:t>
      </w:r>
      <w:r w:rsidR="00FB3961">
        <w:rPr>
          <w:rFonts w:ascii="Book Antiqua" w:hAnsi="Book Antiqua" w:cs="Arial"/>
        </w:rPr>
        <w:t xml:space="preserve"> on</w:t>
      </w:r>
      <w:r w:rsidR="002731FF">
        <w:rPr>
          <w:rFonts w:ascii="Book Antiqua" w:hAnsi="Book Antiqua" w:cs="Arial"/>
        </w:rPr>
        <w:t xml:space="preserve"> </w:t>
      </w:r>
      <w:r w:rsidR="00804C1E">
        <w:rPr>
          <w:rFonts w:ascii="Book Antiqua" w:hAnsi="Book Antiqua" w:cs="Arial"/>
        </w:rPr>
        <w:t>asylum grounds. His</w:t>
      </w:r>
      <w:r w:rsidR="00160CCF">
        <w:rPr>
          <w:rFonts w:ascii="Book Antiqua" w:hAnsi="Book Antiqua" w:cs="Arial"/>
        </w:rPr>
        <w:t xml:space="preserve"> appeal was dismissed by First-tier Tribunal </w:t>
      </w:r>
      <w:r w:rsidR="00160CCF">
        <w:rPr>
          <w:rFonts w:ascii="Book Antiqua" w:hAnsi="Book Antiqua" w:cs="Arial"/>
        </w:rPr>
        <w:lastRenderedPageBreak/>
        <w:t>Judge Asjad</w:t>
      </w:r>
      <w:r w:rsidR="00CA0034">
        <w:rPr>
          <w:rFonts w:ascii="Book Antiqua" w:hAnsi="Book Antiqua" w:cs="Arial"/>
        </w:rPr>
        <w:t xml:space="preserve"> (“the second judge)” </w:t>
      </w:r>
      <w:r w:rsidR="00160CCF">
        <w:rPr>
          <w:rFonts w:ascii="Book Antiqua" w:hAnsi="Book Antiqua" w:cs="Arial"/>
        </w:rPr>
        <w:t>in a decision which was promulgated on 24 October 2017</w:t>
      </w:r>
      <w:r w:rsidR="00160CCF" w:rsidRPr="00ED175C">
        <w:rPr>
          <w:rFonts w:ascii="Book Antiqua" w:hAnsi="Book Antiqua" w:cs="Arial"/>
        </w:rPr>
        <w:t xml:space="preserve">. </w:t>
      </w:r>
      <w:r w:rsidR="00CA0034">
        <w:rPr>
          <w:rFonts w:ascii="Book Antiqua" w:hAnsi="Book Antiqua" w:cs="Arial"/>
        </w:rPr>
        <w:t xml:space="preserve"> The second judge </w:t>
      </w:r>
      <w:r w:rsidR="00CA0034" w:rsidRPr="00570A1D">
        <w:rPr>
          <w:rFonts w:ascii="Book Antiqua" w:hAnsi="Book Antiqua" w:cs="Arial"/>
        </w:rPr>
        <w:t>dismissed the Appellant’s appeal on asylum grounds</w:t>
      </w:r>
      <w:r w:rsidR="00FB3961">
        <w:rPr>
          <w:rFonts w:ascii="Book Antiqua" w:hAnsi="Book Antiqua" w:cs="Arial"/>
        </w:rPr>
        <w:t xml:space="preserve">, under </w:t>
      </w:r>
      <w:r w:rsidR="00CA0034" w:rsidRPr="00570A1D">
        <w:rPr>
          <w:rFonts w:ascii="Book Antiqua" w:hAnsi="Book Antiqua" w:cs="Arial"/>
        </w:rPr>
        <w:t>Article 3 and Article 15(c) of the Qualification Directive.</w:t>
      </w:r>
    </w:p>
    <w:p w:rsidR="00072485" w:rsidRDefault="00072485" w:rsidP="00BF23BB">
      <w:pPr>
        <w:tabs>
          <w:tab w:val="left" w:pos="567"/>
        </w:tabs>
        <w:ind w:left="567" w:hanging="567"/>
        <w:jc w:val="both"/>
        <w:rPr>
          <w:rFonts w:ascii="Book Antiqua" w:hAnsi="Book Antiqua" w:cs="Arial"/>
        </w:rPr>
      </w:pPr>
    </w:p>
    <w:p w:rsidR="00BF23BB" w:rsidRPr="00ED175C" w:rsidRDefault="00CA0034" w:rsidP="00BF23BB">
      <w:pPr>
        <w:tabs>
          <w:tab w:val="left" w:pos="567"/>
        </w:tabs>
        <w:ind w:left="567" w:hanging="567"/>
        <w:jc w:val="both"/>
        <w:rPr>
          <w:rFonts w:ascii="Book Antiqua" w:hAnsi="Book Antiqua" w:cs="Arial"/>
        </w:rPr>
      </w:pPr>
      <w:r>
        <w:rPr>
          <w:rFonts w:ascii="Book Antiqua" w:hAnsi="Book Antiqua" w:cs="Arial"/>
        </w:rPr>
        <w:t>2.</w:t>
      </w:r>
      <w:r w:rsidR="00072485">
        <w:rPr>
          <w:rFonts w:ascii="Book Antiqua" w:hAnsi="Book Antiqua" w:cs="Arial"/>
        </w:rPr>
        <w:tab/>
      </w:r>
      <w:r w:rsidR="00160CCF" w:rsidRPr="00ED175C">
        <w:rPr>
          <w:rFonts w:ascii="Book Antiqua" w:hAnsi="Book Antiqua" w:cs="Arial"/>
        </w:rPr>
        <w:t>I found that the</w:t>
      </w:r>
      <w:r>
        <w:rPr>
          <w:rFonts w:ascii="Book Antiqua" w:hAnsi="Book Antiqua" w:cs="Arial"/>
        </w:rPr>
        <w:t xml:space="preserve"> second judge did not materially err in respect of the Appellant’s appeal.  I found that she</w:t>
      </w:r>
      <w:r w:rsidR="00160CCF" w:rsidRPr="00ED175C">
        <w:rPr>
          <w:rFonts w:ascii="Book Antiqua" w:hAnsi="Book Antiqua" w:cs="Arial"/>
        </w:rPr>
        <w:t xml:space="preserve"> had materially erred in respect of the Appellant’s appeal under Article 3 and Article 15(c) for the following reasons:-</w:t>
      </w:r>
    </w:p>
    <w:p w:rsidR="00160CCF" w:rsidRDefault="00160CCF" w:rsidP="00BF23BB">
      <w:pPr>
        <w:tabs>
          <w:tab w:val="left" w:pos="567"/>
        </w:tabs>
        <w:ind w:left="567" w:hanging="567"/>
        <w:jc w:val="both"/>
        <w:rPr>
          <w:rFonts w:ascii="Book Antiqua" w:hAnsi="Book Antiqua" w:cs="Arial"/>
        </w:rPr>
      </w:pPr>
    </w:p>
    <w:p w:rsidR="00160CCF" w:rsidRDefault="00E511E7" w:rsidP="00E511E7">
      <w:pPr>
        <w:tabs>
          <w:tab w:val="left" w:pos="567"/>
        </w:tabs>
        <w:ind w:left="1701" w:hanging="567"/>
        <w:jc w:val="both"/>
        <w:rPr>
          <w:rFonts w:ascii="Book Antiqua" w:hAnsi="Book Antiqua" w:cs="Arial"/>
        </w:rPr>
      </w:pPr>
      <w:r>
        <w:rPr>
          <w:rFonts w:ascii="Book Antiqua" w:hAnsi="Book Antiqua" w:cs="Arial"/>
        </w:rPr>
        <w:t>“</w:t>
      </w:r>
      <w:r w:rsidR="00160CCF">
        <w:rPr>
          <w:rFonts w:ascii="Book Antiqua" w:hAnsi="Book Antiqua" w:cs="Arial"/>
        </w:rPr>
        <w:t>11.</w:t>
      </w:r>
      <w:r w:rsidR="00160CCF">
        <w:rPr>
          <w:rFonts w:ascii="Book Antiqua" w:hAnsi="Book Antiqua" w:cs="Arial"/>
        </w:rPr>
        <w:tab/>
        <w:t xml:space="preserve">Judge Asjad found that </w:t>
      </w:r>
      <w:r w:rsidR="00963D72">
        <w:rPr>
          <w:rFonts w:ascii="Book Antiqua" w:hAnsi="Book Antiqua" w:cs="Arial"/>
        </w:rPr>
        <w:t>‘</w:t>
      </w:r>
      <w:r w:rsidR="00160CCF">
        <w:rPr>
          <w:rFonts w:ascii="Book Antiqua" w:hAnsi="Book Antiqua" w:cs="Arial"/>
        </w:rPr>
        <w:t>it was not accepted that the Appellant had lost all contact with his family</w:t>
      </w:r>
      <w:r w:rsidR="00963D72">
        <w:rPr>
          <w:rFonts w:ascii="Book Antiqua" w:hAnsi="Book Antiqua" w:cs="Arial"/>
        </w:rPr>
        <w:t>’</w:t>
      </w:r>
      <w:r w:rsidR="00160CCF">
        <w:rPr>
          <w:rFonts w:ascii="Book Antiqua" w:hAnsi="Book Antiqua" w:cs="Arial"/>
        </w:rPr>
        <w:t xml:space="preserve"> and therefore he would not be returning to Afghanistan as an unaccompanied minor.  It is not entirely clear upon what evidence that finding </w:t>
      </w:r>
      <w:r w:rsidR="00963D72">
        <w:rPr>
          <w:rFonts w:ascii="Book Antiqua" w:hAnsi="Book Antiqua" w:cs="Arial"/>
        </w:rPr>
        <w:t>i</w:t>
      </w:r>
      <w:r w:rsidR="00160CCF">
        <w:rPr>
          <w:rFonts w:ascii="Book Antiqua" w:hAnsi="Book Antiqua" w:cs="Arial"/>
        </w:rPr>
        <w:t xml:space="preserve">s based.  The Appellant’s evidence in his witness statement of 6 April 2017 is that he has not had contact with anyone either directly or indirectly in Afghanistan (see [9] of his witness statement) and in respect of his cousin in the UK he last saw him three months ago.  Judge Ferguson in 2014 found that there must be </w:t>
      </w:r>
      <w:r w:rsidR="00963D72">
        <w:rPr>
          <w:rFonts w:ascii="Book Antiqua" w:hAnsi="Book Antiqua" w:cs="Arial"/>
        </w:rPr>
        <w:t>‘</w:t>
      </w:r>
      <w:r w:rsidR="00160CCF">
        <w:rPr>
          <w:rFonts w:ascii="Book Antiqua" w:hAnsi="Book Antiqua" w:cs="Arial"/>
        </w:rPr>
        <w:t>some hope that tracing can eventually take place back to the uncle through the cousin and with [the Appellant’s] continuing cooperation</w:t>
      </w:r>
      <w:r w:rsidR="00963D72">
        <w:rPr>
          <w:rFonts w:ascii="Book Antiqua" w:hAnsi="Book Antiqua" w:cs="Arial"/>
        </w:rPr>
        <w:t xml:space="preserve"> …’</w:t>
      </w:r>
      <w:r w:rsidR="00160CCF">
        <w:rPr>
          <w:rFonts w:ascii="Book Antiqua" w:hAnsi="Book Antiqua" w:cs="Arial"/>
        </w:rPr>
        <w:t xml:space="preserve"> (see [24]).  Whether the Appellant who was aged 17 and 9 months at the date of the hearing before Judge Asjad </w:t>
      </w:r>
      <w:r w:rsidR="00227ED7">
        <w:rPr>
          <w:rFonts w:ascii="Book Antiqua" w:hAnsi="Book Antiqua" w:cs="Arial"/>
        </w:rPr>
        <w:t>was in contact with his family i</w:t>
      </w:r>
      <w:r w:rsidR="00160CCF">
        <w:rPr>
          <w:rFonts w:ascii="Book Antiqua" w:hAnsi="Book Antiqua" w:cs="Arial"/>
        </w:rPr>
        <w:t>s a material consideration in respect of risk of return under Article 3 and 15(c) in respect of return to his home area and Kabul.  I conclude there is no adequately reasoned finding on the issue.  This amounts to a material error of law.”</w:t>
      </w:r>
    </w:p>
    <w:p w:rsidR="00072485" w:rsidRDefault="00FB3961" w:rsidP="002C5FFA">
      <w:pPr>
        <w:spacing w:before="100" w:beforeAutospacing="1" w:after="100" w:afterAutospacing="1"/>
        <w:ind w:left="567" w:hanging="567"/>
        <w:jc w:val="both"/>
        <w:rPr>
          <w:rFonts w:ascii="Book Antiqua" w:hAnsi="Book Antiqua"/>
        </w:rPr>
      </w:pPr>
      <w:r>
        <w:rPr>
          <w:rFonts w:ascii="Book Antiqua" w:hAnsi="Book Antiqua"/>
        </w:rPr>
        <w:t>3</w:t>
      </w:r>
      <w:r w:rsidR="00077433">
        <w:rPr>
          <w:rFonts w:ascii="Book Antiqua" w:hAnsi="Book Antiqua"/>
        </w:rPr>
        <w:t>.</w:t>
      </w:r>
      <w:r w:rsidR="00077433">
        <w:rPr>
          <w:rFonts w:ascii="Book Antiqua" w:hAnsi="Book Antiqua"/>
        </w:rPr>
        <w:tab/>
      </w:r>
      <w:r w:rsidR="002C5FFA">
        <w:rPr>
          <w:rFonts w:ascii="Book Antiqua" w:hAnsi="Book Antiqua"/>
        </w:rPr>
        <w:t>T</w:t>
      </w:r>
      <w:r w:rsidR="00CA0034">
        <w:rPr>
          <w:rFonts w:ascii="Book Antiqua" w:hAnsi="Book Antiqua"/>
        </w:rPr>
        <w:t xml:space="preserve">he Appellant was </w:t>
      </w:r>
      <w:r w:rsidR="00111C3A">
        <w:rPr>
          <w:rFonts w:ascii="Book Antiqua" w:hAnsi="Book Antiqua"/>
        </w:rPr>
        <w:t xml:space="preserve">a child at the hearing before </w:t>
      </w:r>
      <w:r w:rsidR="00CA0034">
        <w:rPr>
          <w:rFonts w:ascii="Book Antiqua" w:hAnsi="Book Antiqua"/>
        </w:rPr>
        <w:t xml:space="preserve">the second judge. </w:t>
      </w:r>
      <w:r w:rsidR="00111C3A">
        <w:rPr>
          <w:rFonts w:ascii="Book Antiqua" w:hAnsi="Book Antiqua"/>
        </w:rPr>
        <w:t xml:space="preserve">He is no longer a child. </w:t>
      </w:r>
      <w:r w:rsidR="00CA0034">
        <w:rPr>
          <w:rFonts w:ascii="Book Antiqua" w:hAnsi="Book Antiqua"/>
        </w:rPr>
        <w:t xml:space="preserve">At the resumed hearing </w:t>
      </w:r>
      <w:r w:rsidR="00111C3A">
        <w:rPr>
          <w:rFonts w:ascii="Book Antiqua" w:hAnsi="Book Antiqua"/>
        </w:rPr>
        <w:t>Mr Bedford submitted that the date of birth used by the Appellant was a rough estimate and therefore it cannot be confirmed that he is aged 18</w:t>
      </w:r>
      <w:r w:rsidR="0097716D">
        <w:rPr>
          <w:rFonts w:ascii="Book Antiqua" w:hAnsi="Book Antiqua"/>
        </w:rPr>
        <w:t>,</w:t>
      </w:r>
      <w:r w:rsidR="00111C3A">
        <w:rPr>
          <w:rFonts w:ascii="Book Antiqua" w:hAnsi="Book Antiqua"/>
        </w:rPr>
        <w:t xml:space="preserve"> although it is accepted that he is in his 18</w:t>
      </w:r>
      <w:r w:rsidR="00111C3A" w:rsidRPr="00111C3A">
        <w:rPr>
          <w:rFonts w:ascii="Book Antiqua" w:hAnsi="Book Antiqua"/>
          <w:vertAlign w:val="superscript"/>
        </w:rPr>
        <w:t>th</w:t>
      </w:r>
      <w:r w:rsidR="00111C3A">
        <w:rPr>
          <w:rFonts w:ascii="Book Antiqua" w:hAnsi="Book Antiqua"/>
        </w:rPr>
        <w:t xml:space="preserve"> year.</w:t>
      </w:r>
    </w:p>
    <w:p w:rsidR="00DB6426" w:rsidRDefault="00FB3961" w:rsidP="002C5FFA">
      <w:pPr>
        <w:spacing w:before="100" w:beforeAutospacing="1" w:after="100" w:afterAutospacing="1"/>
        <w:ind w:left="567" w:hanging="567"/>
        <w:jc w:val="both"/>
        <w:rPr>
          <w:rFonts w:ascii="Book Antiqua" w:hAnsi="Book Antiqua" w:cs="Arial"/>
        </w:rPr>
      </w:pPr>
      <w:r>
        <w:rPr>
          <w:rFonts w:ascii="Book Antiqua" w:hAnsi="Book Antiqua" w:cs="Arial"/>
        </w:rPr>
        <w:t>4</w:t>
      </w:r>
      <w:r w:rsidR="009A314B">
        <w:rPr>
          <w:rFonts w:ascii="Book Antiqua" w:hAnsi="Book Antiqua" w:cs="Arial"/>
        </w:rPr>
        <w:t>.</w:t>
      </w:r>
      <w:r w:rsidR="009A314B">
        <w:rPr>
          <w:rFonts w:ascii="Book Antiqua" w:hAnsi="Book Antiqua" w:cs="Arial"/>
        </w:rPr>
        <w:tab/>
      </w:r>
      <w:r w:rsidR="002C5FFA">
        <w:rPr>
          <w:rFonts w:ascii="Book Antiqua" w:hAnsi="Book Antiqua" w:cs="Arial"/>
        </w:rPr>
        <w:t xml:space="preserve">It is accepted that he is from Baghlan Province.  </w:t>
      </w:r>
      <w:r w:rsidR="00111C3A">
        <w:rPr>
          <w:rFonts w:ascii="Book Antiqua" w:hAnsi="Book Antiqua" w:cs="Arial"/>
        </w:rPr>
        <w:t xml:space="preserve">The Appellant’s asylum claim was dismissed by </w:t>
      </w:r>
      <w:r w:rsidR="002C5FFA">
        <w:rPr>
          <w:rFonts w:ascii="Book Antiqua" w:hAnsi="Book Antiqua" w:cs="Arial"/>
        </w:rPr>
        <w:t>the first judge and the second judge. It was not accept</w:t>
      </w:r>
      <w:r w:rsidR="00072485">
        <w:rPr>
          <w:rFonts w:ascii="Book Antiqua" w:hAnsi="Book Antiqua" w:cs="Arial"/>
        </w:rPr>
        <w:t>ed</w:t>
      </w:r>
      <w:r w:rsidR="002C5FFA">
        <w:rPr>
          <w:rFonts w:ascii="Book Antiqua" w:hAnsi="Book Antiqua" w:cs="Arial"/>
        </w:rPr>
        <w:t xml:space="preserve"> that his brothers and father were killed by the Taliban and that they worked for the government. </w:t>
      </w:r>
      <w:r w:rsidR="00CA0034">
        <w:rPr>
          <w:rFonts w:ascii="Book Antiqua" w:hAnsi="Book Antiqua" w:cs="Arial"/>
        </w:rPr>
        <w:t xml:space="preserve">The Respondent does not accept that the Appellant has not had contact with family in Afghanistan. </w:t>
      </w:r>
    </w:p>
    <w:p w:rsidR="002C5FFA" w:rsidRPr="002C5FFA" w:rsidRDefault="002C5FFA" w:rsidP="002C5FFA">
      <w:pPr>
        <w:spacing w:before="100" w:beforeAutospacing="1" w:after="100" w:afterAutospacing="1"/>
        <w:ind w:left="567" w:hanging="567"/>
        <w:jc w:val="both"/>
        <w:rPr>
          <w:rFonts w:ascii="Book Antiqua" w:hAnsi="Book Antiqua" w:cs="Arial"/>
          <w:i/>
        </w:rPr>
      </w:pPr>
      <w:r w:rsidRPr="002C5FFA">
        <w:rPr>
          <w:rFonts w:ascii="Book Antiqua" w:hAnsi="Book Antiqua" w:cs="Arial"/>
          <w:i/>
        </w:rPr>
        <w:t xml:space="preserve">The </w:t>
      </w:r>
      <w:r>
        <w:rPr>
          <w:rFonts w:ascii="Book Antiqua" w:hAnsi="Book Antiqua" w:cs="Arial"/>
          <w:i/>
        </w:rPr>
        <w:t>Issue</w:t>
      </w:r>
    </w:p>
    <w:p w:rsidR="002C5FFA" w:rsidRDefault="00FB3961" w:rsidP="00317C24">
      <w:pPr>
        <w:spacing w:before="100" w:beforeAutospacing="1" w:after="100" w:afterAutospacing="1"/>
        <w:ind w:left="567" w:hanging="567"/>
        <w:jc w:val="both"/>
        <w:rPr>
          <w:rFonts w:ascii="Book Antiqua" w:hAnsi="Book Antiqua" w:cs="Arial"/>
        </w:rPr>
      </w:pPr>
      <w:r>
        <w:rPr>
          <w:rFonts w:ascii="Book Antiqua" w:hAnsi="Book Antiqua" w:cs="Arial"/>
        </w:rPr>
        <w:t>5</w:t>
      </w:r>
      <w:r w:rsidR="0097716D">
        <w:rPr>
          <w:rFonts w:ascii="Book Antiqua" w:hAnsi="Book Antiqua" w:cs="Arial"/>
        </w:rPr>
        <w:t>.</w:t>
      </w:r>
      <w:r w:rsidR="0097716D">
        <w:rPr>
          <w:rFonts w:ascii="Book Antiqua" w:hAnsi="Book Antiqua" w:cs="Arial"/>
        </w:rPr>
        <w:tab/>
      </w:r>
      <w:r w:rsidR="002C5FFA">
        <w:rPr>
          <w:rFonts w:ascii="Book Antiqua" w:hAnsi="Book Antiqua" w:cs="Arial"/>
        </w:rPr>
        <w:t xml:space="preserve">Mr Bedford confirmed that the Appellant was not pursuing an appeal under Article 15(c) on the basis that he would be at risk on return to Afghanistan of indiscriminate violence. It was accepted that he could not succeed on this basis. The sole issue was therefore whether the decision of to remove the Appellant breaches the UK’s obligations under Article 3. </w:t>
      </w:r>
      <w:r>
        <w:rPr>
          <w:rFonts w:ascii="Book Antiqua" w:hAnsi="Book Antiqua" w:cs="Arial"/>
        </w:rPr>
        <w:t xml:space="preserve">Mr Bedford confirmed at the hearing that there was no appeal under Article 8. </w:t>
      </w:r>
    </w:p>
    <w:p w:rsidR="002731FF" w:rsidRDefault="002731FF" w:rsidP="00317C24">
      <w:pPr>
        <w:spacing w:before="100" w:beforeAutospacing="1" w:after="100" w:afterAutospacing="1"/>
        <w:ind w:left="567" w:hanging="567"/>
        <w:jc w:val="both"/>
        <w:rPr>
          <w:rFonts w:ascii="Book Antiqua" w:hAnsi="Book Antiqua" w:cs="Arial"/>
          <w:i/>
        </w:rPr>
      </w:pPr>
    </w:p>
    <w:p w:rsidR="002731FF" w:rsidRDefault="002731FF" w:rsidP="00317C24">
      <w:pPr>
        <w:spacing w:before="100" w:beforeAutospacing="1" w:after="100" w:afterAutospacing="1"/>
        <w:ind w:left="567" w:hanging="567"/>
        <w:jc w:val="both"/>
        <w:rPr>
          <w:rFonts w:ascii="Book Antiqua" w:hAnsi="Book Antiqua" w:cs="Arial"/>
          <w:i/>
        </w:rPr>
      </w:pPr>
    </w:p>
    <w:p w:rsidR="002C5FFA" w:rsidRPr="002C5FFA" w:rsidRDefault="002C5FFA" w:rsidP="00317C24">
      <w:pPr>
        <w:spacing w:before="100" w:beforeAutospacing="1" w:after="100" w:afterAutospacing="1"/>
        <w:ind w:left="567" w:hanging="567"/>
        <w:jc w:val="both"/>
        <w:rPr>
          <w:rFonts w:ascii="Book Antiqua" w:hAnsi="Book Antiqua" w:cs="Arial"/>
          <w:i/>
        </w:rPr>
      </w:pPr>
      <w:r w:rsidRPr="002C5FFA">
        <w:rPr>
          <w:rFonts w:ascii="Book Antiqua" w:hAnsi="Book Antiqua" w:cs="Arial"/>
          <w:i/>
        </w:rPr>
        <w:lastRenderedPageBreak/>
        <w:t xml:space="preserve">The Evidence </w:t>
      </w:r>
    </w:p>
    <w:p w:rsidR="00DB6426" w:rsidRDefault="00FB3961" w:rsidP="00317C24">
      <w:pPr>
        <w:spacing w:before="100" w:beforeAutospacing="1" w:after="100" w:afterAutospacing="1"/>
        <w:ind w:left="567" w:hanging="567"/>
        <w:jc w:val="both"/>
        <w:rPr>
          <w:rFonts w:ascii="Book Antiqua" w:hAnsi="Book Antiqua" w:cs="Arial"/>
        </w:rPr>
      </w:pPr>
      <w:r>
        <w:rPr>
          <w:rFonts w:ascii="Book Antiqua" w:hAnsi="Book Antiqua" w:cs="Arial"/>
        </w:rPr>
        <w:t>6</w:t>
      </w:r>
      <w:r w:rsidR="002C5FFA">
        <w:rPr>
          <w:rFonts w:ascii="Book Antiqua" w:hAnsi="Book Antiqua" w:cs="Arial"/>
        </w:rPr>
        <w:t xml:space="preserve">.     </w:t>
      </w:r>
      <w:r w:rsidR="002C5FFA">
        <w:rPr>
          <w:rFonts w:ascii="Book Antiqua" w:hAnsi="Book Antiqua" w:cs="Arial"/>
        </w:rPr>
        <w:tab/>
      </w:r>
      <w:r w:rsidR="0097716D">
        <w:rPr>
          <w:rFonts w:ascii="Book Antiqua" w:hAnsi="Book Antiqua" w:cs="Arial"/>
        </w:rPr>
        <w:t>Before me there was</w:t>
      </w:r>
      <w:r w:rsidR="00CA0034">
        <w:rPr>
          <w:rFonts w:ascii="Book Antiqua" w:hAnsi="Book Antiqua" w:cs="Arial"/>
        </w:rPr>
        <w:t xml:space="preserve"> an </w:t>
      </w:r>
      <w:r w:rsidR="00317C24">
        <w:rPr>
          <w:rFonts w:ascii="Book Antiqua" w:hAnsi="Book Antiqua" w:cs="Arial"/>
        </w:rPr>
        <w:t>Appellant</w:t>
      </w:r>
      <w:r w:rsidR="00DB6426">
        <w:rPr>
          <w:rFonts w:ascii="Book Antiqua" w:hAnsi="Book Antiqua" w:cs="Arial"/>
        </w:rPr>
        <w:t>’s bundle of 5 June 2018</w:t>
      </w:r>
      <w:r w:rsidR="00CA0034">
        <w:rPr>
          <w:rFonts w:ascii="Book Antiqua" w:hAnsi="Book Antiqua" w:cs="Arial"/>
        </w:rPr>
        <w:t xml:space="preserve"> (AB1) comprising 353 pages</w:t>
      </w:r>
      <w:r w:rsidR="00804C1E">
        <w:rPr>
          <w:rFonts w:ascii="Book Antiqua" w:hAnsi="Book Antiqua" w:cs="Arial"/>
        </w:rPr>
        <w:t xml:space="preserve"> and </w:t>
      </w:r>
      <w:r w:rsidR="00CA0034">
        <w:rPr>
          <w:rFonts w:ascii="Book Antiqua" w:hAnsi="Book Antiqua" w:cs="Arial"/>
        </w:rPr>
        <w:t xml:space="preserve">the Respondent’s </w:t>
      </w:r>
      <w:r w:rsidR="00DB6426">
        <w:rPr>
          <w:rFonts w:ascii="Book Antiqua" w:hAnsi="Book Antiqua" w:cs="Arial"/>
        </w:rPr>
        <w:t xml:space="preserve">bundle </w:t>
      </w:r>
      <w:r w:rsidR="00CA0034">
        <w:rPr>
          <w:rFonts w:ascii="Book Antiqua" w:hAnsi="Book Antiqua" w:cs="Arial"/>
        </w:rPr>
        <w:t>(RB)</w:t>
      </w:r>
      <w:r w:rsidR="00DB6426">
        <w:rPr>
          <w:rFonts w:ascii="Book Antiqua" w:hAnsi="Book Antiqua" w:cs="Arial"/>
        </w:rPr>
        <w:t xml:space="preserve">.  At the start of the </w:t>
      </w:r>
      <w:r w:rsidR="00804C1E">
        <w:rPr>
          <w:rFonts w:ascii="Book Antiqua" w:hAnsi="Book Antiqua" w:cs="Arial"/>
        </w:rPr>
        <w:t xml:space="preserve">resumed </w:t>
      </w:r>
      <w:r w:rsidR="00DB6426">
        <w:rPr>
          <w:rFonts w:ascii="Book Antiqua" w:hAnsi="Book Antiqua" w:cs="Arial"/>
        </w:rPr>
        <w:t>hearing Mr Bedford submitted a bundle containing a number of cases on which he reli</w:t>
      </w:r>
      <w:r w:rsidR="0097716D">
        <w:rPr>
          <w:rFonts w:ascii="Book Antiqua" w:hAnsi="Book Antiqua" w:cs="Arial"/>
        </w:rPr>
        <w:t>ed</w:t>
      </w:r>
      <w:r w:rsidR="00804C1E">
        <w:rPr>
          <w:rFonts w:ascii="Book Antiqua" w:hAnsi="Book Antiqua" w:cs="Arial"/>
        </w:rPr>
        <w:t xml:space="preserve"> (AB2)</w:t>
      </w:r>
      <w:r w:rsidR="0097716D">
        <w:rPr>
          <w:rFonts w:ascii="Book Antiqua" w:hAnsi="Book Antiqua" w:cs="Arial"/>
        </w:rPr>
        <w:t xml:space="preserve">.  Both parties submitted </w:t>
      </w:r>
      <w:r w:rsidR="00DB6426">
        <w:rPr>
          <w:rFonts w:ascii="Book Antiqua" w:hAnsi="Book Antiqua" w:cs="Arial"/>
        </w:rPr>
        <w:t xml:space="preserve">skeleton arguments.  </w:t>
      </w:r>
    </w:p>
    <w:p w:rsidR="00FA6FE5" w:rsidRPr="00FA6FE5" w:rsidRDefault="00FA6FE5" w:rsidP="00FA6FE5">
      <w:pPr>
        <w:spacing w:before="100" w:beforeAutospacing="1" w:after="100" w:afterAutospacing="1"/>
        <w:ind w:left="567" w:hanging="567"/>
        <w:jc w:val="both"/>
        <w:rPr>
          <w:rFonts w:ascii="Book Antiqua" w:hAnsi="Book Antiqua" w:cs="Arial"/>
          <w:i/>
        </w:rPr>
      </w:pPr>
      <w:r w:rsidRPr="00FA6FE5">
        <w:rPr>
          <w:rFonts w:ascii="Book Antiqua" w:hAnsi="Book Antiqua" w:cs="Arial"/>
          <w:i/>
        </w:rPr>
        <w:t>The Letters from the Red Cross</w:t>
      </w:r>
    </w:p>
    <w:p w:rsidR="00FA6FE5" w:rsidRDefault="00FB3961" w:rsidP="00FA6FE5">
      <w:pPr>
        <w:spacing w:before="100" w:beforeAutospacing="1" w:after="100" w:afterAutospacing="1"/>
        <w:ind w:left="567" w:hanging="567"/>
        <w:jc w:val="both"/>
        <w:rPr>
          <w:rFonts w:ascii="Book Antiqua" w:hAnsi="Book Antiqua" w:cs="Arial"/>
        </w:rPr>
      </w:pPr>
      <w:r>
        <w:rPr>
          <w:rFonts w:ascii="Book Antiqua" w:hAnsi="Book Antiqua" w:cs="Arial"/>
        </w:rPr>
        <w:t>7</w:t>
      </w:r>
      <w:r w:rsidR="00FA6FE5">
        <w:rPr>
          <w:rFonts w:ascii="Book Antiqua" w:hAnsi="Book Antiqua" w:cs="Arial"/>
        </w:rPr>
        <w:t>.</w:t>
      </w:r>
      <w:r w:rsidR="00FA6FE5">
        <w:rPr>
          <w:rFonts w:ascii="Book Antiqua" w:hAnsi="Book Antiqua" w:cs="Arial"/>
        </w:rPr>
        <w:tab/>
      </w:r>
      <w:r>
        <w:rPr>
          <w:rFonts w:ascii="Book Antiqua" w:hAnsi="Book Antiqua" w:cs="Arial"/>
        </w:rPr>
        <w:t xml:space="preserve">At the hearing before me on 11 June 2018 the </w:t>
      </w:r>
      <w:r w:rsidR="00FA6FE5">
        <w:rPr>
          <w:rFonts w:ascii="Book Antiqua" w:hAnsi="Book Antiqua" w:cs="Arial"/>
        </w:rPr>
        <w:t>Appellant adduced for the first time three letters from the British Red Cross address</w:t>
      </w:r>
      <w:r w:rsidR="002C5FFA">
        <w:rPr>
          <w:rFonts w:ascii="Book Antiqua" w:hAnsi="Book Antiqua" w:cs="Arial"/>
        </w:rPr>
        <w:t>ed</w:t>
      </w:r>
      <w:r w:rsidR="00FA6FE5">
        <w:rPr>
          <w:rFonts w:ascii="Book Antiqua" w:hAnsi="Book Antiqua" w:cs="Arial"/>
        </w:rPr>
        <w:t xml:space="preserve"> to him. The first letter </w:t>
      </w:r>
      <w:r>
        <w:rPr>
          <w:rFonts w:ascii="Book Antiqua" w:hAnsi="Book Antiqua" w:cs="Arial"/>
        </w:rPr>
        <w:t>was</w:t>
      </w:r>
      <w:r w:rsidR="00FA6FE5">
        <w:rPr>
          <w:rFonts w:ascii="Book Antiqua" w:hAnsi="Book Antiqua" w:cs="Arial"/>
        </w:rPr>
        <w:t xml:space="preserve"> dated 31 December 2015. It </w:t>
      </w:r>
      <w:r>
        <w:rPr>
          <w:rFonts w:ascii="Book Antiqua" w:hAnsi="Book Antiqua" w:cs="Arial"/>
        </w:rPr>
        <w:t xml:space="preserve">indicated </w:t>
      </w:r>
      <w:r w:rsidR="00FA6FE5">
        <w:rPr>
          <w:rFonts w:ascii="Book Antiqua" w:hAnsi="Book Antiqua" w:cs="Arial"/>
        </w:rPr>
        <w:t>that enquiries started regarding the tracing that the Appellant instigated on 19 October 2015. The second letter</w:t>
      </w:r>
      <w:r>
        <w:rPr>
          <w:rFonts w:ascii="Book Antiqua" w:hAnsi="Book Antiqua" w:cs="Arial"/>
        </w:rPr>
        <w:t xml:space="preserve"> was</w:t>
      </w:r>
      <w:r w:rsidR="00FA6FE5">
        <w:rPr>
          <w:rFonts w:ascii="Book Antiqua" w:hAnsi="Book Antiqua" w:cs="Arial"/>
        </w:rPr>
        <w:t xml:space="preserve"> dated 15 June 2016 and state</w:t>
      </w:r>
      <w:r>
        <w:rPr>
          <w:rFonts w:ascii="Book Antiqua" w:hAnsi="Book Antiqua" w:cs="Arial"/>
        </w:rPr>
        <w:t>d</w:t>
      </w:r>
      <w:r w:rsidR="00FA6FE5">
        <w:rPr>
          <w:rFonts w:ascii="Book Antiqua" w:hAnsi="Book Antiqua" w:cs="Arial"/>
        </w:rPr>
        <w:t xml:space="preserve"> that the Appellant </w:t>
      </w:r>
      <w:r>
        <w:rPr>
          <w:rFonts w:ascii="Book Antiqua" w:hAnsi="Book Antiqua" w:cs="Arial"/>
        </w:rPr>
        <w:t>was</w:t>
      </w:r>
      <w:r w:rsidR="00FA6FE5">
        <w:rPr>
          <w:rFonts w:ascii="Book Antiqua" w:hAnsi="Book Antiqua" w:cs="Arial"/>
        </w:rPr>
        <w:t xml:space="preserve"> being written to regarding the tracing of his uncle (named in the letter) which the Appellant instigated on 15 October 2015. The third letter </w:t>
      </w:r>
      <w:r>
        <w:rPr>
          <w:rFonts w:ascii="Book Antiqua" w:hAnsi="Book Antiqua" w:cs="Arial"/>
        </w:rPr>
        <w:t xml:space="preserve">was </w:t>
      </w:r>
      <w:r w:rsidR="00FA6FE5">
        <w:rPr>
          <w:rFonts w:ascii="Book Antiqua" w:hAnsi="Book Antiqua" w:cs="Arial"/>
        </w:rPr>
        <w:t>dated 16 September 2016 and state</w:t>
      </w:r>
      <w:r>
        <w:rPr>
          <w:rFonts w:ascii="Book Antiqua" w:hAnsi="Book Antiqua" w:cs="Arial"/>
        </w:rPr>
        <w:t xml:space="preserve">d that </w:t>
      </w:r>
      <w:r w:rsidR="00FA6FE5">
        <w:rPr>
          <w:rFonts w:ascii="Book Antiqua" w:hAnsi="Book Antiqua" w:cs="Arial"/>
        </w:rPr>
        <w:t xml:space="preserve">the Appellant </w:t>
      </w:r>
      <w:r>
        <w:rPr>
          <w:rFonts w:ascii="Book Antiqua" w:hAnsi="Book Antiqua" w:cs="Arial"/>
        </w:rPr>
        <w:t>was</w:t>
      </w:r>
      <w:r w:rsidR="00FA6FE5">
        <w:rPr>
          <w:rFonts w:ascii="Book Antiqua" w:hAnsi="Book Antiqua" w:cs="Arial"/>
        </w:rPr>
        <w:t xml:space="preserve"> being written to regarding the tracing of his uncle initiated on 15 October 2015. The Red Cross confirm</w:t>
      </w:r>
      <w:r>
        <w:rPr>
          <w:rFonts w:ascii="Book Antiqua" w:hAnsi="Book Antiqua" w:cs="Arial"/>
        </w:rPr>
        <w:t>ed</w:t>
      </w:r>
      <w:r w:rsidR="00FA6FE5">
        <w:rPr>
          <w:rFonts w:ascii="Book Antiqua" w:hAnsi="Book Antiqua" w:cs="Arial"/>
        </w:rPr>
        <w:t xml:space="preserve"> that it ha</w:t>
      </w:r>
      <w:r>
        <w:rPr>
          <w:rFonts w:ascii="Book Antiqua" w:hAnsi="Book Antiqua" w:cs="Arial"/>
        </w:rPr>
        <w:t>d</w:t>
      </w:r>
      <w:r w:rsidR="00FA6FE5">
        <w:rPr>
          <w:rFonts w:ascii="Book Antiqua" w:hAnsi="Book Antiqua" w:cs="Arial"/>
        </w:rPr>
        <w:t xml:space="preserve"> no information concerning </w:t>
      </w:r>
      <w:r>
        <w:rPr>
          <w:rFonts w:ascii="Book Antiqua" w:hAnsi="Book Antiqua" w:cs="Arial"/>
        </w:rPr>
        <w:t xml:space="preserve">the uncle </w:t>
      </w:r>
      <w:r w:rsidR="00FA6FE5">
        <w:rPr>
          <w:rFonts w:ascii="Book Antiqua" w:hAnsi="Book Antiqua" w:cs="Arial"/>
        </w:rPr>
        <w:t xml:space="preserve">but that their enquiries </w:t>
      </w:r>
      <w:r>
        <w:rPr>
          <w:rFonts w:ascii="Book Antiqua" w:hAnsi="Book Antiqua" w:cs="Arial"/>
        </w:rPr>
        <w:t>were</w:t>
      </w:r>
      <w:r w:rsidR="00FA6FE5">
        <w:rPr>
          <w:rFonts w:ascii="Book Antiqua" w:hAnsi="Book Antiqua" w:cs="Arial"/>
        </w:rPr>
        <w:t xml:space="preserve"> continuing.  </w:t>
      </w:r>
    </w:p>
    <w:p w:rsidR="00DB6426" w:rsidRPr="00804C1E" w:rsidRDefault="00DB6426" w:rsidP="00DB6426">
      <w:pPr>
        <w:spacing w:before="100" w:beforeAutospacing="1" w:after="100" w:afterAutospacing="1"/>
        <w:ind w:left="567" w:hanging="567"/>
        <w:jc w:val="both"/>
        <w:rPr>
          <w:rFonts w:ascii="Book Antiqua" w:hAnsi="Book Antiqua" w:cs="Arial"/>
          <w:i/>
        </w:rPr>
      </w:pPr>
      <w:r w:rsidRPr="00804C1E">
        <w:rPr>
          <w:rFonts w:ascii="Book Antiqua" w:hAnsi="Book Antiqua" w:cs="Arial"/>
          <w:i/>
        </w:rPr>
        <w:t>The Appellant’s Evidence</w:t>
      </w:r>
    </w:p>
    <w:p w:rsidR="004359A7" w:rsidRDefault="00FB3961" w:rsidP="00087707">
      <w:pPr>
        <w:spacing w:before="100" w:beforeAutospacing="1" w:after="100" w:afterAutospacing="1"/>
        <w:ind w:left="567" w:hanging="567"/>
        <w:jc w:val="both"/>
        <w:rPr>
          <w:rFonts w:ascii="Book Antiqua" w:hAnsi="Book Antiqua" w:cs="Arial"/>
        </w:rPr>
      </w:pPr>
      <w:r>
        <w:rPr>
          <w:rFonts w:ascii="Book Antiqua" w:hAnsi="Book Antiqua" w:cs="Arial"/>
        </w:rPr>
        <w:t>8</w:t>
      </w:r>
      <w:r w:rsidR="00DB6426">
        <w:rPr>
          <w:rFonts w:ascii="Book Antiqua" w:hAnsi="Book Antiqua" w:cs="Arial"/>
        </w:rPr>
        <w:t>.</w:t>
      </w:r>
      <w:r w:rsidR="00DB6426">
        <w:rPr>
          <w:rFonts w:ascii="Book Antiqua" w:hAnsi="Book Antiqua" w:cs="Arial"/>
        </w:rPr>
        <w:tab/>
        <w:t xml:space="preserve">The </w:t>
      </w:r>
      <w:r w:rsidR="00317C24">
        <w:rPr>
          <w:rFonts w:ascii="Book Antiqua" w:hAnsi="Book Antiqua" w:cs="Arial"/>
        </w:rPr>
        <w:t>Appellant</w:t>
      </w:r>
      <w:r w:rsidR="00DB6426">
        <w:rPr>
          <w:rFonts w:ascii="Book Antiqua" w:hAnsi="Book Antiqua" w:cs="Arial"/>
        </w:rPr>
        <w:t xml:space="preserve">’s evidence </w:t>
      </w:r>
      <w:r>
        <w:rPr>
          <w:rFonts w:ascii="Book Antiqua" w:hAnsi="Book Antiqua" w:cs="Arial"/>
        </w:rPr>
        <w:t>was</w:t>
      </w:r>
      <w:r w:rsidR="00DB6426">
        <w:rPr>
          <w:rFonts w:ascii="Book Antiqua" w:hAnsi="Book Antiqua" w:cs="Arial"/>
        </w:rPr>
        <w:t xml:space="preserve"> contained in his</w:t>
      </w:r>
      <w:r>
        <w:rPr>
          <w:rFonts w:ascii="Book Antiqua" w:hAnsi="Book Antiqua" w:cs="Arial"/>
        </w:rPr>
        <w:t xml:space="preserve"> undated </w:t>
      </w:r>
      <w:r w:rsidR="00DB6426">
        <w:rPr>
          <w:rFonts w:ascii="Book Antiqua" w:hAnsi="Book Antiqua" w:cs="Arial"/>
        </w:rPr>
        <w:t>witness statement</w:t>
      </w:r>
      <w:r>
        <w:rPr>
          <w:rFonts w:ascii="Book Antiqua" w:hAnsi="Book Antiqua" w:cs="Arial"/>
        </w:rPr>
        <w:t xml:space="preserve"> which was </w:t>
      </w:r>
      <w:r w:rsidR="00804C1E">
        <w:rPr>
          <w:rFonts w:ascii="Book Antiqua" w:hAnsi="Book Antiqua" w:cs="Arial"/>
        </w:rPr>
        <w:t>before the second judge</w:t>
      </w:r>
      <w:r w:rsidR="002C5FFA">
        <w:rPr>
          <w:rFonts w:ascii="Book Antiqua" w:hAnsi="Book Antiqua" w:cs="Arial"/>
        </w:rPr>
        <w:t>. He a</w:t>
      </w:r>
      <w:r w:rsidR="00804C1E">
        <w:rPr>
          <w:rFonts w:ascii="Book Antiqua" w:hAnsi="Book Antiqua" w:cs="Arial"/>
        </w:rPr>
        <w:t xml:space="preserve">dopted </w:t>
      </w:r>
      <w:r w:rsidR="002C5FFA">
        <w:rPr>
          <w:rFonts w:ascii="Book Antiqua" w:hAnsi="Book Antiqua" w:cs="Arial"/>
        </w:rPr>
        <w:t xml:space="preserve">this </w:t>
      </w:r>
      <w:r w:rsidR="00804C1E">
        <w:rPr>
          <w:rFonts w:ascii="Book Antiqua" w:hAnsi="Book Antiqua" w:cs="Arial"/>
        </w:rPr>
        <w:t>as his evidence</w:t>
      </w:r>
      <w:r>
        <w:rPr>
          <w:rFonts w:ascii="Book Antiqua" w:hAnsi="Book Antiqua" w:cs="Arial"/>
        </w:rPr>
        <w:t>-</w:t>
      </w:r>
      <w:r w:rsidR="00804C1E">
        <w:rPr>
          <w:rFonts w:ascii="Book Antiqua" w:hAnsi="Book Antiqua" w:cs="Arial"/>
        </w:rPr>
        <w:t>in</w:t>
      </w:r>
      <w:r>
        <w:rPr>
          <w:rFonts w:ascii="Book Antiqua" w:hAnsi="Book Antiqua" w:cs="Arial"/>
        </w:rPr>
        <w:t>-</w:t>
      </w:r>
      <w:r w:rsidR="00804C1E">
        <w:rPr>
          <w:rFonts w:ascii="Book Antiqua" w:hAnsi="Book Antiqua" w:cs="Arial"/>
        </w:rPr>
        <w:t>chief</w:t>
      </w:r>
      <w:r w:rsidR="00087707">
        <w:rPr>
          <w:rFonts w:ascii="Book Antiqua" w:hAnsi="Book Antiqua" w:cs="Arial"/>
        </w:rPr>
        <w:t>.</w:t>
      </w:r>
      <w:r w:rsidR="002731FF">
        <w:rPr>
          <w:rFonts w:ascii="Book Antiqua" w:hAnsi="Book Antiqua" w:cs="Arial"/>
        </w:rPr>
        <w:t xml:space="preserve"> </w:t>
      </w:r>
      <w:r w:rsidR="00804C1E">
        <w:rPr>
          <w:rFonts w:ascii="Book Antiqua" w:hAnsi="Book Antiqua" w:cs="Arial"/>
        </w:rPr>
        <w:t>He</w:t>
      </w:r>
      <w:r w:rsidR="00DB6426">
        <w:rPr>
          <w:rFonts w:ascii="Book Antiqua" w:hAnsi="Book Antiqua" w:cs="Arial"/>
        </w:rPr>
        <w:t xml:space="preserve"> gave evidence at the hearing before me in Pushtu through an interpreter.  His evidence can b</w:t>
      </w:r>
      <w:r w:rsidR="0097716D">
        <w:rPr>
          <w:rFonts w:ascii="Book Antiqua" w:hAnsi="Book Antiqua" w:cs="Arial"/>
        </w:rPr>
        <w:t xml:space="preserve">e summarised.  He lived in </w:t>
      </w:r>
      <w:r w:rsidR="00DB6426">
        <w:rPr>
          <w:rFonts w:ascii="Book Antiqua" w:hAnsi="Book Antiqua" w:cs="Arial"/>
        </w:rPr>
        <w:t>Dand</w:t>
      </w:r>
      <w:r w:rsidR="004359A7">
        <w:rPr>
          <w:rFonts w:ascii="Book Antiqua" w:hAnsi="Book Antiqua" w:cs="Arial"/>
        </w:rPr>
        <w:t>-e-Ghori in Baghlan Province of Afghanistan</w:t>
      </w:r>
      <w:r w:rsidR="00804C1E">
        <w:rPr>
          <w:rFonts w:ascii="Book Antiqua" w:hAnsi="Book Antiqua" w:cs="Arial"/>
        </w:rPr>
        <w:t xml:space="preserve"> w</w:t>
      </w:r>
      <w:r w:rsidR="004359A7">
        <w:rPr>
          <w:rFonts w:ascii="Book Antiqua" w:hAnsi="Book Antiqua" w:cs="Arial"/>
        </w:rPr>
        <w:t xml:space="preserve">ith his mother, older sister and two older brothers.  He left Afghanistan in 2013 with the help of his brother-in-law.  He travelled to Pakistan where he was left in the care of an agent who brought him to the UK.  He arrived here on 28 August 2013.  </w:t>
      </w:r>
      <w:r w:rsidR="00804C1E">
        <w:rPr>
          <w:rFonts w:ascii="Book Antiqua" w:hAnsi="Book Antiqua" w:cs="Arial"/>
        </w:rPr>
        <w:t xml:space="preserve">He has had </w:t>
      </w:r>
      <w:r w:rsidR="004359A7">
        <w:rPr>
          <w:rFonts w:ascii="Book Antiqua" w:hAnsi="Book Antiqua" w:cs="Arial"/>
        </w:rPr>
        <w:t>no contact directly or indirectly with anyone in Afghanistan</w:t>
      </w:r>
      <w:r w:rsidR="00804C1E">
        <w:rPr>
          <w:rFonts w:ascii="Book Antiqua" w:hAnsi="Book Antiqua" w:cs="Arial"/>
        </w:rPr>
        <w:t xml:space="preserve"> since he left. </w:t>
      </w:r>
      <w:r w:rsidR="004359A7">
        <w:rPr>
          <w:rFonts w:ascii="Book Antiqua" w:hAnsi="Book Antiqua" w:cs="Arial"/>
        </w:rPr>
        <w:t xml:space="preserve"> He has a cousin in the UK </w:t>
      </w:r>
      <w:r w:rsidR="00804C1E">
        <w:rPr>
          <w:rFonts w:ascii="Book Antiqua" w:hAnsi="Book Antiqua" w:cs="Arial"/>
        </w:rPr>
        <w:t xml:space="preserve">(ZA) </w:t>
      </w:r>
      <w:r w:rsidR="004359A7">
        <w:rPr>
          <w:rFonts w:ascii="Book Antiqua" w:hAnsi="Book Antiqua" w:cs="Arial"/>
        </w:rPr>
        <w:t>who resides in London.  He last s</w:t>
      </w:r>
      <w:r w:rsidR="00804C1E">
        <w:rPr>
          <w:rFonts w:ascii="Book Antiqua" w:hAnsi="Book Antiqua" w:cs="Arial"/>
        </w:rPr>
        <w:t xml:space="preserve">aw him </w:t>
      </w:r>
      <w:r w:rsidR="002C5FFA">
        <w:rPr>
          <w:rFonts w:ascii="Book Antiqua" w:hAnsi="Book Antiqua" w:cs="Arial"/>
        </w:rPr>
        <w:t>(</w:t>
      </w:r>
      <w:r w:rsidR="00804C1E">
        <w:rPr>
          <w:rFonts w:ascii="Book Antiqua" w:hAnsi="Book Antiqua" w:cs="Arial"/>
        </w:rPr>
        <w:t xml:space="preserve">according to his </w:t>
      </w:r>
      <w:r w:rsidR="002C5FFA">
        <w:rPr>
          <w:rFonts w:ascii="Book Antiqua" w:hAnsi="Book Antiqua" w:cs="Arial"/>
        </w:rPr>
        <w:t xml:space="preserve">undated witness </w:t>
      </w:r>
      <w:r w:rsidR="00804C1E">
        <w:rPr>
          <w:rFonts w:ascii="Book Antiqua" w:hAnsi="Book Antiqua" w:cs="Arial"/>
        </w:rPr>
        <w:t xml:space="preserve">statement before the second judge </w:t>
      </w:r>
      <w:r w:rsidR="002C5FFA">
        <w:rPr>
          <w:rFonts w:ascii="Book Antiqua" w:hAnsi="Book Antiqua" w:cs="Arial"/>
        </w:rPr>
        <w:t xml:space="preserve">at the </w:t>
      </w:r>
      <w:r w:rsidR="00804C1E">
        <w:rPr>
          <w:rFonts w:ascii="Book Antiqua" w:hAnsi="Book Antiqua" w:cs="Arial"/>
        </w:rPr>
        <w:t xml:space="preserve">hearing on 25 September 2017) three months ago. </w:t>
      </w:r>
      <w:r w:rsidR="00CB6316">
        <w:rPr>
          <w:rFonts w:ascii="Book Antiqua" w:hAnsi="Book Antiqua" w:cs="Arial"/>
        </w:rPr>
        <w:t xml:space="preserve">They are not close and contact </w:t>
      </w:r>
      <w:r w:rsidR="004359A7">
        <w:rPr>
          <w:rFonts w:ascii="Book Antiqua" w:hAnsi="Book Antiqua" w:cs="Arial"/>
        </w:rPr>
        <w:t xml:space="preserve">is limited.  ZA has had no contact with his family in Afghanistan and has been recognised as a refugee.  He has been living here for twelve years and has never travelled back to Afghanistan.  The </w:t>
      </w:r>
      <w:r w:rsidR="00317C24">
        <w:rPr>
          <w:rFonts w:ascii="Book Antiqua" w:hAnsi="Book Antiqua" w:cs="Arial"/>
        </w:rPr>
        <w:t>Appellant</w:t>
      </w:r>
      <w:r w:rsidR="004359A7">
        <w:rPr>
          <w:rFonts w:ascii="Book Antiqua" w:hAnsi="Book Antiqua" w:cs="Arial"/>
        </w:rPr>
        <w:t xml:space="preserve"> has integrated</w:t>
      </w:r>
      <w:r w:rsidR="00802747">
        <w:rPr>
          <w:rFonts w:ascii="Book Antiqua" w:hAnsi="Book Antiqua" w:cs="Arial"/>
        </w:rPr>
        <w:t xml:space="preserve"> here</w:t>
      </w:r>
      <w:r w:rsidR="00804C1E">
        <w:rPr>
          <w:rFonts w:ascii="Book Antiqua" w:hAnsi="Book Antiqua" w:cs="Arial"/>
        </w:rPr>
        <w:t xml:space="preserve"> and ZA does not approve of him. </w:t>
      </w:r>
    </w:p>
    <w:p w:rsidR="004359A7" w:rsidRDefault="00802747" w:rsidP="00317C24">
      <w:pPr>
        <w:spacing w:before="100" w:beforeAutospacing="1" w:after="100" w:afterAutospacing="1"/>
        <w:ind w:left="567" w:hanging="567"/>
        <w:jc w:val="both"/>
        <w:rPr>
          <w:rFonts w:ascii="Book Antiqua" w:hAnsi="Book Antiqua" w:cs="Arial"/>
        </w:rPr>
      </w:pPr>
      <w:r>
        <w:rPr>
          <w:rFonts w:ascii="Book Antiqua" w:hAnsi="Book Antiqua" w:cs="Arial"/>
        </w:rPr>
        <w:t>9</w:t>
      </w:r>
      <w:r w:rsidR="004359A7">
        <w:rPr>
          <w:rFonts w:ascii="Book Antiqua" w:hAnsi="Book Antiqua" w:cs="Arial"/>
        </w:rPr>
        <w:t>.</w:t>
      </w:r>
      <w:r w:rsidR="004359A7">
        <w:rPr>
          <w:rFonts w:ascii="Book Antiqua" w:hAnsi="Book Antiqua" w:cs="Arial"/>
        </w:rPr>
        <w:tab/>
        <w:t xml:space="preserve">The </w:t>
      </w:r>
      <w:r w:rsidR="00317C24">
        <w:rPr>
          <w:rFonts w:ascii="Book Antiqua" w:hAnsi="Book Antiqua" w:cs="Arial"/>
        </w:rPr>
        <w:t>Appellant</w:t>
      </w:r>
      <w:r w:rsidR="004359A7">
        <w:rPr>
          <w:rFonts w:ascii="Book Antiqua" w:hAnsi="Book Antiqua" w:cs="Arial"/>
        </w:rPr>
        <w:t xml:space="preserve"> in his witness statement stated that he could not return to his home area </w:t>
      </w:r>
      <w:r w:rsidR="00CB6316">
        <w:rPr>
          <w:rFonts w:ascii="Book Antiqua" w:hAnsi="Book Antiqua" w:cs="Arial"/>
        </w:rPr>
        <w:t>because of</w:t>
      </w:r>
      <w:r w:rsidR="004359A7">
        <w:rPr>
          <w:rFonts w:ascii="Book Antiqua" w:hAnsi="Book Antiqua" w:cs="Arial"/>
        </w:rPr>
        <w:t xml:space="preserve"> fear of being killed by the Taliban.  Baghlan</w:t>
      </w:r>
      <w:r w:rsidR="00A83A8E">
        <w:rPr>
          <w:rFonts w:ascii="Book Antiqua" w:hAnsi="Book Antiqua" w:cs="Arial"/>
        </w:rPr>
        <w:t xml:space="preserve"> is very dangerous.  In oral evidence he stated that </w:t>
      </w:r>
      <w:r w:rsidR="00FA6FE5">
        <w:rPr>
          <w:rFonts w:ascii="Book Antiqua" w:hAnsi="Book Antiqua" w:cs="Arial"/>
        </w:rPr>
        <w:t>if he was removed to Kabul, he would not remain there</w:t>
      </w:r>
      <w:r>
        <w:rPr>
          <w:rFonts w:ascii="Book Antiqua" w:hAnsi="Book Antiqua" w:cs="Arial"/>
        </w:rPr>
        <w:t xml:space="preserve">. He </w:t>
      </w:r>
      <w:r w:rsidR="00FA6FE5">
        <w:rPr>
          <w:rFonts w:ascii="Book Antiqua" w:hAnsi="Book Antiqua" w:cs="Arial"/>
        </w:rPr>
        <w:t>would return to Baghlan</w:t>
      </w:r>
      <w:r w:rsidR="002731FF">
        <w:rPr>
          <w:rFonts w:ascii="Book Antiqua" w:hAnsi="Book Antiqua" w:cs="Arial"/>
        </w:rPr>
        <w:t xml:space="preserve"> </w:t>
      </w:r>
      <w:r w:rsidR="00CD4DF7">
        <w:rPr>
          <w:rFonts w:ascii="Book Antiqua" w:hAnsi="Book Antiqua" w:cs="Arial"/>
        </w:rPr>
        <w:t>w</w:t>
      </w:r>
      <w:r w:rsidR="00CB6316">
        <w:rPr>
          <w:rFonts w:ascii="Book Antiqua" w:hAnsi="Book Antiqua" w:cs="Arial"/>
        </w:rPr>
        <w:t>here</w:t>
      </w:r>
      <w:r w:rsidR="00A83A8E">
        <w:rPr>
          <w:rFonts w:ascii="Book Antiqua" w:hAnsi="Book Antiqua" w:cs="Arial"/>
        </w:rPr>
        <w:t xml:space="preserve"> he used to live</w:t>
      </w:r>
      <w:r>
        <w:rPr>
          <w:rFonts w:ascii="Book Antiqua" w:hAnsi="Book Antiqua" w:cs="Arial"/>
        </w:rPr>
        <w:t xml:space="preserve"> and where he would be at risk</w:t>
      </w:r>
      <w:r w:rsidR="00A83A8E">
        <w:rPr>
          <w:rFonts w:ascii="Book Antiqua" w:hAnsi="Book Antiqua" w:cs="Arial"/>
        </w:rPr>
        <w:t>.</w:t>
      </w:r>
    </w:p>
    <w:p w:rsidR="00072485" w:rsidRDefault="008255BE" w:rsidP="00317C24">
      <w:pPr>
        <w:spacing w:before="100" w:beforeAutospacing="1" w:after="100" w:afterAutospacing="1"/>
        <w:ind w:left="567" w:hanging="567"/>
        <w:jc w:val="both"/>
        <w:rPr>
          <w:rFonts w:ascii="Book Antiqua" w:hAnsi="Book Antiqua" w:cs="Arial"/>
        </w:rPr>
      </w:pPr>
      <w:r>
        <w:rPr>
          <w:rFonts w:ascii="Book Antiqua" w:hAnsi="Book Antiqua" w:cs="Arial"/>
        </w:rPr>
        <w:t>1</w:t>
      </w:r>
      <w:r w:rsidR="00802747">
        <w:rPr>
          <w:rFonts w:ascii="Book Antiqua" w:hAnsi="Book Antiqua" w:cs="Arial"/>
        </w:rPr>
        <w:t>0</w:t>
      </w:r>
      <w:r w:rsidR="00A83A8E">
        <w:rPr>
          <w:rFonts w:ascii="Book Antiqua" w:hAnsi="Book Antiqua" w:cs="Arial"/>
        </w:rPr>
        <w:t>.</w:t>
      </w:r>
      <w:r w:rsidR="00A83A8E">
        <w:rPr>
          <w:rFonts w:ascii="Book Antiqua" w:hAnsi="Book Antiqua" w:cs="Arial"/>
        </w:rPr>
        <w:tab/>
        <w:t xml:space="preserve">The </w:t>
      </w:r>
      <w:r w:rsidR="00317C24">
        <w:rPr>
          <w:rFonts w:ascii="Book Antiqua" w:hAnsi="Book Antiqua" w:cs="Arial"/>
        </w:rPr>
        <w:t>Appellant</w:t>
      </w:r>
      <w:r w:rsidR="00A83A8E">
        <w:rPr>
          <w:rFonts w:ascii="Book Antiqua" w:hAnsi="Book Antiqua" w:cs="Arial"/>
        </w:rPr>
        <w:t xml:space="preserve"> d</w:t>
      </w:r>
      <w:r w:rsidR="00802747">
        <w:rPr>
          <w:rFonts w:ascii="Book Antiqua" w:hAnsi="Book Antiqua" w:cs="Arial"/>
        </w:rPr>
        <w:t xml:space="preserve">id </w:t>
      </w:r>
      <w:r w:rsidR="00A83A8E">
        <w:rPr>
          <w:rFonts w:ascii="Book Antiqua" w:hAnsi="Book Antiqua" w:cs="Arial"/>
        </w:rPr>
        <w:t>not have contact with his family.  A lot of people have been displaced</w:t>
      </w:r>
      <w:r w:rsidR="00FA6FE5">
        <w:rPr>
          <w:rFonts w:ascii="Book Antiqua" w:hAnsi="Book Antiqua" w:cs="Arial"/>
        </w:rPr>
        <w:t xml:space="preserve"> in Afghanistan. </w:t>
      </w:r>
      <w:r w:rsidR="00A83A8E">
        <w:rPr>
          <w:rFonts w:ascii="Book Antiqua" w:hAnsi="Book Antiqua" w:cs="Arial"/>
        </w:rPr>
        <w:t xml:space="preserve">In cross-examination he stated </w:t>
      </w:r>
      <w:r w:rsidR="00CB6316">
        <w:rPr>
          <w:rFonts w:ascii="Book Antiqua" w:hAnsi="Book Antiqua" w:cs="Arial"/>
        </w:rPr>
        <w:t>that</w:t>
      </w:r>
      <w:r w:rsidR="00DA36C6">
        <w:rPr>
          <w:rFonts w:ascii="Book Antiqua" w:hAnsi="Book Antiqua" w:cs="Arial"/>
        </w:rPr>
        <w:t xml:space="preserve"> </w:t>
      </w:r>
      <w:r w:rsidR="00CB6316">
        <w:rPr>
          <w:rFonts w:ascii="Book Antiqua" w:hAnsi="Book Antiqua" w:cs="Arial"/>
        </w:rPr>
        <w:t xml:space="preserve">perhaps </w:t>
      </w:r>
      <w:r w:rsidR="00A83A8E">
        <w:rPr>
          <w:rFonts w:ascii="Book Antiqua" w:hAnsi="Book Antiqua" w:cs="Arial"/>
        </w:rPr>
        <w:t>the smuggler who brought him con</w:t>
      </w:r>
      <w:r w:rsidR="00CB6316">
        <w:rPr>
          <w:rFonts w:ascii="Book Antiqua" w:hAnsi="Book Antiqua" w:cs="Arial"/>
        </w:rPr>
        <w:t>tacted his family</w:t>
      </w:r>
      <w:r w:rsidR="00FA6FE5">
        <w:rPr>
          <w:rFonts w:ascii="Book Antiqua" w:hAnsi="Book Antiqua" w:cs="Arial"/>
        </w:rPr>
        <w:t xml:space="preserve"> to let them know he arrived, but perha</w:t>
      </w:r>
      <w:r w:rsidR="002C5FFA">
        <w:rPr>
          <w:rFonts w:ascii="Book Antiqua" w:hAnsi="Book Antiqua" w:cs="Arial"/>
        </w:rPr>
        <w:t>ps</w:t>
      </w:r>
      <w:r w:rsidR="00FA6FE5">
        <w:rPr>
          <w:rFonts w:ascii="Book Antiqua" w:hAnsi="Book Antiqua" w:cs="Arial"/>
        </w:rPr>
        <w:t xml:space="preserve"> his f</w:t>
      </w:r>
      <w:r w:rsidR="00A83A8E">
        <w:rPr>
          <w:rFonts w:ascii="Book Antiqua" w:hAnsi="Book Antiqua" w:cs="Arial"/>
        </w:rPr>
        <w:t>amily is still looking for him.</w:t>
      </w:r>
      <w:r w:rsidR="00DA36C6">
        <w:rPr>
          <w:rFonts w:ascii="Book Antiqua" w:hAnsi="Book Antiqua" w:cs="Arial"/>
        </w:rPr>
        <w:t xml:space="preserve"> </w:t>
      </w:r>
      <w:r w:rsidR="00FA6FE5">
        <w:rPr>
          <w:rFonts w:ascii="Book Antiqua" w:hAnsi="Book Antiqua" w:cs="Arial"/>
        </w:rPr>
        <w:t>He d</w:t>
      </w:r>
      <w:r w:rsidR="00802747">
        <w:rPr>
          <w:rFonts w:ascii="Book Antiqua" w:hAnsi="Book Antiqua" w:cs="Arial"/>
        </w:rPr>
        <w:t>id</w:t>
      </w:r>
      <w:r w:rsidR="00FA6FE5">
        <w:rPr>
          <w:rFonts w:ascii="Book Antiqua" w:hAnsi="Book Antiqua" w:cs="Arial"/>
        </w:rPr>
        <w:t xml:space="preserve"> not know.</w:t>
      </w:r>
    </w:p>
    <w:p w:rsidR="00A83A8E" w:rsidRDefault="00072485" w:rsidP="00317C24">
      <w:pPr>
        <w:spacing w:before="100" w:beforeAutospacing="1" w:after="100" w:afterAutospacing="1"/>
        <w:ind w:left="567" w:hanging="567"/>
        <w:jc w:val="both"/>
        <w:rPr>
          <w:rFonts w:ascii="Book Antiqua" w:hAnsi="Book Antiqua" w:cs="Arial"/>
        </w:rPr>
      </w:pPr>
      <w:r>
        <w:rPr>
          <w:rFonts w:ascii="Book Antiqua" w:hAnsi="Book Antiqua" w:cs="Arial"/>
        </w:rPr>
        <w:lastRenderedPageBreak/>
        <w:t>1</w:t>
      </w:r>
      <w:r w:rsidR="00802747">
        <w:rPr>
          <w:rFonts w:ascii="Book Antiqua" w:hAnsi="Book Antiqua" w:cs="Arial"/>
        </w:rPr>
        <w:t>1</w:t>
      </w:r>
      <w:r>
        <w:rPr>
          <w:rFonts w:ascii="Book Antiqua" w:hAnsi="Book Antiqua" w:cs="Arial"/>
        </w:rPr>
        <w:t>.</w:t>
      </w:r>
      <w:r>
        <w:rPr>
          <w:rFonts w:ascii="Book Antiqua" w:hAnsi="Book Antiqua" w:cs="Arial"/>
        </w:rPr>
        <w:tab/>
      </w:r>
      <w:r w:rsidR="00FA6FE5">
        <w:rPr>
          <w:rFonts w:ascii="Book Antiqua" w:hAnsi="Book Antiqua" w:cs="Arial"/>
        </w:rPr>
        <w:t xml:space="preserve">There </w:t>
      </w:r>
      <w:r w:rsidR="00802747">
        <w:rPr>
          <w:rFonts w:ascii="Book Antiqua" w:hAnsi="Book Antiqua" w:cs="Arial"/>
        </w:rPr>
        <w:t xml:space="preserve">would be no </w:t>
      </w:r>
      <w:r w:rsidR="00FA6FE5">
        <w:rPr>
          <w:rFonts w:ascii="Book Antiqua" w:hAnsi="Book Antiqua" w:cs="Arial"/>
        </w:rPr>
        <w:t>support for the Appellant in Kabul or Afghanistan.  In the UK he ha</w:t>
      </w:r>
      <w:r w:rsidR="00802747">
        <w:rPr>
          <w:rFonts w:ascii="Book Antiqua" w:hAnsi="Book Antiqua" w:cs="Arial"/>
        </w:rPr>
        <w:t>d</w:t>
      </w:r>
      <w:r w:rsidR="00FA6FE5">
        <w:rPr>
          <w:rFonts w:ascii="Book Antiqua" w:hAnsi="Book Antiqua" w:cs="Arial"/>
        </w:rPr>
        <w:t xml:space="preserve"> support workers, social workers and friends who help him.  He would not have such support in Afghanistan.  </w:t>
      </w:r>
    </w:p>
    <w:p w:rsidR="00072485" w:rsidRDefault="008255BE" w:rsidP="00317C24">
      <w:pPr>
        <w:spacing w:before="100" w:beforeAutospacing="1" w:after="100" w:afterAutospacing="1"/>
        <w:ind w:left="567" w:hanging="567"/>
        <w:jc w:val="both"/>
        <w:rPr>
          <w:rFonts w:ascii="Book Antiqua" w:hAnsi="Book Antiqua" w:cs="Arial"/>
        </w:rPr>
      </w:pPr>
      <w:r>
        <w:rPr>
          <w:rFonts w:ascii="Book Antiqua" w:hAnsi="Book Antiqua" w:cs="Arial"/>
        </w:rPr>
        <w:t>1</w:t>
      </w:r>
      <w:r w:rsidR="00802747">
        <w:rPr>
          <w:rFonts w:ascii="Book Antiqua" w:hAnsi="Book Antiqua" w:cs="Arial"/>
        </w:rPr>
        <w:t>2</w:t>
      </w:r>
      <w:r w:rsidR="00A83A8E">
        <w:rPr>
          <w:rFonts w:ascii="Book Antiqua" w:hAnsi="Book Antiqua" w:cs="Arial"/>
        </w:rPr>
        <w:t>.</w:t>
      </w:r>
      <w:r w:rsidR="00A83A8E">
        <w:rPr>
          <w:rFonts w:ascii="Book Antiqua" w:hAnsi="Book Antiqua" w:cs="Arial"/>
        </w:rPr>
        <w:tab/>
      </w:r>
      <w:r w:rsidR="00802747">
        <w:rPr>
          <w:rFonts w:ascii="Book Antiqua" w:hAnsi="Book Antiqua" w:cs="Arial"/>
        </w:rPr>
        <w:t xml:space="preserve">He had not been asked </w:t>
      </w:r>
      <w:r w:rsidR="00FA6FE5">
        <w:rPr>
          <w:rFonts w:ascii="Book Antiqua" w:hAnsi="Book Antiqua" w:cs="Arial"/>
        </w:rPr>
        <w:t xml:space="preserve">by his solicitors </w:t>
      </w:r>
      <w:r w:rsidR="00A83A8E">
        <w:rPr>
          <w:rFonts w:ascii="Book Antiqua" w:hAnsi="Book Antiqua" w:cs="Arial"/>
        </w:rPr>
        <w:t>to provide an up-to-date witness statement for the appeal hearing.  He was asked what information he had given to the Red Cross and he stated</w:t>
      </w:r>
      <w:r w:rsidR="00FA6FE5">
        <w:rPr>
          <w:rFonts w:ascii="Book Antiqua" w:hAnsi="Book Antiqua" w:cs="Arial"/>
        </w:rPr>
        <w:t xml:space="preserve"> that he told them </w:t>
      </w:r>
      <w:r w:rsidR="00A83A8E">
        <w:rPr>
          <w:rFonts w:ascii="Book Antiqua" w:hAnsi="Book Antiqua" w:cs="Arial"/>
        </w:rPr>
        <w:t>whatever he knew about the place where he</w:t>
      </w:r>
      <w:r w:rsidR="002C5FFA">
        <w:rPr>
          <w:rFonts w:ascii="Book Antiqua" w:hAnsi="Book Antiqua" w:cs="Arial"/>
        </w:rPr>
        <w:t xml:space="preserve"> lived</w:t>
      </w:r>
      <w:r w:rsidR="00A83A8E">
        <w:rPr>
          <w:rFonts w:ascii="Book Antiqua" w:hAnsi="Book Antiqua" w:cs="Arial"/>
        </w:rPr>
        <w:t xml:space="preserve">.  </w:t>
      </w:r>
    </w:p>
    <w:p w:rsidR="00A83A8E" w:rsidRDefault="00072485" w:rsidP="00317C24">
      <w:pPr>
        <w:spacing w:before="100" w:beforeAutospacing="1" w:after="100" w:afterAutospacing="1"/>
        <w:ind w:left="567" w:hanging="567"/>
        <w:jc w:val="both"/>
        <w:rPr>
          <w:rFonts w:ascii="Book Antiqua" w:hAnsi="Book Antiqua" w:cs="Arial"/>
        </w:rPr>
      </w:pPr>
      <w:r>
        <w:rPr>
          <w:rFonts w:ascii="Book Antiqua" w:hAnsi="Book Antiqua" w:cs="Arial"/>
        </w:rPr>
        <w:t>1</w:t>
      </w:r>
      <w:r w:rsidR="00802747">
        <w:rPr>
          <w:rFonts w:ascii="Book Antiqua" w:hAnsi="Book Antiqua" w:cs="Arial"/>
        </w:rPr>
        <w:t>3</w:t>
      </w:r>
      <w:r>
        <w:rPr>
          <w:rFonts w:ascii="Book Antiqua" w:hAnsi="Book Antiqua" w:cs="Arial"/>
        </w:rPr>
        <w:t>.</w:t>
      </w:r>
      <w:r>
        <w:rPr>
          <w:rFonts w:ascii="Book Antiqua" w:hAnsi="Book Antiqua" w:cs="Arial"/>
        </w:rPr>
        <w:tab/>
      </w:r>
      <w:r w:rsidR="00A83A8E">
        <w:rPr>
          <w:rFonts w:ascii="Book Antiqua" w:hAnsi="Book Antiqua" w:cs="Arial"/>
        </w:rPr>
        <w:t xml:space="preserve">The </w:t>
      </w:r>
      <w:r w:rsidR="00317C24">
        <w:rPr>
          <w:rFonts w:ascii="Book Antiqua" w:hAnsi="Book Antiqua" w:cs="Arial"/>
        </w:rPr>
        <w:t>Appellant</w:t>
      </w:r>
      <w:r w:rsidR="00DA36C6">
        <w:rPr>
          <w:rFonts w:ascii="Book Antiqua" w:hAnsi="Book Antiqua" w:cs="Arial"/>
        </w:rPr>
        <w:t xml:space="preserve"> </w:t>
      </w:r>
      <w:r w:rsidR="00CB6316">
        <w:rPr>
          <w:rFonts w:ascii="Book Antiqua" w:hAnsi="Book Antiqua" w:cs="Arial"/>
        </w:rPr>
        <w:t>wants to be</w:t>
      </w:r>
      <w:r w:rsidR="00A83A8E">
        <w:rPr>
          <w:rFonts w:ascii="Book Antiqua" w:hAnsi="Book Antiqua" w:cs="Arial"/>
        </w:rPr>
        <w:t xml:space="preserve"> a car mechanic and had successfully complete</w:t>
      </w:r>
      <w:r w:rsidR="00582447">
        <w:rPr>
          <w:rFonts w:ascii="Book Antiqua" w:hAnsi="Book Antiqua" w:cs="Arial"/>
        </w:rPr>
        <w:t>d</w:t>
      </w:r>
      <w:r w:rsidR="00A83A8E">
        <w:rPr>
          <w:rFonts w:ascii="Book Antiqua" w:hAnsi="Book Antiqua" w:cs="Arial"/>
        </w:rPr>
        <w:t xml:space="preserve"> level 1.  He has to complete level 3 before he can find paid work.  </w:t>
      </w:r>
    </w:p>
    <w:p w:rsidR="00FA6FE5" w:rsidRPr="00FA6FE5" w:rsidRDefault="00FA6FE5" w:rsidP="00317C24">
      <w:pPr>
        <w:spacing w:before="100" w:beforeAutospacing="1" w:after="100" w:afterAutospacing="1"/>
        <w:ind w:left="567" w:hanging="567"/>
        <w:jc w:val="both"/>
        <w:rPr>
          <w:rFonts w:ascii="Book Antiqua" w:hAnsi="Book Antiqua" w:cs="Arial"/>
          <w:i/>
          <w:u w:val="single"/>
        </w:rPr>
      </w:pPr>
      <w:r w:rsidRPr="00FA6FE5">
        <w:rPr>
          <w:rFonts w:ascii="Book Antiqua" w:hAnsi="Book Antiqua" w:cs="Arial"/>
          <w:i/>
          <w:u w:val="single"/>
        </w:rPr>
        <w:t xml:space="preserve">Background Evidence </w:t>
      </w:r>
    </w:p>
    <w:p w:rsidR="00A83A8E" w:rsidRDefault="008255BE" w:rsidP="00317C24">
      <w:pPr>
        <w:spacing w:before="100" w:beforeAutospacing="1" w:after="100" w:afterAutospacing="1"/>
        <w:ind w:left="567" w:hanging="567"/>
        <w:jc w:val="both"/>
        <w:rPr>
          <w:rFonts w:ascii="Book Antiqua" w:hAnsi="Book Antiqua" w:cs="Arial"/>
        </w:rPr>
      </w:pPr>
      <w:r>
        <w:rPr>
          <w:rFonts w:ascii="Book Antiqua" w:hAnsi="Book Antiqua" w:cs="Arial"/>
        </w:rPr>
        <w:t>1</w:t>
      </w:r>
      <w:r w:rsidR="00802747">
        <w:rPr>
          <w:rFonts w:ascii="Book Antiqua" w:hAnsi="Book Antiqua" w:cs="Arial"/>
        </w:rPr>
        <w:t>4</w:t>
      </w:r>
      <w:r w:rsidR="00A83A8E">
        <w:rPr>
          <w:rFonts w:ascii="Book Antiqua" w:hAnsi="Book Antiqua" w:cs="Arial"/>
        </w:rPr>
        <w:t>.</w:t>
      </w:r>
      <w:r w:rsidR="00A83A8E">
        <w:rPr>
          <w:rFonts w:ascii="Book Antiqua" w:hAnsi="Book Antiqua" w:cs="Arial"/>
        </w:rPr>
        <w:tab/>
        <w:t xml:space="preserve">The </w:t>
      </w:r>
      <w:r w:rsidR="00317C24">
        <w:rPr>
          <w:rFonts w:ascii="Book Antiqua" w:hAnsi="Book Antiqua" w:cs="Arial"/>
        </w:rPr>
        <w:t>Appellant</w:t>
      </w:r>
      <w:r w:rsidR="002731FF">
        <w:rPr>
          <w:rFonts w:ascii="Book Antiqua" w:hAnsi="Book Antiqua" w:cs="Arial"/>
        </w:rPr>
        <w:t xml:space="preserve"> </w:t>
      </w:r>
      <w:r w:rsidR="00DC1723">
        <w:rPr>
          <w:rFonts w:ascii="Book Antiqua" w:hAnsi="Book Antiqua" w:cs="Arial"/>
        </w:rPr>
        <w:t xml:space="preserve">produced in support of his appeal a </w:t>
      </w:r>
      <w:r w:rsidR="00A83A8E">
        <w:rPr>
          <w:rFonts w:ascii="Book Antiqua" w:hAnsi="Book Antiqua" w:cs="Arial"/>
        </w:rPr>
        <w:t>report by Liza Schust</w:t>
      </w:r>
      <w:r w:rsidR="00A0097C">
        <w:rPr>
          <w:rFonts w:ascii="Book Antiqua" w:hAnsi="Book Antiqua" w:cs="Arial"/>
        </w:rPr>
        <w:t>e</w:t>
      </w:r>
      <w:r w:rsidR="00A83A8E">
        <w:rPr>
          <w:rFonts w:ascii="Book Antiqua" w:hAnsi="Book Antiqua" w:cs="Arial"/>
        </w:rPr>
        <w:t>r of December 2015 (page 34</w:t>
      </w:r>
      <w:r w:rsidR="00DC1723">
        <w:rPr>
          <w:rFonts w:ascii="Book Antiqua" w:hAnsi="Book Antiqua" w:cs="Arial"/>
        </w:rPr>
        <w:t xml:space="preserve">, </w:t>
      </w:r>
      <w:r w:rsidR="00A83A8E">
        <w:rPr>
          <w:rFonts w:ascii="Book Antiqua" w:hAnsi="Book Antiqua" w:cs="Arial"/>
        </w:rPr>
        <w:t>AB</w:t>
      </w:r>
      <w:r w:rsidR="00DC1723">
        <w:rPr>
          <w:rFonts w:ascii="Book Antiqua" w:hAnsi="Book Antiqua" w:cs="Arial"/>
        </w:rPr>
        <w:t>1</w:t>
      </w:r>
      <w:r w:rsidR="00A83A8E">
        <w:rPr>
          <w:rFonts w:ascii="Book Antiqua" w:hAnsi="Book Antiqua" w:cs="Arial"/>
        </w:rPr>
        <w:t>)</w:t>
      </w:r>
      <w:r w:rsidR="002C5FFA">
        <w:rPr>
          <w:rFonts w:ascii="Book Antiqua" w:hAnsi="Book Antiqua" w:cs="Arial"/>
        </w:rPr>
        <w:t xml:space="preserve">. At </w:t>
      </w:r>
      <w:r w:rsidR="00A83A8E">
        <w:rPr>
          <w:rFonts w:ascii="Book Antiqua" w:hAnsi="Book Antiqua" w:cs="Arial"/>
        </w:rPr>
        <w:t>paragraph 86</w:t>
      </w:r>
      <w:r w:rsidR="002C5FFA">
        <w:rPr>
          <w:rFonts w:ascii="Book Antiqua" w:hAnsi="Book Antiqua" w:cs="Arial"/>
        </w:rPr>
        <w:t xml:space="preserve">, she states as </w:t>
      </w:r>
      <w:r w:rsidR="00A83A8E">
        <w:rPr>
          <w:rFonts w:ascii="Book Antiqua" w:hAnsi="Book Antiqua" w:cs="Arial"/>
        </w:rPr>
        <w:t xml:space="preserve">follows: </w:t>
      </w:r>
    </w:p>
    <w:p w:rsidR="00A83A8E" w:rsidRPr="001860F1" w:rsidRDefault="00A83A8E" w:rsidP="00317C24">
      <w:pPr>
        <w:spacing w:before="100" w:beforeAutospacing="1" w:after="100" w:afterAutospacing="1"/>
        <w:ind w:left="1701" w:hanging="567"/>
        <w:jc w:val="both"/>
        <w:rPr>
          <w:rFonts w:ascii="Book Antiqua" w:hAnsi="Book Antiqua" w:cs="Arial"/>
          <w:sz w:val="20"/>
          <w:szCs w:val="20"/>
        </w:rPr>
      </w:pPr>
      <w:r w:rsidRPr="001860F1">
        <w:rPr>
          <w:rFonts w:ascii="Book Antiqua" w:hAnsi="Book Antiqua" w:cs="Arial"/>
          <w:sz w:val="20"/>
          <w:szCs w:val="20"/>
        </w:rPr>
        <w:t>“86.</w:t>
      </w:r>
      <w:r w:rsidRPr="001860F1">
        <w:rPr>
          <w:rFonts w:ascii="Book Antiqua" w:hAnsi="Book Antiqua" w:cs="Arial"/>
          <w:sz w:val="20"/>
          <w:szCs w:val="20"/>
        </w:rPr>
        <w:tab/>
        <w:t xml:space="preserve">From the research that I have conducted, and as reported in the article with Majidi (attached) there are two main reasons why those who are forcibly returned to Kabul return </w:t>
      </w:r>
      <w:r w:rsidR="00010842" w:rsidRPr="001860F1">
        <w:rPr>
          <w:rFonts w:ascii="Book Antiqua" w:hAnsi="Book Antiqua" w:cs="Arial"/>
          <w:sz w:val="20"/>
          <w:szCs w:val="20"/>
        </w:rPr>
        <w:t>to their provinces of origin.  The f</w:t>
      </w:r>
      <w:r w:rsidRPr="001860F1">
        <w:rPr>
          <w:rFonts w:ascii="Book Antiqua" w:hAnsi="Book Antiqua" w:cs="Arial"/>
          <w:sz w:val="20"/>
          <w:szCs w:val="20"/>
        </w:rPr>
        <w:t>irst is that where people have absolutely no links in Kabul, they do not know where to begin looking for accommodation or employment so even if they feel threatened in their home province, they hope to find shelter there until they can find somewhere else to</w:t>
      </w:r>
      <w:r w:rsidR="00010842" w:rsidRPr="001860F1">
        <w:rPr>
          <w:rFonts w:ascii="Book Antiqua" w:hAnsi="Book Antiqua" w:cs="Arial"/>
          <w:sz w:val="20"/>
          <w:szCs w:val="20"/>
        </w:rPr>
        <w:t xml:space="preserve"> go.</w:t>
      </w:r>
      <w:r w:rsidRPr="001860F1">
        <w:rPr>
          <w:rFonts w:ascii="Book Antiqua" w:hAnsi="Book Antiqua" w:cs="Arial"/>
          <w:sz w:val="20"/>
          <w:szCs w:val="20"/>
        </w:rPr>
        <w:t xml:space="preserve">  The choice will between destitution in Kabul or facing whatever risks may remain in the</w:t>
      </w:r>
      <w:r w:rsidR="00010842" w:rsidRPr="001860F1">
        <w:rPr>
          <w:rFonts w:ascii="Book Antiqua" w:hAnsi="Book Antiqua" w:cs="Arial"/>
          <w:sz w:val="20"/>
          <w:szCs w:val="20"/>
        </w:rPr>
        <w:t>ir</w:t>
      </w:r>
      <w:r w:rsidRPr="001860F1">
        <w:rPr>
          <w:rFonts w:ascii="Book Antiqua" w:hAnsi="Book Antiqua" w:cs="Arial"/>
          <w:sz w:val="20"/>
          <w:szCs w:val="20"/>
        </w:rPr>
        <w:t xml:space="preserve"> home province.  They may be intending to seek help and support from extended family to re-migrate.  </w:t>
      </w:r>
    </w:p>
    <w:p w:rsidR="00A83A8E" w:rsidRPr="001860F1" w:rsidRDefault="00A83A8E" w:rsidP="00317C24">
      <w:pPr>
        <w:spacing w:before="100" w:beforeAutospacing="1" w:after="100" w:afterAutospacing="1"/>
        <w:ind w:left="1701" w:hanging="567"/>
        <w:jc w:val="both"/>
        <w:rPr>
          <w:rFonts w:ascii="Book Antiqua" w:hAnsi="Book Antiqua" w:cs="Arial"/>
          <w:sz w:val="20"/>
          <w:szCs w:val="20"/>
        </w:rPr>
      </w:pPr>
      <w:r w:rsidRPr="001860F1">
        <w:rPr>
          <w:rFonts w:ascii="Book Antiqua" w:hAnsi="Book Antiqua" w:cs="Arial"/>
          <w:sz w:val="20"/>
          <w:szCs w:val="20"/>
        </w:rPr>
        <w:t>87.</w:t>
      </w:r>
      <w:r w:rsidRPr="001860F1">
        <w:rPr>
          <w:rFonts w:ascii="Book Antiqua" w:hAnsi="Book Antiqua" w:cs="Arial"/>
          <w:sz w:val="20"/>
          <w:szCs w:val="20"/>
        </w:rPr>
        <w:tab/>
        <w:t xml:space="preserve">The second reason is that it is likely to have been some years since most saw their families.  In a culture where family is so important </w:t>
      </w:r>
      <w:r w:rsidR="00010842" w:rsidRPr="001860F1">
        <w:rPr>
          <w:rFonts w:ascii="Book Antiqua" w:hAnsi="Book Antiqua" w:cs="Arial"/>
          <w:sz w:val="20"/>
          <w:szCs w:val="20"/>
        </w:rPr>
        <w:t xml:space="preserve">the </w:t>
      </w:r>
      <w:r w:rsidRPr="001860F1">
        <w:rPr>
          <w:rFonts w:ascii="Book Antiqua" w:hAnsi="Book Antiqua" w:cs="Arial"/>
          <w:sz w:val="20"/>
          <w:szCs w:val="20"/>
        </w:rPr>
        <w:t>distance from family is often a source of enormous pain.  Some will have had very negative experiences in the UK and will be hoping to find solace in their family.  In some cases there will have been significant bereavements, and there will be a duty to visit parental graves.  They may have a fiancée, wife or children at home.  Some will hope to get back safely and spend some time with loved ones, discussing what the next step should be.  Whatever the reason for</w:t>
      </w:r>
      <w:r w:rsidR="00010842" w:rsidRPr="001860F1">
        <w:rPr>
          <w:rFonts w:ascii="Book Antiqua" w:hAnsi="Book Antiqua" w:cs="Arial"/>
          <w:sz w:val="20"/>
          <w:szCs w:val="20"/>
        </w:rPr>
        <w:t xml:space="preserve"> leaving Afghanistan, for many – </w:t>
      </w:r>
      <w:r w:rsidRPr="001860F1">
        <w:rPr>
          <w:rFonts w:ascii="Book Antiqua" w:hAnsi="Book Antiqua" w:cs="Arial"/>
          <w:sz w:val="20"/>
          <w:szCs w:val="20"/>
        </w:rPr>
        <w:t xml:space="preserve">even those who have no possibility or intention of staying – the opportunity to see family, familiar faces and places and familiar </w:t>
      </w:r>
      <w:r w:rsidR="00A0097C" w:rsidRPr="001860F1">
        <w:rPr>
          <w:rFonts w:ascii="Book Antiqua" w:hAnsi="Book Antiqua" w:cs="Arial"/>
          <w:sz w:val="20"/>
          <w:szCs w:val="20"/>
        </w:rPr>
        <w:t xml:space="preserve">foods will be </w:t>
      </w:r>
      <w:r w:rsidR="00317C24" w:rsidRPr="001860F1">
        <w:rPr>
          <w:rFonts w:ascii="Book Antiqua" w:hAnsi="Book Antiqua" w:cs="Arial"/>
          <w:sz w:val="20"/>
          <w:szCs w:val="20"/>
        </w:rPr>
        <w:t>irresistible</w:t>
      </w:r>
      <w:r w:rsidR="00A0097C" w:rsidRPr="001860F1">
        <w:rPr>
          <w:rFonts w:ascii="Book Antiqua" w:hAnsi="Book Antiqua" w:cs="Arial"/>
          <w:sz w:val="20"/>
          <w:szCs w:val="20"/>
        </w:rPr>
        <w:t xml:space="preserve"> and they will deal with threats when they arise.  If they still have family, they will be reliant on the family to finance their next attempt to </w:t>
      </w:r>
      <w:r w:rsidR="00010842" w:rsidRPr="001860F1">
        <w:rPr>
          <w:rFonts w:ascii="Book Antiqua" w:hAnsi="Book Antiqua" w:cs="Arial"/>
          <w:sz w:val="20"/>
          <w:szCs w:val="20"/>
        </w:rPr>
        <w:t>leave.</w:t>
      </w:r>
      <w:r w:rsidR="00A0097C" w:rsidRPr="001860F1">
        <w:rPr>
          <w:rFonts w:ascii="Book Antiqua" w:hAnsi="Book Antiqua" w:cs="Arial"/>
          <w:sz w:val="20"/>
          <w:szCs w:val="20"/>
        </w:rPr>
        <w:t>”</w:t>
      </w:r>
    </w:p>
    <w:p w:rsidR="002C5FFA" w:rsidRPr="005E4E00" w:rsidRDefault="00A0097C" w:rsidP="00010842">
      <w:pPr>
        <w:spacing w:before="100" w:beforeAutospacing="1" w:after="100" w:afterAutospacing="1"/>
        <w:ind w:left="567"/>
        <w:jc w:val="both"/>
        <w:rPr>
          <w:rFonts w:ascii="Book Antiqua" w:hAnsi="Book Antiqua" w:cs="Arial"/>
        </w:rPr>
      </w:pPr>
      <w:r w:rsidRPr="005E4E00">
        <w:rPr>
          <w:rFonts w:ascii="Book Antiqua" w:hAnsi="Book Antiqua" w:cs="Arial"/>
        </w:rPr>
        <w:t xml:space="preserve">In addition, amongst other documents in the </w:t>
      </w:r>
      <w:r w:rsidR="00317C24">
        <w:rPr>
          <w:rFonts w:ascii="Book Antiqua" w:hAnsi="Book Antiqua" w:cs="Arial"/>
        </w:rPr>
        <w:t>Appellant</w:t>
      </w:r>
      <w:r w:rsidRPr="005E4E00">
        <w:rPr>
          <w:rFonts w:ascii="Book Antiqua" w:hAnsi="Book Antiqua" w:cs="Arial"/>
        </w:rPr>
        <w:t xml:space="preserve">’s bundle is the Country Information and Guidance Afghanistan: Security and </w:t>
      </w:r>
      <w:r w:rsidR="00010842">
        <w:rPr>
          <w:rFonts w:ascii="Book Antiqua" w:hAnsi="Book Antiqua" w:cs="Arial"/>
        </w:rPr>
        <w:t>h</w:t>
      </w:r>
      <w:r w:rsidRPr="005E4E00">
        <w:rPr>
          <w:rFonts w:ascii="Book Antiqua" w:hAnsi="Book Antiqua" w:cs="Arial"/>
        </w:rPr>
        <w:t>umanita</w:t>
      </w:r>
      <w:r w:rsidR="00010842">
        <w:rPr>
          <w:rFonts w:ascii="Book Antiqua" w:hAnsi="Book Antiqua" w:cs="Arial"/>
        </w:rPr>
        <w:t>rian si</w:t>
      </w:r>
      <w:r w:rsidRPr="005E4E00">
        <w:rPr>
          <w:rFonts w:ascii="Book Antiqua" w:hAnsi="Book Antiqua" w:cs="Arial"/>
        </w:rPr>
        <w:t xml:space="preserve">tuation </w:t>
      </w:r>
      <w:r w:rsidR="00010842">
        <w:rPr>
          <w:rFonts w:ascii="Book Antiqua" w:hAnsi="Book Antiqua" w:cs="Arial"/>
        </w:rPr>
        <w:t>v</w:t>
      </w:r>
      <w:r w:rsidRPr="005E4E00">
        <w:rPr>
          <w:rFonts w:ascii="Book Antiqua" w:hAnsi="Book Antiqua" w:cs="Arial"/>
        </w:rPr>
        <w:t>ersion 3.0 of July 2016 (page 131</w:t>
      </w:r>
      <w:r w:rsidR="00802747">
        <w:rPr>
          <w:rFonts w:ascii="Book Antiqua" w:hAnsi="Book Antiqua" w:cs="Arial"/>
        </w:rPr>
        <w:t xml:space="preserve">, </w:t>
      </w:r>
      <w:r w:rsidRPr="005E4E00">
        <w:rPr>
          <w:rFonts w:ascii="Book Antiqua" w:hAnsi="Book Antiqua" w:cs="Arial"/>
        </w:rPr>
        <w:t>AB).  In particular</w:t>
      </w:r>
      <w:r w:rsidR="00802747">
        <w:rPr>
          <w:rFonts w:ascii="Book Antiqua" w:hAnsi="Book Antiqua" w:cs="Arial"/>
        </w:rPr>
        <w:t xml:space="preserve"> I was referred to the </w:t>
      </w:r>
      <w:r w:rsidRPr="005E4E00">
        <w:rPr>
          <w:rFonts w:ascii="Book Antiqua" w:hAnsi="Book Antiqua" w:cs="Arial"/>
        </w:rPr>
        <w:t>following</w:t>
      </w:r>
      <w:r w:rsidR="002C5FFA">
        <w:rPr>
          <w:rFonts w:ascii="Book Antiqua" w:hAnsi="Book Antiqua" w:cs="Arial"/>
        </w:rPr>
        <w:t xml:space="preserve">; </w:t>
      </w:r>
    </w:p>
    <w:p w:rsidR="00A0097C" w:rsidRPr="001860F1" w:rsidRDefault="00A0097C" w:rsidP="00317C24">
      <w:pPr>
        <w:autoSpaceDE w:val="0"/>
        <w:autoSpaceDN w:val="0"/>
        <w:adjustRightInd w:val="0"/>
        <w:ind w:left="1985" w:hanging="851"/>
        <w:jc w:val="both"/>
        <w:rPr>
          <w:rFonts w:ascii="Book Antiqua" w:hAnsi="Book Antiqua" w:cs="Arial"/>
          <w:sz w:val="20"/>
          <w:szCs w:val="20"/>
        </w:rPr>
      </w:pPr>
      <w:r w:rsidRPr="001860F1">
        <w:rPr>
          <w:rFonts w:ascii="Book Antiqua" w:hAnsi="Book Antiqua" w:cs="Arial"/>
          <w:sz w:val="20"/>
          <w:szCs w:val="20"/>
        </w:rPr>
        <w:t>“7.2.1</w:t>
      </w:r>
      <w:r w:rsidRPr="001860F1">
        <w:rPr>
          <w:rFonts w:ascii="Book Antiqua" w:hAnsi="Book Antiqua" w:cs="Arial"/>
          <w:sz w:val="20"/>
          <w:szCs w:val="20"/>
        </w:rPr>
        <w:tab/>
        <w:t>The UNS</w:t>
      </w:r>
      <w:r w:rsidR="00010842" w:rsidRPr="001860F1">
        <w:rPr>
          <w:rFonts w:ascii="Book Antiqua" w:hAnsi="Book Antiqua" w:cs="Arial"/>
          <w:sz w:val="20"/>
          <w:szCs w:val="20"/>
        </w:rPr>
        <w:t>G</w:t>
      </w:r>
      <w:r w:rsidRPr="001860F1">
        <w:rPr>
          <w:rFonts w:ascii="Book Antiqua" w:hAnsi="Book Antiqua" w:cs="Arial"/>
          <w:sz w:val="20"/>
          <w:szCs w:val="20"/>
        </w:rPr>
        <w:t xml:space="preserve"> reported that the United Nations recorded 22,634 security incidents in 2015, a 3 per cent increase compared to 2014.  Of those security incidents, 70 per cent occurred in southern, eastern and south-eastern regions, with Ghazni, Helmand, Kandahar, Kunar and Nangarhar being the most volatile provinces.  The report added:</w:t>
      </w:r>
    </w:p>
    <w:p w:rsidR="00A0097C" w:rsidRPr="001860F1" w:rsidRDefault="00A0097C" w:rsidP="00A0097C">
      <w:pPr>
        <w:autoSpaceDE w:val="0"/>
        <w:autoSpaceDN w:val="0"/>
        <w:adjustRightInd w:val="0"/>
        <w:ind w:left="1985" w:hanging="851"/>
        <w:jc w:val="both"/>
        <w:rPr>
          <w:rFonts w:ascii="Book Antiqua" w:hAnsi="Book Antiqua" w:cs="Arial"/>
          <w:sz w:val="20"/>
          <w:szCs w:val="20"/>
        </w:rPr>
      </w:pPr>
    </w:p>
    <w:p w:rsidR="00A0097C" w:rsidRPr="001860F1" w:rsidRDefault="00A0097C" w:rsidP="00317C24">
      <w:pPr>
        <w:autoSpaceDE w:val="0"/>
        <w:autoSpaceDN w:val="0"/>
        <w:adjustRightInd w:val="0"/>
        <w:ind w:left="2552"/>
        <w:jc w:val="both"/>
        <w:rPr>
          <w:rFonts w:ascii="Book Antiqua" w:hAnsi="Book Antiqua" w:cs="Arial"/>
          <w:sz w:val="20"/>
          <w:szCs w:val="20"/>
        </w:rPr>
      </w:pPr>
      <w:r w:rsidRPr="001860F1">
        <w:rPr>
          <w:rFonts w:ascii="Book Antiqua" w:hAnsi="Book Antiqua" w:cs="Arial"/>
          <w:sz w:val="20"/>
          <w:szCs w:val="20"/>
        </w:rPr>
        <w:t>‘The Taliban expanded its territorial reach in 2015, temporarily capturing 24 district centres in the north (in Badakhshan, Baghlan, Faryab, Jawzjan, Kunduz, Sari Pul and Takhar provinces), in the west (in Badghis and Fara</w:t>
      </w:r>
      <w:r w:rsidR="00C27E3E" w:rsidRPr="001860F1">
        <w:rPr>
          <w:rFonts w:ascii="Book Antiqua" w:hAnsi="Book Antiqua" w:cs="Arial"/>
          <w:sz w:val="20"/>
          <w:szCs w:val="20"/>
        </w:rPr>
        <w:t>h</w:t>
      </w:r>
      <w:r w:rsidRPr="001860F1">
        <w:rPr>
          <w:rFonts w:ascii="Book Antiqua" w:hAnsi="Book Antiqua" w:cs="Arial"/>
          <w:sz w:val="20"/>
          <w:szCs w:val="20"/>
        </w:rPr>
        <w:t xml:space="preserve"> provinces), in the east (in Nuristan Province) and in the south (in Helmand and Kandahar provinces), in addition to temporarily seizing the provincial capital of Kunduz.  </w:t>
      </w:r>
      <w:r w:rsidR="00C27E3E" w:rsidRPr="001860F1">
        <w:rPr>
          <w:rFonts w:ascii="Book Antiqua" w:hAnsi="Book Antiqua" w:cs="Arial"/>
          <w:sz w:val="20"/>
          <w:szCs w:val="20"/>
        </w:rPr>
        <w:t xml:space="preserve">This represents a significant increase compared with 2014, when the Taliban </w:t>
      </w:r>
      <w:r w:rsidR="00C27E3E" w:rsidRPr="001860F1">
        <w:rPr>
          <w:rFonts w:ascii="Book Antiqua" w:hAnsi="Book Antiqua" w:cs="Arial"/>
          <w:sz w:val="20"/>
          <w:szCs w:val="20"/>
        </w:rPr>
        <w:lastRenderedPageBreak/>
        <w:t>captured only three centres.  Even though most district centres were quickly retaken by pro-government forces, several remained until Taliban control for weeks, including Faryab, Helmand, Kunduz, S</w:t>
      </w:r>
      <w:r w:rsidR="00010842" w:rsidRPr="001860F1">
        <w:rPr>
          <w:rFonts w:ascii="Book Antiqua" w:hAnsi="Book Antiqua" w:cs="Arial"/>
          <w:sz w:val="20"/>
          <w:szCs w:val="20"/>
        </w:rPr>
        <w:t>ari P</w:t>
      </w:r>
      <w:r w:rsidR="00317C24" w:rsidRPr="001860F1">
        <w:rPr>
          <w:rFonts w:ascii="Book Antiqua" w:hAnsi="Book Antiqua" w:cs="Arial"/>
          <w:sz w:val="20"/>
          <w:szCs w:val="20"/>
        </w:rPr>
        <w:t>ul and Takhar provinces.’</w:t>
      </w:r>
    </w:p>
    <w:p w:rsidR="00A0097C" w:rsidRPr="001860F1" w:rsidRDefault="00A0097C" w:rsidP="00A0097C">
      <w:pPr>
        <w:autoSpaceDE w:val="0"/>
        <w:autoSpaceDN w:val="0"/>
        <w:adjustRightInd w:val="0"/>
        <w:ind w:left="2127" w:hanging="993"/>
        <w:jc w:val="both"/>
        <w:rPr>
          <w:rFonts w:ascii="Book Antiqua" w:hAnsi="Book Antiqua" w:cs="Arial"/>
          <w:sz w:val="20"/>
          <w:szCs w:val="20"/>
        </w:rPr>
      </w:pPr>
    </w:p>
    <w:p w:rsidR="00C27E3E" w:rsidRPr="001860F1" w:rsidRDefault="00C27E3E" w:rsidP="00317C24">
      <w:pPr>
        <w:autoSpaceDE w:val="0"/>
        <w:autoSpaceDN w:val="0"/>
        <w:adjustRightInd w:val="0"/>
        <w:ind w:left="1985" w:hanging="851"/>
        <w:jc w:val="both"/>
        <w:rPr>
          <w:rFonts w:ascii="Book Antiqua" w:hAnsi="Book Antiqua" w:cs="Arial"/>
          <w:sz w:val="20"/>
          <w:szCs w:val="20"/>
        </w:rPr>
      </w:pPr>
      <w:r w:rsidRPr="001860F1">
        <w:rPr>
          <w:rFonts w:ascii="Book Antiqua" w:hAnsi="Book Antiqua" w:cs="Arial"/>
          <w:sz w:val="20"/>
          <w:szCs w:val="20"/>
        </w:rPr>
        <w:t>7.4.1</w:t>
      </w:r>
      <w:r w:rsidRPr="001860F1">
        <w:rPr>
          <w:rFonts w:ascii="Book Antiqua" w:hAnsi="Book Antiqua" w:cs="Arial"/>
          <w:sz w:val="20"/>
          <w:szCs w:val="20"/>
        </w:rPr>
        <w:tab/>
        <w:t>The US Department of Defen</w:t>
      </w:r>
      <w:r w:rsidR="00317C24" w:rsidRPr="001860F1">
        <w:rPr>
          <w:rFonts w:ascii="Book Antiqua" w:hAnsi="Book Antiqua" w:cs="Arial"/>
          <w:sz w:val="20"/>
          <w:szCs w:val="20"/>
        </w:rPr>
        <w:t>c</w:t>
      </w:r>
      <w:r w:rsidRPr="001860F1">
        <w:rPr>
          <w:rFonts w:ascii="Book Antiqua" w:hAnsi="Book Antiqua" w:cs="Arial"/>
          <w:sz w:val="20"/>
          <w:szCs w:val="20"/>
        </w:rPr>
        <w:t>e reported in December 2015</w:t>
      </w:r>
      <w:r w:rsidR="00010842" w:rsidRPr="001860F1">
        <w:rPr>
          <w:rFonts w:ascii="Book Antiqua" w:hAnsi="Book Antiqua" w:cs="Arial"/>
          <w:sz w:val="20"/>
          <w:szCs w:val="20"/>
        </w:rPr>
        <w:t xml:space="preserve"> that</w:t>
      </w:r>
      <w:r w:rsidRPr="001860F1">
        <w:rPr>
          <w:rFonts w:ascii="Book Antiqua" w:hAnsi="Book Antiqua" w:cs="Arial"/>
          <w:sz w:val="20"/>
          <w:szCs w:val="20"/>
        </w:rPr>
        <w:t xml:space="preserve">: </w:t>
      </w:r>
    </w:p>
    <w:p w:rsidR="00C27E3E" w:rsidRPr="001860F1" w:rsidRDefault="00C27E3E" w:rsidP="00A0097C">
      <w:pPr>
        <w:autoSpaceDE w:val="0"/>
        <w:autoSpaceDN w:val="0"/>
        <w:adjustRightInd w:val="0"/>
        <w:ind w:left="2127" w:hanging="993"/>
        <w:jc w:val="both"/>
        <w:rPr>
          <w:rFonts w:ascii="Book Antiqua" w:hAnsi="Book Antiqua" w:cs="Arial"/>
          <w:sz w:val="20"/>
          <w:szCs w:val="20"/>
        </w:rPr>
      </w:pPr>
    </w:p>
    <w:p w:rsidR="00C27E3E" w:rsidRPr="001860F1" w:rsidRDefault="00C27E3E" w:rsidP="00317C24">
      <w:pPr>
        <w:autoSpaceDE w:val="0"/>
        <w:autoSpaceDN w:val="0"/>
        <w:adjustRightInd w:val="0"/>
        <w:ind w:left="2552"/>
        <w:jc w:val="both"/>
        <w:rPr>
          <w:rFonts w:ascii="Book Antiqua" w:hAnsi="Book Antiqua" w:cs="Arial"/>
          <w:sz w:val="20"/>
          <w:szCs w:val="20"/>
        </w:rPr>
      </w:pPr>
      <w:r w:rsidRPr="001860F1">
        <w:rPr>
          <w:rFonts w:ascii="Book Antiqua" w:hAnsi="Book Antiqua" w:cs="Arial"/>
          <w:sz w:val="20"/>
          <w:szCs w:val="20"/>
        </w:rPr>
        <w:t>‘The Afghan government retains control of Kabul, major transit routes, provincial capitals</w:t>
      </w:r>
      <w:r w:rsidR="00317C24" w:rsidRPr="001860F1">
        <w:rPr>
          <w:rFonts w:ascii="Book Antiqua" w:hAnsi="Book Antiqua" w:cs="Arial"/>
          <w:sz w:val="20"/>
          <w:szCs w:val="20"/>
        </w:rPr>
        <w:t>, and nearly all district centre</w:t>
      </w:r>
      <w:r w:rsidRPr="001860F1">
        <w:rPr>
          <w:rFonts w:ascii="Book Antiqua" w:hAnsi="Book Antiqua" w:cs="Arial"/>
          <w:sz w:val="20"/>
          <w:szCs w:val="20"/>
        </w:rPr>
        <w:t>s.  The ANDSF are generally capable and effective at protecting the major population centres, or not allowing the Taliban to maintain their hold for a prolonged period of time.  At the same time, the Taliban have proven capable of taking rural areas and contesting key terrain in areas such as Helmand while continuing to conduct high-profile attacks (HPA) in Kabul.  From January 1 to November 16, 2015, there were 28 HPAs in Kabul, a 27 percent increase compared to the same time period in 2012.’</w:t>
      </w:r>
    </w:p>
    <w:p w:rsidR="00C27E3E" w:rsidRPr="001860F1" w:rsidRDefault="00C27E3E" w:rsidP="00C27E3E">
      <w:pPr>
        <w:autoSpaceDE w:val="0"/>
        <w:autoSpaceDN w:val="0"/>
        <w:adjustRightInd w:val="0"/>
        <w:jc w:val="both"/>
        <w:rPr>
          <w:rFonts w:ascii="Book Antiqua" w:hAnsi="Book Antiqua" w:cs="Arial"/>
          <w:sz w:val="20"/>
          <w:szCs w:val="20"/>
        </w:rPr>
      </w:pPr>
    </w:p>
    <w:p w:rsidR="005E4E00" w:rsidRPr="001860F1" w:rsidRDefault="00C27E3E" w:rsidP="00317C24">
      <w:pPr>
        <w:autoSpaceDE w:val="0"/>
        <w:autoSpaceDN w:val="0"/>
        <w:adjustRightInd w:val="0"/>
        <w:ind w:left="1985" w:hanging="851"/>
        <w:jc w:val="both"/>
        <w:rPr>
          <w:rFonts w:ascii="Book Antiqua" w:hAnsi="Book Antiqua" w:cs="Arial"/>
          <w:sz w:val="20"/>
          <w:szCs w:val="20"/>
        </w:rPr>
      </w:pPr>
      <w:r w:rsidRPr="001860F1">
        <w:rPr>
          <w:rFonts w:ascii="Book Antiqua" w:hAnsi="Book Antiqua" w:cs="Arial"/>
          <w:sz w:val="20"/>
          <w:szCs w:val="20"/>
        </w:rPr>
        <w:t>7.4.2</w:t>
      </w:r>
      <w:r w:rsidRPr="001860F1">
        <w:rPr>
          <w:rFonts w:ascii="Book Antiqua" w:hAnsi="Book Antiqua" w:cs="Arial"/>
          <w:sz w:val="20"/>
          <w:szCs w:val="20"/>
        </w:rPr>
        <w:tab/>
        <w:t>The Jamestown Foundatio</w:t>
      </w:r>
      <w:r w:rsidR="005E4E00" w:rsidRPr="001860F1">
        <w:rPr>
          <w:rFonts w:ascii="Book Antiqua" w:hAnsi="Book Antiqua" w:cs="Arial"/>
          <w:sz w:val="20"/>
          <w:szCs w:val="20"/>
        </w:rPr>
        <w:t>n reported on 1 April 2016 that:</w:t>
      </w:r>
    </w:p>
    <w:p w:rsidR="005E4E00" w:rsidRPr="001860F1" w:rsidRDefault="005E4E00" w:rsidP="00C27E3E">
      <w:pPr>
        <w:autoSpaceDE w:val="0"/>
        <w:autoSpaceDN w:val="0"/>
        <w:adjustRightInd w:val="0"/>
        <w:ind w:left="1985" w:hanging="851"/>
        <w:jc w:val="both"/>
        <w:rPr>
          <w:rFonts w:ascii="Book Antiqua" w:hAnsi="Book Antiqua" w:cs="Arial"/>
          <w:sz w:val="20"/>
          <w:szCs w:val="20"/>
        </w:rPr>
      </w:pPr>
    </w:p>
    <w:p w:rsidR="00C27E3E" w:rsidRPr="001860F1" w:rsidRDefault="00C27E3E" w:rsidP="00317C24">
      <w:pPr>
        <w:autoSpaceDE w:val="0"/>
        <w:autoSpaceDN w:val="0"/>
        <w:adjustRightInd w:val="0"/>
        <w:ind w:left="2552"/>
        <w:jc w:val="both"/>
        <w:rPr>
          <w:rFonts w:ascii="Book Antiqua" w:hAnsi="Book Antiqua" w:cs="Arial"/>
          <w:sz w:val="20"/>
          <w:szCs w:val="20"/>
        </w:rPr>
      </w:pPr>
      <w:r w:rsidRPr="001860F1">
        <w:rPr>
          <w:rFonts w:ascii="Book Antiqua" w:hAnsi="Book Antiqua" w:cs="Arial"/>
          <w:sz w:val="20"/>
          <w:szCs w:val="20"/>
        </w:rPr>
        <w:t>‘Five months after the fall of Kunduz, Taliban forces started to focus on Baghlan, another strategically-located province in northern Afghanistan… By February, Taliban fighters had established strongholds in Dand-e-</w:t>
      </w:r>
      <w:r w:rsidR="00ED32FD" w:rsidRPr="001860F1">
        <w:rPr>
          <w:rFonts w:ascii="Book Antiqua" w:hAnsi="Book Antiqua" w:cs="Arial"/>
          <w:sz w:val="20"/>
          <w:szCs w:val="20"/>
        </w:rPr>
        <w:t>Ghori area, in the west of Pole-</w:t>
      </w:r>
      <w:r w:rsidRPr="001860F1">
        <w:rPr>
          <w:rFonts w:ascii="Book Antiqua" w:hAnsi="Book Antiqua" w:cs="Arial"/>
          <w:sz w:val="20"/>
          <w:szCs w:val="20"/>
        </w:rPr>
        <w:t>Khom</w:t>
      </w:r>
      <w:r w:rsidR="00ED32FD" w:rsidRPr="001860F1">
        <w:rPr>
          <w:rFonts w:ascii="Book Antiqua" w:hAnsi="Book Antiqua" w:cs="Arial"/>
          <w:sz w:val="20"/>
          <w:szCs w:val="20"/>
        </w:rPr>
        <w:t>r</w:t>
      </w:r>
      <w:r w:rsidRPr="001860F1">
        <w:rPr>
          <w:rFonts w:ascii="Book Antiqua" w:hAnsi="Book Antiqua" w:cs="Arial"/>
          <w:sz w:val="20"/>
          <w:szCs w:val="20"/>
        </w:rPr>
        <w:t>i, in Dande Shahbuddin, in Kokchenar, and in nine other villages west of Pole-Khomri.</w:t>
      </w:r>
      <w:r w:rsidR="005E4E00" w:rsidRPr="001860F1">
        <w:rPr>
          <w:rFonts w:ascii="Book Antiqua" w:hAnsi="Book Antiqua" w:cs="Arial"/>
          <w:sz w:val="20"/>
          <w:szCs w:val="20"/>
        </w:rPr>
        <w:t>’</w:t>
      </w:r>
    </w:p>
    <w:p w:rsidR="005E4E00" w:rsidRPr="005E4E00" w:rsidRDefault="005E4E00" w:rsidP="005E4E00">
      <w:pPr>
        <w:autoSpaceDE w:val="0"/>
        <w:autoSpaceDN w:val="0"/>
        <w:adjustRightInd w:val="0"/>
        <w:jc w:val="both"/>
        <w:rPr>
          <w:rFonts w:ascii="Book Antiqua" w:hAnsi="Book Antiqua" w:cs="Arial"/>
        </w:rPr>
      </w:pPr>
    </w:p>
    <w:p w:rsidR="00C27E3E" w:rsidRPr="005E4E00" w:rsidRDefault="005E4E00" w:rsidP="00317C24">
      <w:pPr>
        <w:autoSpaceDE w:val="0"/>
        <w:autoSpaceDN w:val="0"/>
        <w:adjustRightInd w:val="0"/>
        <w:ind w:left="567"/>
        <w:jc w:val="both"/>
        <w:rPr>
          <w:rFonts w:ascii="Book Antiqua" w:hAnsi="Book Antiqua" w:cs="Arial"/>
        </w:rPr>
      </w:pPr>
      <w:r w:rsidRPr="005E4E00">
        <w:rPr>
          <w:rFonts w:ascii="Book Antiqua" w:hAnsi="Book Antiqua" w:cs="Arial"/>
        </w:rPr>
        <w:t xml:space="preserve">At Section 8 of the COIR the humanitarian situation is considered in the context of internally displaced persons (IDPs).  </w:t>
      </w:r>
    </w:p>
    <w:p w:rsidR="00C27E3E" w:rsidRPr="005E4E00" w:rsidRDefault="00C27E3E" w:rsidP="005E4E00">
      <w:pPr>
        <w:autoSpaceDE w:val="0"/>
        <w:autoSpaceDN w:val="0"/>
        <w:adjustRightInd w:val="0"/>
        <w:ind w:left="567" w:hanging="567"/>
        <w:rPr>
          <w:rFonts w:ascii="Book Antiqua" w:hAnsi="Book Antiqua" w:cs="Arial"/>
          <w:color w:val="000000"/>
        </w:rPr>
      </w:pPr>
    </w:p>
    <w:p w:rsidR="00C7558F" w:rsidRDefault="005E4E00" w:rsidP="00317C24">
      <w:pPr>
        <w:ind w:left="567" w:hanging="567"/>
        <w:jc w:val="both"/>
        <w:rPr>
          <w:rFonts w:ascii="Book Antiqua" w:hAnsi="Book Antiqua" w:cs="Arial"/>
        </w:rPr>
      </w:pPr>
      <w:r w:rsidRPr="005E4E00">
        <w:rPr>
          <w:rFonts w:ascii="Book Antiqua" w:hAnsi="Book Antiqua" w:cs="Arial"/>
        </w:rPr>
        <w:t>1</w:t>
      </w:r>
      <w:r w:rsidR="00802747">
        <w:rPr>
          <w:rFonts w:ascii="Book Antiqua" w:hAnsi="Book Antiqua" w:cs="Arial"/>
        </w:rPr>
        <w:t>5</w:t>
      </w:r>
      <w:r w:rsidRPr="005E4E00">
        <w:rPr>
          <w:rFonts w:ascii="Book Antiqua" w:hAnsi="Book Antiqua" w:cs="Arial"/>
        </w:rPr>
        <w:t>.</w:t>
      </w:r>
      <w:r w:rsidRPr="005E4E00">
        <w:rPr>
          <w:rFonts w:ascii="Book Antiqua" w:hAnsi="Book Antiqua" w:cs="Arial"/>
        </w:rPr>
        <w:tab/>
        <w:t xml:space="preserve">The </w:t>
      </w:r>
      <w:r w:rsidR="00317C24">
        <w:rPr>
          <w:rFonts w:ascii="Book Antiqua" w:hAnsi="Book Antiqua" w:cs="Arial"/>
        </w:rPr>
        <w:t>Appellant</w:t>
      </w:r>
      <w:r>
        <w:rPr>
          <w:rFonts w:ascii="Book Antiqua" w:hAnsi="Book Antiqua" w:cs="Arial"/>
        </w:rPr>
        <w:t xml:space="preserve"> relie</w:t>
      </w:r>
      <w:r w:rsidR="002C5FFA">
        <w:rPr>
          <w:rFonts w:ascii="Book Antiqua" w:hAnsi="Book Antiqua" w:cs="Arial"/>
        </w:rPr>
        <w:t>d</w:t>
      </w:r>
      <w:r>
        <w:rPr>
          <w:rFonts w:ascii="Book Antiqua" w:hAnsi="Book Antiqua" w:cs="Arial"/>
        </w:rPr>
        <w:t xml:space="preserve"> on news reports </w:t>
      </w:r>
      <w:r w:rsidR="00802747">
        <w:rPr>
          <w:rFonts w:ascii="Book Antiqua" w:hAnsi="Book Antiqua" w:cs="Arial"/>
        </w:rPr>
        <w:t>of</w:t>
      </w:r>
      <w:r>
        <w:rPr>
          <w:rFonts w:ascii="Book Antiqua" w:hAnsi="Book Antiqua" w:cs="Arial"/>
        </w:rPr>
        <w:t xml:space="preserve"> violent incidents in Baghlan</w:t>
      </w:r>
      <w:r w:rsidR="00DC1723">
        <w:rPr>
          <w:rFonts w:ascii="Book Antiqua" w:hAnsi="Book Antiqua" w:cs="Arial"/>
        </w:rPr>
        <w:t>. I was</w:t>
      </w:r>
      <w:r>
        <w:rPr>
          <w:rFonts w:ascii="Book Antiqua" w:hAnsi="Book Antiqua" w:cs="Arial"/>
        </w:rPr>
        <w:t xml:space="preserve"> specifically referred to an article e</w:t>
      </w:r>
      <w:r w:rsidR="00ED32FD">
        <w:rPr>
          <w:rFonts w:ascii="Book Antiqua" w:hAnsi="Book Antiqua" w:cs="Arial"/>
        </w:rPr>
        <w:t>ntitled “Taliban brutally kill2</w:t>
      </w:r>
      <w:r>
        <w:rPr>
          <w:rFonts w:ascii="Book Antiqua" w:hAnsi="Book Antiqua" w:cs="Arial"/>
        </w:rPr>
        <w:t xml:space="preserve"> public uprising members in Baghla</w:t>
      </w:r>
      <w:r w:rsidR="00ED32FD">
        <w:rPr>
          <w:rFonts w:ascii="Book Antiqua" w:hAnsi="Book Antiqua" w:cs="Arial"/>
        </w:rPr>
        <w:t>n by gouging their eyes”, a</w:t>
      </w:r>
      <w:r>
        <w:rPr>
          <w:rFonts w:ascii="Book Antiqua" w:hAnsi="Book Antiqua" w:cs="Arial"/>
        </w:rPr>
        <w:t xml:space="preserve"> report of 12 April 2016 (page 159</w:t>
      </w:r>
      <w:r w:rsidR="00DC1723">
        <w:rPr>
          <w:rFonts w:ascii="Book Antiqua" w:hAnsi="Book Antiqua" w:cs="Arial"/>
        </w:rPr>
        <w:t>,</w:t>
      </w:r>
      <w:r>
        <w:rPr>
          <w:rFonts w:ascii="Book Antiqua" w:hAnsi="Book Antiqua" w:cs="Arial"/>
        </w:rPr>
        <w:t>AB</w:t>
      </w:r>
      <w:r w:rsidR="00DC1723">
        <w:rPr>
          <w:rFonts w:ascii="Book Antiqua" w:hAnsi="Book Antiqua" w:cs="Arial"/>
        </w:rPr>
        <w:t>1</w:t>
      </w:r>
      <w:r>
        <w:rPr>
          <w:rFonts w:ascii="Book Antiqua" w:hAnsi="Book Antiqua" w:cs="Arial"/>
        </w:rPr>
        <w:t xml:space="preserve">).  Specific reference was made by Mr Bedford to the UNHCR Eligibility Guidelines for Assessing the International </w:t>
      </w:r>
      <w:r w:rsidR="00ED32FD">
        <w:rPr>
          <w:rFonts w:ascii="Book Antiqua" w:hAnsi="Book Antiqua" w:cs="Arial"/>
        </w:rPr>
        <w:t xml:space="preserve">Protection </w:t>
      </w:r>
      <w:r>
        <w:rPr>
          <w:rFonts w:ascii="Book Antiqua" w:hAnsi="Book Antiqua" w:cs="Arial"/>
        </w:rPr>
        <w:t>Needs of Asylum Seekers from Afghanistan of 6 August 2013</w:t>
      </w:r>
      <w:r w:rsidR="00ED32FD">
        <w:rPr>
          <w:rFonts w:ascii="Book Antiqua" w:hAnsi="Book Antiqua" w:cs="Arial"/>
        </w:rPr>
        <w:t>,</w:t>
      </w:r>
      <w:r>
        <w:rPr>
          <w:rFonts w:ascii="Book Antiqua" w:hAnsi="Book Antiqua" w:cs="Arial"/>
        </w:rPr>
        <w:t xml:space="preserve"> specifically to page 40 of the document (page 260</w:t>
      </w:r>
      <w:r w:rsidR="00DC1723">
        <w:rPr>
          <w:rFonts w:ascii="Book Antiqua" w:hAnsi="Book Antiqua" w:cs="Arial"/>
        </w:rPr>
        <w:t xml:space="preserve">, </w:t>
      </w:r>
      <w:r>
        <w:rPr>
          <w:rFonts w:ascii="Book Antiqua" w:hAnsi="Book Antiqua" w:cs="Arial"/>
        </w:rPr>
        <w:t>AB</w:t>
      </w:r>
      <w:r w:rsidR="00DC1723">
        <w:rPr>
          <w:rFonts w:ascii="Book Antiqua" w:hAnsi="Book Antiqua" w:cs="Arial"/>
        </w:rPr>
        <w:t>1</w:t>
      </w:r>
      <w:r>
        <w:rPr>
          <w:rFonts w:ascii="Book Antiqua" w:hAnsi="Book Antiqua" w:cs="Arial"/>
        </w:rPr>
        <w:t xml:space="preserve">) which reads as follows: </w:t>
      </w:r>
    </w:p>
    <w:p w:rsidR="00DC1723" w:rsidRDefault="00DC1723" w:rsidP="00A06E1F">
      <w:pPr>
        <w:ind w:left="1701" w:hanging="567"/>
        <w:jc w:val="both"/>
        <w:rPr>
          <w:rFonts w:ascii="Book Antiqua" w:hAnsi="Book Antiqua" w:cs="Arial"/>
          <w:b/>
        </w:rPr>
      </w:pPr>
    </w:p>
    <w:p w:rsidR="005E4E00" w:rsidRPr="001860F1" w:rsidRDefault="005E4E00" w:rsidP="00A06E1F">
      <w:pPr>
        <w:ind w:left="1701" w:hanging="567"/>
        <w:jc w:val="both"/>
        <w:rPr>
          <w:rFonts w:ascii="Book Antiqua" w:hAnsi="Book Antiqua" w:cs="Arial"/>
          <w:b/>
          <w:sz w:val="20"/>
          <w:szCs w:val="20"/>
        </w:rPr>
      </w:pPr>
      <w:r w:rsidRPr="005E4E00">
        <w:rPr>
          <w:rFonts w:ascii="Book Antiqua" w:hAnsi="Book Antiqua" w:cs="Arial"/>
          <w:b/>
        </w:rPr>
        <w:t>“</w:t>
      </w:r>
      <w:r w:rsidRPr="001860F1">
        <w:rPr>
          <w:rFonts w:ascii="Book Antiqua" w:hAnsi="Book Antiqua" w:cs="Arial"/>
          <w:b/>
          <w:sz w:val="20"/>
          <w:szCs w:val="20"/>
        </w:rPr>
        <w:t>3.</w:t>
      </w:r>
      <w:r w:rsidRPr="001860F1">
        <w:rPr>
          <w:rFonts w:ascii="Book Antiqua" w:hAnsi="Book Antiqua" w:cs="Arial"/>
          <w:b/>
          <w:sz w:val="20"/>
          <w:szCs w:val="20"/>
        </w:rPr>
        <w:tab/>
        <w:t xml:space="preserve">Men and Boys of Fighting Age </w:t>
      </w:r>
    </w:p>
    <w:p w:rsidR="005E4E00" w:rsidRPr="001860F1" w:rsidRDefault="005E4E00" w:rsidP="005E4E00">
      <w:pPr>
        <w:ind w:left="1134"/>
        <w:jc w:val="both"/>
        <w:rPr>
          <w:rFonts w:ascii="Book Antiqua" w:hAnsi="Book Antiqua" w:cs="Arial"/>
          <w:sz w:val="20"/>
          <w:szCs w:val="20"/>
        </w:rPr>
      </w:pPr>
    </w:p>
    <w:p w:rsidR="005E4E00" w:rsidRPr="001860F1" w:rsidRDefault="005E4E00" w:rsidP="00317C24">
      <w:pPr>
        <w:autoSpaceDE w:val="0"/>
        <w:autoSpaceDN w:val="0"/>
        <w:adjustRightInd w:val="0"/>
        <w:ind w:left="1701"/>
        <w:jc w:val="both"/>
        <w:rPr>
          <w:rFonts w:ascii="Book Antiqua" w:hAnsi="Book Antiqua"/>
          <w:sz w:val="20"/>
          <w:szCs w:val="20"/>
        </w:rPr>
      </w:pPr>
      <w:r w:rsidRPr="001860F1">
        <w:rPr>
          <w:rFonts w:ascii="Book Antiqua" w:hAnsi="Book Antiqua"/>
          <w:sz w:val="20"/>
          <w:szCs w:val="20"/>
        </w:rPr>
        <w:t>In areas where AGEs exercise effective control, they are reported to use a variety of mechanisms to recruit fighters, including recruitment mechanisms based on c</w:t>
      </w:r>
      <w:r w:rsidR="00ED32FD" w:rsidRPr="001860F1">
        <w:rPr>
          <w:rFonts w:ascii="Book Antiqua" w:hAnsi="Book Antiqua"/>
          <w:sz w:val="20"/>
          <w:szCs w:val="20"/>
        </w:rPr>
        <w:t xml:space="preserve">oercive strategies.  </w:t>
      </w:r>
      <w:r w:rsidRPr="001860F1">
        <w:rPr>
          <w:rFonts w:ascii="Book Antiqua" w:hAnsi="Book Antiqua"/>
          <w:sz w:val="20"/>
          <w:szCs w:val="20"/>
        </w:rPr>
        <w:t xml:space="preserve">In a traditional form of war mobilization known as </w:t>
      </w:r>
      <w:r w:rsidRPr="001860F1">
        <w:rPr>
          <w:rFonts w:ascii="Book Antiqua" w:hAnsi="Book Antiqua"/>
          <w:i/>
          <w:iCs/>
          <w:sz w:val="20"/>
          <w:szCs w:val="20"/>
        </w:rPr>
        <w:t>lashkar</w:t>
      </w:r>
      <w:r w:rsidRPr="001860F1">
        <w:rPr>
          <w:rFonts w:ascii="Book Antiqua" w:hAnsi="Book Antiqua"/>
          <w:sz w:val="20"/>
          <w:szCs w:val="20"/>
        </w:rPr>
        <w:t>, every household is expected to contribute a man of fighting age.   In areas where AGEs exercise effective control, as well as in IDP settlements in Afghanistan, they are reported to use threats and intimidation to enforce this mechanism to recruit fighters for the insurgency. People who resist recruitment are reportedly at risk of being accused of</w:t>
      </w:r>
      <w:r w:rsidR="002731FF">
        <w:rPr>
          <w:rFonts w:ascii="Book Antiqua" w:hAnsi="Book Antiqua"/>
          <w:sz w:val="20"/>
          <w:szCs w:val="20"/>
        </w:rPr>
        <w:t xml:space="preserve"> </w:t>
      </w:r>
      <w:r w:rsidRPr="001860F1">
        <w:rPr>
          <w:rFonts w:ascii="Book Antiqua" w:hAnsi="Book Antiqua"/>
          <w:sz w:val="20"/>
          <w:szCs w:val="20"/>
        </w:rPr>
        <w:t>being a government spy and being killed or punished. There are reports of families linked to insurgency giving boys to AGEs as suicide bombers, in the hope of gaining status with the AGE in</w:t>
      </w:r>
      <w:r w:rsidR="002731FF">
        <w:rPr>
          <w:rFonts w:ascii="Book Antiqua" w:hAnsi="Book Antiqua"/>
          <w:sz w:val="20"/>
          <w:szCs w:val="20"/>
        </w:rPr>
        <w:t xml:space="preserve"> </w:t>
      </w:r>
      <w:r w:rsidRPr="001860F1">
        <w:rPr>
          <w:rFonts w:ascii="Book Antiqua" w:hAnsi="Book Antiqua"/>
          <w:sz w:val="20"/>
          <w:szCs w:val="20"/>
        </w:rPr>
        <w:t>question.</w:t>
      </w:r>
    </w:p>
    <w:p w:rsidR="002E5A58" w:rsidRPr="001860F1" w:rsidRDefault="002E5A58" w:rsidP="00317C24">
      <w:pPr>
        <w:autoSpaceDE w:val="0"/>
        <w:autoSpaceDN w:val="0"/>
        <w:adjustRightInd w:val="0"/>
        <w:ind w:left="1701"/>
        <w:jc w:val="both"/>
        <w:rPr>
          <w:rFonts w:ascii="Book Antiqua" w:hAnsi="Book Antiqua"/>
          <w:sz w:val="20"/>
          <w:szCs w:val="20"/>
        </w:rPr>
      </w:pPr>
    </w:p>
    <w:p w:rsidR="002E5A58" w:rsidRPr="001860F1" w:rsidRDefault="002E5A58" w:rsidP="00317C24">
      <w:pPr>
        <w:autoSpaceDE w:val="0"/>
        <w:autoSpaceDN w:val="0"/>
        <w:adjustRightInd w:val="0"/>
        <w:ind w:left="1701"/>
        <w:jc w:val="both"/>
        <w:rPr>
          <w:rFonts w:ascii="Book Antiqua" w:hAnsi="Book Antiqua"/>
          <w:sz w:val="20"/>
          <w:szCs w:val="20"/>
        </w:rPr>
      </w:pPr>
      <w:r w:rsidRPr="001860F1">
        <w:rPr>
          <w:rFonts w:ascii="Book Antiqua" w:hAnsi="Book Antiqua"/>
          <w:sz w:val="20"/>
          <w:szCs w:val="20"/>
        </w:rPr>
        <w:t xml:space="preserve">ALP commanders have also been reported to forcibly recruit local community members, including both adult men and children, into ALP forces.  </w:t>
      </w:r>
    </w:p>
    <w:p w:rsidR="002E5A58" w:rsidRPr="001860F1" w:rsidRDefault="002E5A58" w:rsidP="00317C24">
      <w:pPr>
        <w:autoSpaceDE w:val="0"/>
        <w:autoSpaceDN w:val="0"/>
        <w:adjustRightInd w:val="0"/>
        <w:ind w:left="1701"/>
        <w:jc w:val="both"/>
        <w:rPr>
          <w:rFonts w:ascii="Book Antiqua" w:hAnsi="Book Antiqua"/>
          <w:sz w:val="20"/>
          <w:szCs w:val="20"/>
        </w:rPr>
      </w:pPr>
    </w:p>
    <w:p w:rsidR="002E5A58" w:rsidRPr="001860F1" w:rsidRDefault="002E5A58" w:rsidP="00317C24">
      <w:pPr>
        <w:autoSpaceDE w:val="0"/>
        <w:autoSpaceDN w:val="0"/>
        <w:adjustRightInd w:val="0"/>
        <w:ind w:left="1701"/>
        <w:jc w:val="both"/>
        <w:rPr>
          <w:rFonts w:ascii="Book Antiqua" w:hAnsi="Book Antiqua"/>
          <w:sz w:val="20"/>
          <w:szCs w:val="20"/>
        </w:rPr>
      </w:pPr>
      <w:r w:rsidRPr="001860F1">
        <w:rPr>
          <w:rFonts w:ascii="Book Antiqua" w:hAnsi="Book Antiqua"/>
          <w:sz w:val="20"/>
          <w:szCs w:val="20"/>
        </w:rPr>
        <w:t>In light of the forgoing</w:t>
      </w:r>
      <w:r w:rsidR="00ED32FD" w:rsidRPr="001860F1">
        <w:rPr>
          <w:rFonts w:ascii="Book Antiqua" w:hAnsi="Book Antiqua"/>
          <w:sz w:val="20"/>
          <w:szCs w:val="20"/>
        </w:rPr>
        <w:t>, UNHR considers that, depending</w:t>
      </w:r>
      <w:r w:rsidRPr="001860F1">
        <w:rPr>
          <w:rFonts w:ascii="Book Antiqua" w:hAnsi="Book Antiqua"/>
          <w:sz w:val="20"/>
          <w:szCs w:val="20"/>
        </w:rPr>
        <w:t xml:space="preserve"> on the specific circumstances of the case, men and boys of fighting age living in areas under the effective control of AGEs, or in areas where pro-government forces and AGEs are engaged in a struggle for control, may be in</w:t>
      </w:r>
      <w:r w:rsidR="00ED32FD" w:rsidRPr="001860F1">
        <w:rPr>
          <w:rFonts w:ascii="Book Antiqua" w:hAnsi="Book Antiqua"/>
          <w:sz w:val="20"/>
          <w:szCs w:val="20"/>
        </w:rPr>
        <w:t xml:space="preserve"> need</w:t>
      </w:r>
      <w:r w:rsidRPr="001860F1">
        <w:rPr>
          <w:rFonts w:ascii="Book Antiqua" w:hAnsi="Book Antiqua"/>
          <w:sz w:val="20"/>
          <w:szCs w:val="20"/>
        </w:rPr>
        <w:t xml:space="preserve"> of international refugee protection on the ground of their membership of a particular social group.  Depending on the specific circumstance of the case, men and boys </w:t>
      </w:r>
      <w:r w:rsidRPr="001860F1">
        <w:rPr>
          <w:rFonts w:ascii="Book Antiqua" w:hAnsi="Book Antiqua"/>
          <w:sz w:val="20"/>
          <w:szCs w:val="20"/>
        </w:rPr>
        <w:lastRenderedPageBreak/>
        <w:t>of fighting age living in areas where ALP commanders are in a sufficiently powerful position to forcibly recruit community members in</w:t>
      </w:r>
      <w:r w:rsidR="00ED32FD" w:rsidRPr="001860F1">
        <w:rPr>
          <w:rFonts w:ascii="Book Antiqua" w:hAnsi="Book Antiqua"/>
          <w:sz w:val="20"/>
          <w:szCs w:val="20"/>
        </w:rPr>
        <w:t>to</w:t>
      </w:r>
      <w:r w:rsidRPr="001860F1">
        <w:rPr>
          <w:rFonts w:ascii="Book Antiqua" w:hAnsi="Book Antiqua"/>
          <w:sz w:val="20"/>
          <w:szCs w:val="20"/>
        </w:rPr>
        <w:t xml:space="preserve"> the ALP may equally be in need of international refugee protection on the ground of their membership of a particular social group.  Men and boys who resist forced recruitment may also be in need of international refugee protection on the ground of their (imputed) political opinion.  Depending on the specific circumstances of the case, family members of men and boys with this profile may be in need of international protection on the basis of their association with individuals at risk;”</w:t>
      </w:r>
    </w:p>
    <w:p w:rsidR="00850C89" w:rsidRPr="00850C89" w:rsidRDefault="00850C89" w:rsidP="002E5A58">
      <w:pPr>
        <w:autoSpaceDE w:val="0"/>
        <w:autoSpaceDN w:val="0"/>
        <w:adjustRightInd w:val="0"/>
        <w:ind w:left="567" w:hanging="567"/>
        <w:jc w:val="both"/>
        <w:rPr>
          <w:rFonts w:ascii="Book Antiqua" w:hAnsi="Book Antiqua"/>
          <w:b/>
          <w:u w:val="single"/>
        </w:rPr>
      </w:pPr>
    </w:p>
    <w:p w:rsidR="00FB15A4" w:rsidRPr="00FB15A4" w:rsidRDefault="00FB15A4" w:rsidP="00317C24">
      <w:pPr>
        <w:autoSpaceDE w:val="0"/>
        <w:autoSpaceDN w:val="0"/>
        <w:adjustRightInd w:val="0"/>
        <w:ind w:left="567" w:hanging="567"/>
        <w:jc w:val="both"/>
        <w:rPr>
          <w:rFonts w:ascii="Book Antiqua" w:hAnsi="Book Antiqua"/>
          <w:i/>
        </w:rPr>
      </w:pPr>
      <w:r w:rsidRPr="00FB15A4">
        <w:rPr>
          <w:rFonts w:ascii="Book Antiqua" w:hAnsi="Book Antiqua"/>
          <w:i/>
        </w:rPr>
        <w:t xml:space="preserve">The </w:t>
      </w:r>
      <w:r w:rsidR="00DA36C6">
        <w:rPr>
          <w:rFonts w:ascii="Book Antiqua" w:hAnsi="Book Antiqua"/>
          <w:i/>
        </w:rPr>
        <w:t>d</w:t>
      </w:r>
      <w:r w:rsidRPr="00FB15A4">
        <w:rPr>
          <w:rFonts w:ascii="Book Antiqua" w:hAnsi="Book Antiqua"/>
          <w:i/>
        </w:rPr>
        <w:t xml:space="preserve">ecision of </w:t>
      </w:r>
      <w:r w:rsidR="00CB0302">
        <w:rPr>
          <w:rFonts w:ascii="Book Antiqua" w:hAnsi="Book Antiqua"/>
          <w:i/>
        </w:rPr>
        <w:t>the first-judge</w:t>
      </w:r>
    </w:p>
    <w:p w:rsidR="00FB15A4" w:rsidRPr="00FB15A4" w:rsidRDefault="00FB15A4" w:rsidP="00317C24">
      <w:pPr>
        <w:autoSpaceDE w:val="0"/>
        <w:autoSpaceDN w:val="0"/>
        <w:adjustRightInd w:val="0"/>
        <w:ind w:left="567" w:hanging="567"/>
        <w:jc w:val="both"/>
        <w:rPr>
          <w:rFonts w:ascii="Book Antiqua" w:hAnsi="Book Antiqua"/>
          <w:i/>
        </w:rPr>
      </w:pPr>
    </w:p>
    <w:p w:rsidR="00F37B72" w:rsidRDefault="00F27119" w:rsidP="00317C24">
      <w:pPr>
        <w:autoSpaceDE w:val="0"/>
        <w:autoSpaceDN w:val="0"/>
        <w:adjustRightInd w:val="0"/>
        <w:ind w:left="567" w:hanging="567"/>
        <w:jc w:val="both"/>
        <w:rPr>
          <w:rFonts w:ascii="Book Antiqua" w:hAnsi="Book Antiqua"/>
        </w:rPr>
      </w:pPr>
      <w:r>
        <w:rPr>
          <w:rFonts w:ascii="Book Antiqua" w:hAnsi="Book Antiqua"/>
        </w:rPr>
        <w:t>1</w:t>
      </w:r>
      <w:r w:rsidR="00802747">
        <w:rPr>
          <w:rFonts w:ascii="Book Antiqua" w:hAnsi="Book Antiqua"/>
        </w:rPr>
        <w:t>6</w:t>
      </w:r>
      <w:r w:rsidR="00F37B72">
        <w:rPr>
          <w:rFonts w:ascii="Book Antiqua" w:hAnsi="Book Antiqua"/>
        </w:rPr>
        <w:t>.</w:t>
      </w:r>
      <w:r w:rsidR="00F37B72">
        <w:rPr>
          <w:rFonts w:ascii="Book Antiqua" w:hAnsi="Book Antiqua"/>
        </w:rPr>
        <w:tab/>
        <w:t>In relation to the issue of tracing</w:t>
      </w:r>
      <w:r w:rsidR="002C5FFA">
        <w:rPr>
          <w:rFonts w:ascii="Book Antiqua" w:hAnsi="Book Antiqua"/>
        </w:rPr>
        <w:t xml:space="preserve"> the first judge stated in </w:t>
      </w:r>
      <w:r w:rsidR="00F37B72">
        <w:rPr>
          <w:rFonts w:ascii="Book Antiqua" w:hAnsi="Book Antiqua"/>
        </w:rPr>
        <w:t>20</w:t>
      </w:r>
      <w:r w:rsidR="00A22F48">
        <w:rPr>
          <w:rFonts w:ascii="Book Antiqua" w:hAnsi="Book Antiqua"/>
        </w:rPr>
        <w:t>14</w:t>
      </w:r>
      <w:r w:rsidR="00F37B72">
        <w:rPr>
          <w:rFonts w:ascii="Book Antiqua" w:hAnsi="Book Antiqua"/>
        </w:rPr>
        <w:t xml:space="preserve"> as follows:-</w:t>
      </w:r>
    </w:p>
    <w:p w:rsidR="00F37B72" w:rsidRDefault="00F37B72" w:rsidP="00F37B72">
      <w:pPr>
        <w:autoSpaceDE w:val="0"/>
        <w:autoSpaceDN w:val="0"/>
        <w:adjustRightInd w:val="0"/>
        <w:jc w:val="both"/>
        <w:rPr>
          <w:rFonts w:ascii="Book Antiqua" w:hAnsi="Book Antiqua"/>
        </w:rPr>
      </w:pPr>
    </w:p>
    <w:p w:rsidR="00F37B72" w:rsidRDefault="00F37B72" w:rsidP="00317C24">
      <w:pPr>
        <w:autoSpaceDE w:val="0"/>
        <w:autoSpaceDN w:val="0"/>
        <w:adjustRightInd w:val="0"/>
        <w:ind w:left="1701" w:hanging="567"/>
        <w:jc w:val="both"/>
        <w:rPr>
          <w:rFonts w:ascii="Book Antiqua" w:hAnsi="Book Antiqua"/>
        </w:rPr>
      </w:pPr>
      <w:r>
        <w:rPr>
          <w:rFonts w:ascii="Book Antiqua" w:hAnsi="Book Antiqua"/>
        </w:rPr>
        <w:t>“9.</w:t>
      </w:r>
      <w:r>
        <w:rPr>
          <w:rFonts w:ascii="Book Antiqua" w:hAnsi="Book Antiqua"/>
        </w:rPr>
        <w:tab/>
        <w:t xml:space="preserve">The issue of tracing had been considered in the refusal.  The </w:t>
      </w:r>
      <w:r w:rsidR="00317C24">
        <w:rPr>
          <w:rFonts w:ascii="Book Antiqua" w:hAnsi="Book Antiqua"/>
        </w:rPr>
        <w:t>Appellant</w:t>
      </w:r>
      <w:r>
        <w:rPr>
          <w:rFonts w:ascii="Book Antiqua" w:hAnsi="Book Antiqua"/>
        </w:rPr>
        <w:t xml:space="preserve"> knew his mother’s name but very little other detail.  He said that his family were no longer in Afghanistan so tracing would be difficult.  There was a low burden of proof but it was still a standard to be met.  If his brother’s work for the government</w:t>
      </w:r>
      <w:r w:rsidR="008D00CF">
        <w:rPr>
          <w:rFonts w:ascii="Book Antiqua" w:hAnsi="Book Antiqua"/>
        </w:rPr>
        <w:t>,</w:t>
      </w:r>
      <w:r>
        <w:rPr>
          <w:rFonts w:ascii="Book Antiqua" w:hAnsi="Book Antiqua"/>
        </w:rPr>
        <w:t xml:space="preserve"> to the degree that they were away for months at a time then it was reasonable to expect his representatives to try and get a letter from the authorities given that </w:t>
      </w:r>
      <w:r w:rsidR="00802747">
        <w:rPr>
          <w:rFonts w:ascii="Book Antiqua" w:hAnsi="Book Antiqua"/>
        </w:rPr>
        <w:t>h</w:t>
      </w:r>
      <w:r>
        <w:rPr>
          <w:rFonts w:ascii="Book Antiqua" w:hAnsi="Book Antiqua"/>
        </w:rPr>
        <w:t xml:space="preserve">is brothers were said to have been murdered in the service of government.  The Presenting Officer relied on </w:t>
      </w:r>
      <w:r w:rsidRPr="00B254EA">
        <w:rPr>
          <w:rFonts w:ascii="Book Antiqua" w:hAnsi="Book Antiqua"/>
          <w:u w:val="single"/>
        </w:rPr>
        <w:t>TK</w:t>
      </w:r>
      <w:r w:rsidRPr="00B254EA">
        <w:rPr>
          <w:rFonts w:ascii="Book Antiqua" w:hAnsi="Book Antiqua"/>
        </w:rPr>
        <w:t xml:space="preserve"> Burundi</w:t>
      </w:r>
      <w:r w:rsidR="002731FF">
        <w:rPr>
          <w:rFonts w:ascii="Book Antiqua" w:hAnsi="Book Antiqua"/>
        </w:rPr>
        <w:t xml:space="preserve"> </w:t>
      </w:r>
      <w:r>
        <w:rPr>
          <w:rFonts w:ascii="Book Antiqua" w:hAnsi="Book Antiqua"/>
        </w:rPr>
        <w:t>to submit that inference</w:t>
      </w:r>
      <w:r w:rsidR="00B254EA">
        <w:rPr>
          <w:rFonts w:ascii="Book Antiqua" w:hAnsi="Book Antiqua"/>
        </w:rPr>
        <w:t>s</w:t>
      </w:r>
      <w:r>
        <w:rPr>
          <w:rFonts w:ascii="Book Antiqua" w:hAnsi="Book Antiqua"/>
        </w:rPr>
        <w:t xml:space="preserve"> could be drawn from the lack of evidence in circumstances where it was reasonable to obtain </w:t>
      </w:r>
      <w:r w:rsidR="00317C24">
        <w:rPr>
          <w:rFonts w:ascii="Book Antiqua" w:hAnsi="Book Antiqua"/>
        </w:rPr>
        <w:t>corroborative</w:t>
      </w:r>
      <w:r>
        <w:rPr>
          <w:rFonts w:ascii="Book Antiqua" w:hAnsi="Book Antiqua"/>
        </w:rPr>
        <w:t xml:space="preserve"> evidence.  Reference was also made to paragraphs 35 – 37 of the case </w:t>
      </w:r>
      <w:r w:rsidRPr="00317C24">
        <w:rPr>
          <w:rFonts w:ascii="Book Antiqua" w:hAnsi="Book Antiqua"/>
          <w:u w:val="single"/>
        </w:rPr>
        <w:t>AA</w:t>
      </w:r>
      <w:r w:rsidRPr="00317C24">
        <w:rPr>
          <w:rFonts w:ascii="Book Antiqua" w:hAnsi="Book Antiqua"/>
        </w:rPr>
        <w:t xml:space="preserve"> [2012] UKUT 0016</w:t>
      </w:r>
      <w:r>
        <w:rPr>
          <w:rFonts w:ascii="Book Antiqua" w:hAnsi="Book Antiqua"/>
        </w:rPr>
        <w:t xml:space="preserve"> to consider in the assessment of humanitarian protection: such a claim was not made out simply on the basis that being in Afghanistan puts him at risk.  He had discretionary leave to remain until 2016</w:t>
      </w:r>
      <w:r w:rsidR="00802747">
        <w:rPr>
          <w:rFonts w:ascii="Book Antiqua" w:hAnsi="Book Antiqua"/>
        </w:rPr>
        <w:t>.</w:t>
      </w:r>
    </w:p>
    <w:p w:rsidR="00802747" w:rsidRDefault="00802747" w:rsidP="00317C24">
      <w:pPr>
        <w:autoSpaceDE w:val="0"/>
        <w:autoSpaceDN w:val="0"/>
        <w:adjustRightInd w:val="0"/>
        <w:ind w:left="1701" w:hanging="567"/>
        <w:jc w:val="both"/>
        <w:rPr>
          <w:rFonts w:ascii="Book Antiqua" w:hAnsi="Book Antiqua"/>
        </w:rPr>
      </w:pPr>
    </w:p>
    <w:p w:rsidR="00802747" w:rsidRDefault="00802747" w:rsidP="00317C24">
      <w:pPr>
        <w:autoSpaceDE w:val="0"/>
        <w:autoSpaceDN w:val="0"/>
        <w:adjustRightInd w:val="0"/>
        <w:ind w:left="1701" w:hanging="567"/>
        <w:jc w:val="both"/>
        <w:rPr>
          <w:rFonts w:ascii="Book Antiqua" w:hAnsi="Book Antiqua"/>
        </w:rPr>
      </w:pPr>
      <w:r>
        <w:rPr>
          <w:rFonts w:ascii="Book Antiqua" w:hAnsi="Book Antiqua"/>
        </w:rPr>
        <w:t>…</w:t>
      </w:r>
    </w:p>
    <w:p w:rsidR="00F37B72" w:rsidRDefault="00F37B72" w:rsidP="00317C24">
      <w:pPr>
        <w:autoSpaceDE w:val="0"/>
        <w:autoSpaceDN w:val="0"/>
        <w:adjustRightInd w:val="0"/>
        <w:ind w:left="1701" w:hanging="567"/>
        <w:jc w:val="both"/>
        <w:rPr>
          <w:rFonts w:ascii="Book Antiqua" w:hAnsi="Book Antiqua"/>
        </w:rPr>
      </w:pPr>
    </w:p>
    <w:p w:rsidR="00C83D23" w:rsidRDefault="00F37B72" w:rsidP="00317C24">
      <w:pPr>
        <w:autoSpaceDE w:val="0"/>
        <w:autoSpaceDN w:val="0"/>
        <w:adjustRightInd w:val="0"/>
        <w:ind w:left="1701" w:hanging="567"/>
        <w:jc w:val="both"/>
        <w:rPr>
          <w:rFonts w:ascii="Book Antiqua" w:hAnsi="Book Antiqua"/>
        </w:rPr>
      </w:pPr>
      <w:r>
        <w:rPr>
          <w:rFonts w:ascii="Book Antiqua" w:hAnsi="Book Antiqua"/>
        </w:rPr>
        <w:t>23.</w:t>
      </w:r>
      <w:r>
        <w:rPr>
          <w:rFonts w:ascii="Book Antiqua" w:hAnsi="Book Antiqua"/>
        </w:rPr>
        <w:tab/>
        <w:t xml:space="preserve">Given his age he cannot be expected to know more than he has said, </w:t>
      </w:r>
      <w:r w:rsidR="00C83D23">
        <w:rPr>
          <w:rFonts w:ascii="Book Antiqua" w:hAnsi="Book Antiqua"/>
        </w:rPr>
        <w:t xml:space="preserve">but his evidence raises a question about the various possible reasons why his mother and brother-in-law might have sent [AKA] to the United Kingdom.  As was said by the Court of Appeal at paragraph 4 of </w:t>
      </w:r>
      <w:r w:rsidR="00C83D23" w:rsidRPr="00317C24">
        <w:rPr>
          <w:rFonts w:ascii="Book Antiqua" w:hAnsi="Book Antiqua"/>
          <w:u w:val="single"/>
        </w:rPr>
        <w:t>AA</w:t>
      </w:r>
      <w:r w:rsidR="00C83D23">
        <w:rPr>
          <w:rFonts w:ascii="Book Antiqua" w:hAnsi="Book Antiqua"/>
        </w:rPr>
        <w:t xml:space="preserve">: </w:t>
      </w:r>
    </w:p>
    <w:p w:rsidR="00C83D23" w:rsidRDefault="00C83D23" w:rsidP="00F37B72">
      <w:pPr>
        <w:autoSpaceDE w:val="0"/>
        <w:autoSpaceDN w:val="0"/>
        <w:adjustRightInd w:val="0"/>
        <w:ind w:left="1701" w:hanging="567"/>
        <w:jc w:val="both"/>
        <w:rPr>
          <w:rFonts w:ascii="Book Antiqua" w:hAnsi="Book Antiqua"/>
        </w:rPr>
      </w:pPr>
    </w:p>
    <w:p w:rsidR="00F37B72" w:rsidRDefault="000D7340" w:rsidP="000D7340">
      <w:pPr>
        <w:autoSpaceDE w:val="0"/>
        <w:autoSpaceDN w:val="0"/>
        <w:adjustRightInd w:val="0"/>
        <w:ind w:left="2268"/>
        <w:jc w:val="both"/>
        <w:rPr>
          <w:rFonts w:ascii="Book Antiqua" w:hAnsi="Book Antiqua"/>
        </w:rPr>
      </w:pPr>
      <w:r>
        <w:rPr>
          <w:rFonts w:ascii="Book Antiqua" w:hAnsi="Book Antiqua"/>
        </w:rPr>
        <w:t>‘W</w:t>
      </w:r>
      <w:r w:rsidR="00C83D23">
        <w:rPr>
          <w:rFonts w:ascii="Book Antiqua" w:hAnsi="Book Antiqua"/>
        </w:rPr>
        <w:t xml:space="preserve">here an applicant is indeed a child all the rights and privileges that go with that status are to be applied … such an individual stands to gain the benefit of accommodation and maintenance … </w:t>
      </w:r>
      <w:r>
        <w:rPr>
          <w:rFonts w:ascii="Book Antiqua" w:hAnsi="Book Antiqua"/>
        </w:rPr>
        <w:t>as well as access to education.’</w:t>
      </w:r>
    </w:p>
    <w:p w:rsidR="00C83D23" w:rsidRDefault="00C83D23" w:rsidP="00C83D23">
      <w:pPr>
        <w:autoSpaceDE w:val="0"/>
        <w:autoSpaceDN w:val="0"/>
        <w:adjustRightInd w:val="0"/>
        <w:jc w:val="both"/>
        <w:rPr>
          <w:rFonts w:ascii="Book Antiqua" w:hAnsi="Book Antiqua"/>
        </w:rPr>
      </w:pPr>
    </w:p>
    <w:p w:rsidR="00C83D23" w:rsidRDefault="00C83D23" w:rsidP="00317C24">
      <w:pPr>
        <w:autoSpaceDE w:val="0"/>
        <w:autoSpaceDN w:val="0"/>
        <w:adjustRightInd w:val="0"/>
        <w:ind w:left="1701"/>
        <w:jc w:val="both"/>
        <w:rPr>
          <w:rFonts w:ascii="Book Antiqua" w:hAnsi="Book Antiqua"/>
        </w:rPr>
      </w:pPr>
      <w:r>
        <w:rPr>
          <w:rFonts w:ascii="Book Antiqua" w:hAnsi="Book Antiqua"/>
        </w:rPr>
        <w:tab/>
        <w:t xml:space="preserve">I note that [AKA] has </w:t>
      </w:r>
      <w:r w:rsidR="000D7340">
        <w:rPr>
          <w:rFonts w:ascii="Book Antiqua" w:hAnsi="Book Antiqua"/>
        </w:rPr>
        <w:t xml:space="preserve">a cousin in the United Kingdom whom he has not yet been able to contact, and was aware that two other people from the village had travelled to the United Kingdom (D7 question 16).  It does not follow that the expense and uncertainty of his journey is motivated only by a real risk of persecution.  It is not established that [AKA] requires international protection as a refugee.  </w:t>
      </w:r>
    </w:p>
    <w:p w:rsidR="000D7340" w:rsidRDefault="000D7340" w:rsidP="000D7340">
      <w:pPr>
        <w:autoSpaceDE w:val="0"/>
        <w:autoSpaceDN w:val="0"/>
        <w:adjustRightInd w:val="0"/>
        <w:ind w:left="1701"/>
        <w:jc w:val="both"/>
        <w:rPr>
          <w:rFonts w:ascii="Book Antiqua" w:hAnsi="Book Antiqua"/>
        </w:rPr>
      </w:pPr>
    </w:p>
    <w:p w:rsidR="000D7340" w:rsidRDefault="000D7340" w:rsidP="00317C24">
      <w:pPr>
        <w:autoSpaceDE w:val="0"/>
        <w:autoSpaceDN w:val="0"/>
        <w:adjustRightInd w:val="0"/>
        <w:ind w:left="1701" w:hanging="567"/>
        <w:jc w:val="both"/>
        <w:rPr>
          <w:rFonts w:ascii="Book Antiqua" w:hAnsi="Book Antiqua"/>
        </w:rPr>
      </w:pPr>
      <w:r>
        <w:rPr>
          <w:rFonts w:ascii="Book Antiqua" w:hAnsi="Book Antiqua"/>
        </w:rPr>
        <w:lastRenderedPageBreak/>
        <w:t>24.</w:t>
      </w:r>
      <w:r>
        <w:rPr>
          <w:rFonts w:ascii="Book Antiqua" w:hAnsi="Book Antiqua"/>
        </w:rPr>
        <w:tab/>
        <w:t xml:space="preserve">There must be some hope that tracing can eventually take place back to the uncle through the cousin and with [AKA’s] continuing cooperation the </w:t>
      </w:r>
      <w:r w:rsidR="00317C24">
        <w:rPr>
          <w:rFonts w:ascii="Book Antiqua" w:hAnsi="Book Antiqua"/>
        </w:rPr>
        <w:t>Respondent</w:t>
      </w:r>
      <w:r>
        <w:rPr>
          <w:rFonts w:ascii="Book Antiqua" w:hAnsi="Book Antiqua"/>
        </w:rPr>
        <w:t xml:space="preserve"> may be able to assist in tracing his cousin in the United Kingdom.  Tracing his family and enabling him to return to their care would, in the circumstances, be in his best interests within the meaning of Section 55.  As the well-known judgment of Lord Templeman in the context of family law in England makes clear (re </w:t>
      </w:r>
      <w:r w:rsidRPr="00317C24">
        <w:rPr>
          <w:rFonts w:ascii="Book Antiqua" w:hAnsi="Book Antiqua"/>
          <w:u w:val="single"/>
        </w:rPr>
        <w:t>KD</w:t>
      </w:r>
      <w:r w:rsidRPr="00317C24">
        <w:rPr>
          <w:rFonts w:ascii="Book Antiqua" w:hAnsi="Book Antiqua"/>
        </w:rPr>
        <w:t xml:space="preserve"> (A Minor) (Ward: Termination of Access) [1988] 1AC 806 at P812</w:t>
      </w:r>
      <w:r>
        <w:rPr>
          <w:rFonts w:ascii="Book Antiqua" w:hAnsi="Book Antiqua"/>
        </w:rPr>
        <w:t xml:space="preserve">): </w:t>
      </w:r>
    </w:p>
    <w:p w:rsidR="000D7340" w:rsidRDefault="000D7340" w:rsidP="000D7340">
      <w:pPr>
        <w:autoSpaceDE w:val="0"/>
        <w:autoSpaceDN w:val="0"/>
        <w:adjustRightInd w:val="0"/>
        <w:ind w:left="1701" w:hanging="567"/>
        <w:jc w:val="both"/>
        <w:rPr>
          <w:rFonts w:ascii="Book Antiqua" w:hAnsi="Book Antiqua"/>
        </w:rPr>
      </w:pPr>
    </w:p>
    <w:p w:rsidR="000D7340" w:rsidRDefault="000D7340" w:rsidP="00317C24">
      <w:pPr>
        <w:autoSpaceDE w:val="0"/>
        <w:autoSpaceDN w:val="0"/>
        <w:adjustRightInd w:val="0"/>
        <w:ind w:left="2268"/>
        <w:jc w:val="both"/>
        <w:rPr>
          <w:rFonts w:ascii="Book Antiqua" w:hAnsi="Book Antiqua"/>
        </w:rPr>
      </w:pPr>
      <w:r>
        <w:rPr>
          <w:rFonts w:ascii="Book Antiqua" w:hAnsi="Book Antiqua"/>
        </w:rPr>
        <w:t>‘The best person to bring up a child is the natural parent.  It matters not whether the parent is wise or foolish, rich or poor, educated or illiterate, provided the child’s moral and physical health are not in danger.  Public authorities cannot improve on nature.’”</w:t>
      </w:r>
    </w:p>
    <w:p w:rsidR="007776C1" w:rsidRDefault="007776C1" w:rsidP="000D7340">
      <w:pPr>
        <w:autoSpaceDE w:val="0"/>
        <w:autoSpaceDN w:val="0"/>
        <w:adjustRightInd w:val="0"/>
        <w:ind w:left="567" w:hanging="567"/>
        <w:jc w:val="both"/>
        <w:rPr>
          <w:rFonts w:ascii="Book Antiqua" w:hAnsi="Book Antiqua"/>
          <w:i/>
        </w:rPr>
      </w:pPr>
    </w:p>
    <w:p w:rsidR="000F2C04" w:rsidRPr="00DC1723" w:rsidRDefault="000F2C04" w:rsidP="000D7340">
      <w:pPr>
        <w:autoSpaceDE w:val="0"/>
        <w:autoSpaceDN w:val="0"/>
        <w:adjustRightInd w:val="0"/>
        <w:ind w:left="567" w:hanging="567"/>
        <w:jc w:val="both"/>
        <w:rPr>
          <w:rFonts w:ascii="Book Antiqua" w:hAnsi="Book Antiqua"/>
          <w:i/>
        </w:rPr>
      </w:pPr>
      <w:r w:rsidRPr="00DC1723">
        <w:rPr>
          <w:rFonts w:ascii="Book Antiqua" w:hAnsi="Book Antiqua"/>
          <w:i/>
        </w:rPr>
        <w:t xml:space="preserve">The Appellant’s </w:t>
      </w:r>
      <w:r w:rsidR="00784501" w:rsidRPr="00DC1723">
        <w:rPr>
          <w:rFonts w:ascii="Book Antiqua" w:hAnsi="Book Antiqua"/>
          <w:i/>
        </w:rPr>
        <w:t>submissions</w:t>
      </w:r>
    </w:p>
    <w:p w:rsidR="00784501" w:rsidRPr="00DC1723" w:rsidRDefault="00784501" w:rsidP="000D7340">
      <w:pPr>
        <w:autoSpaceDE w:val="0"/>
        <w:autoSpaceDN w:val="0"/>
        <w:adjustRightInd w:val="0"/>
        <w:ind w:left="567" w:hanging="567"/>
        <w:jc w:val="both"/>
        <w:rPr>
          <w:rFonts w:ascii="Book Antiqua" w:hAnsi="Book Antiqua"/>
          <w:i/>
        </w:rPr>
      </w:pPr>
    </w:p>
    <w:p w:rsidR="008E539C" w:rsidRDefault="00F27119" w:rsidP="000D7340">
      <w:pPr>
        <w:autoSpaceDE w:val="0"/>
        <w:autoSpaceDN w:val="0"/>
        <w:adjustRightInd w:val="0"/>
        <w:ind w:left="567" w:hanging="567"/>
        <w:jc w:val="both"/>
        <w:rPr>
          <w:rFonts w:ascii="Book Antiqua" w:hAnsi="Book Antiqua"/>
        </w:rPr>
      </w:pPr>
      <w:r>
        <w:rPr>
          <w:rFonts w:ascii="Book Antiqua" w:hAnsi="Book Antiqua"/>
        </w:rPr>
        <w:t>1</w:t>
      </w:r>
      <w:r w:rsidR="00802747">
        <w:rPr>
          <w:rFonts w:ascii="Book Antiqua" w:hAnsi="Book Antiqua"/>
        </w:rPr>
        <w:t>7</w:t>
      </w:r>
      <w:r w:rsidR="000F2C04">
        <w:rPr>
          <w:rFonts w:ascii="Book Antiqua" w:hAnsi="Book Antiqua"/>
        </w:rPr>
        <w:t>.</w:t>
      </w:r>
      <w:r w:rsidR="000F2C04">
        <w:rPr>
          <w:rFonts w:ascii="Book Antiqua" w:hAnsi="Book Antiqua"/>
        </w:rPr>
        <w:tab/>
      </w:r>
      <w:r w:rsidR="008E539C">
        <w:rPr>
          <w:rFonts w:ascii="Book Antiqua" w:hAnsi="Book Antiqua"/>
        </w:rPr>
        <w:t>Mr Bedford made submissions in the context of his skeleton argument.  He submitted that the Appellant</w:t>
      </w:r>
      <w:r w:rsidR="00784501">
        <w:rPr>
          <w:rFonts w:ascii="Book Antiqua" w:hAnsi="Book Antiqua"/>
        </w:rPr>
        <w:t xml:space="preserve">, if returned to Kabul would not remain there. He would return to his home area of </w:t>
      </w:r>
      <w:r w:rsidR="008E539C">
        <w:rPr>
          <w:rFonts w:ascii="Book Antiqua" w:hAnsi="Book Antiqua"/>
        </w:rPr>
        <w:t>Baghlan where he would be at risk from the Taliban as a result of forced recruitment</w:t>
      </w:r>
      <w:r w:rsidR="00784501">
        <w:rPr>
          <w:rFonts w:ascii="Book Antiqua" w:hAnsi="Book Antiqua"/>
        </w:rPr>
        <w:t>.</w:t>
      </w:r>
      <w:r w:rsidR="00FA6FE5">
        <w:rPr>
          <w:rFonts w:ascii="Book Antiqua" w:hAnsi="Book Antiqua"/>
        </w:rPr>
        <w:t xml:space="preserve">  He would be at risk of treatment contrary to Article 3 on return to Baghlan</w:t>
      </w:r>
      <w:r w:rsidR="00B57A89">
        <w:rPr>
          <w:rFonts w:ascii="Book Antiqua" w:hAnsi="Book Antiqua"/>
        </w:rPr>
        <w:t xml:space="preserve"> and/or Kabul. </w:t>
      </w:r>
    </w:p>
    <w:p w:rsidR="00FA6FE5" w:rsidRDefault="00FA6FE5" w:rsidP="000D7340">
      <w:pPr>
        <w:autoSpaceDE w:val="0"/>
        <w:autoSpaceDN w:val="0"/>
        <w:adjustRightInd w:val="0"/>
        <w:ind w:left="567" w:hanging="567"/>
        <w:jc w:val="both"/>
        <w:rPr>
          <w:rFonts w:ascii="Book Antiqua" w:hAnsi="Book Antiqua"/>
        </w:rPr>
      </w:pPr>
    </w:p>
    <w:p w:rsidR="008E539C" w:rsidRDefault="00F27119" w:rsidP="000D7340">
      <w:pPr>
        <w:autoSpaceDE w:val="0"/>
        <w:autoSpaceDN w:val="0"/>
        <w:adjustRightInd w:val="0"/>
        <w:ind w:left="567" w:hanging="567"/>
        <w:jc w:val="both"/>
        <w:rPr>
          <w:rFonts w:ascii="Book Antiqua" w:hAnsi="Book Antiqua"/>
        </w:rPr>
      </w:pPr>
      <w:r>
        <w:rPr>
          <w:rFonts w:ascii="Book Antiqua" w:hAnsi="Book Antiqua"/>
        </w:rPr>
        <w:t>1</w:t>
      </w:r>
      <w:r w:rsidR="00983CA0">
        <w:rPr>
          <w:rFonts w:ascii="Book Antiqua" w:hAnsi="Book Antiqua"/>
        </w:rPr>
        <w:t>8</w:t>
      </w:r>
      <w:r w:rsidR="008E539C">
        <w:rPr>
          <w:rFonts w:ascii="Book Antiqua" w:hAnsi="Book Antiqua"/>
        </w:rPr>
        <w:t>.</w:t>
      </w:r>
      <w:r w:rsidR="008E539C">
        <w:rPr>
          <w:rFonts w:ascii="Book Antiqua" w:hAnsi="Book Antiqua"/>
        </w:rPr>
        <w:tab/>
        <w:t>It would not be reasonable to expect the Appellant to remain in Kabul</w:t>
      </w:r>
      <w:r w:rsidR="00802747">
        <w:rPr>
          <w:rFonts w:ascii="Book Antiqua" w:hAnsi="Book Antiqua"/>
        </w:rPr>
        <w:t xml:space="preserve"> applying </w:t>
      </w:r>
      <w:r w:rsidR="008E539C" w:rsidRPr="00B57A89">
        <w:rPr>
          <w:rFonts w:ascii="Book Antiqua" w:hAnsi="Book Antiqua"/>
          <w:i/>
        </w:rPr>
        <w:t>AS</w:t>
      </w:r>
      <w:r w:rsidR="00B57A89" w:rsidRPr="00B57A89">
        <w:rPr>
          <w:rFonts w:ascii="Book Antiqua" w:hAnsi="Book Antiqua"/>
          <w:i/>
        </w:rPr>
        <w:t xml:space="preserve"> (Afghanistan)</w:t>
      </w:r>
      <w:r w:rsidR="00B57A89" w:rsidRPr="00805E3D">
        <w:rPr>
          <w:rFonts w:ascii="Book Antiqua" w:hAnsi="Book Antiqua"/>
        </w:rPr>
        <w:t xml:space="preserve"> CG [2018] UKUT 00118</w:t>
      </w:r>
      <w:r w:rsidR="008E539C">
        <w:rPr>
          <w:rFonts w:ascii="Book Antiqua" w:hAnsi="Book Antiqua"/>
        </w:rPr>
        <w:t>.  He would be destitute</w:t>
      </w:r>
      <w:r w:rsidR="00784501">
        <w:rPr>
          <w:rFonts w:ascii="Book Antiqua" w:hAnsi="Book Antiqua"/>
        </w:rPr>
        <w:t xml:space="preserve">. </w:t>
      </w:r>
      <w:r w:rsidR="008E539C">
        <w:rPr>
          <w:rFonts w:ascii="Book Antiqua" w:hAnsi="Book Antiqua"/>
        </w:rPr>
        <w:t>His qualifications are not at a level to enable him to work.  He</w:t>
      </w:r>
      <w:r w:rsidR="00802747">
        <w:rPr>
          <w:rFonts w:ascii="Book Antiqua" w:hAnsi="Book Antiqua"/>
        </w:rPr>
        <w:t xml:space="preserve"> is in his eighteenth year. </w:t>
      </w:r>
      <w:r w:rsidR="00784501">
        <w:rPr>
          <w:rFonts w:ascii="Book Antiqua" w:hAnsi="Book Antiqua"/>
        </w:rPr>
        <w:t xml:space="preserve">There </w:t>
      </w:r>
      <w:r w:rsidR="008E539C">
        <w:rPr>
          <w:rFonts w:ascii="Book Antiqua" w:hAnsi="Book Antiqua"/>
        </w:rPr>
        <w:t>is no “bright line”</w:t>
      </w:r>
      <w:r w:rsidR="00A22F48">
        <w:rPr>
          <w:rFonts w:ascii="Book Antiqua" w:hAnsi="Book Antiqua"/>
        </w:rPr>
        <w:t xml:space="preserve"> in respect of a when a child becomes an adult.</w:t>
      </w:r>
    </w:p>
    <w:p w:rsidR="00B57A89" w:rsidRDefault="00B57A89" w:rsidP="000D7340">
      <w:pPr>
        <w:autoSpaceDE w:val="0"/>
        <w:autoSpaceDN w:val="0"/>
        <w:adjustRightInd w:val="0"/>
        <w:ind w:left="567" w:hanging="567"/>
        <w:jc w:val="both"/>
        <w:rPr>
          <w:rFonts w:ascii="Book Antiqua" w:hAnsi="Book Antiqua"/>
        </w:rPr>
      </w:pPr>
    </w:p>
    <w:p w:rsidR="00B57A89" w:rsidRDefault="00983CA0" w:rsidP="00B57A89">
      <w:pPr>
        <w:autoSpaceDE w:val="0"/>
        <w:autoSpaceDN w:val="0"/>
        <w:adjustRightInd w:val="0"/>
        <w:ind w:left="567" w:hanging="567"/>
        <w:jc w:val="both"/>
        <w:rPr>
          <w:rFonts w:ascii="Book Antiqua" w:hAnsi="Book Antiqua"/>
        </w:rPr>
      </w:pPr>
      <w:r>
        <w:rPr>
          <w:rFonts w:ascii="Book Antiqua" w:hAnsi="Book Antiqua"/>
        </w:rPr>
        <w:t>19</w:t>
      </w:r>
      <w:r w:rsidR="008E539C">
        <w:rPr>
          <w:rFonts w:ascii="Book Antiqua" w:hAnsi="Book Antiqua"/>
        </w:rPr>
        <w:t>.</w:t>
      </w:r>
      <w:r w:rsidR="008E539C">
        <w:rPr>
          <w:rFonts w:ascii="Book Antiqua" w:hAnsi="Book Antiqua"/>
        </w:rPr>
        <w:tab/>
        <w:t xml:space="preserve">The </w:t>
      </w:r>
      <w:r w:rsidR="00784501">
        <w:rPr>
          <w:rFonts w:ascii="Book Antiqua" w:hAnsi="Book Antiqua"/>
        </w:rPr>
        <w:t xml:space="preserve">failure by the </w:t>
      </w:r>
      <w:r w:rsidR="008E539C">
        <w:rPr>
          <w:rFonts w:ascii="Book Antiqua" w:hAnsi="Book Antiqua"/>
        </w:rPr>
        <w:t xml:space="preserve">Appellant </w:t>
      </w:r>
      <w:r w:rsidR="00784501">
        <w:rPr>
          <w:rFonts w:ascii="Book Antiqua" w:hAnsi="Book Antiqua"/>
        </w:rPr>
        <w:t xml:space="preserve">to </w:t>
      </w:r>
      <w:r w:rsidR="008E539C">
        <w:rPr>
          <w:rFonts w:ascii="Book Antiqua" w:hAnsi="Book Antiqua"/>
        </w:rPr>
        <w:t xml:space="preserve">submit letters from the Red Cross at an earlier stage in the proceedings must be considered in the context of his age and the Joint Presidential Guidance Note No 2 of 2010 relating </w:t>
      </w:r>
      <w:r w:rsidR="00784501">
        <w:rPr>
          <w:rFonts w:ascii="Book Antiqua" w:hAnsi="Book Antiqua"/>
        </w:rPr>
        <w:t xml:space="preserve">to </w:t>
      </w:r>
      <w:r w:rsidR="008E539C">
        <w:rPr>
          <w:rFonts w:ascii="Book Antiqua" w:hAnsi="Book Antiqua"/>
        </w:rPr>
        <w:t xml:space="preserve">child, vulnerable adults and sensitive </w:t>
      </w:r>
      <w:r>
        <w:rPr>
          <w:rFonts w:ascii="Book Antiqua" w:hAnsi="Book Antiqua"/>
        </w:rPr>
        <w:t>witnesses.</w:t>
      </w:r>
    </w:p>
    <w:p w:rsidR="00B57A89" w:rsidRDefault="00B57A89" w:rsidP="00B57A89">
      <w:pPr>
        <w:autoSpaceDE w:val="0"/>
        <w:autoSpaceDN w:val="0"/>
        <w:adjustRightInd w:val="0"/>
        <w:ind w:left="567" w:hanging="567"/>
        <w:jc w:val="both"/>
        <w:rPr>
          <w:rFonts w:ascii="Book Antiqua" w:hAnsi="Book Antiqua"/>
        </w:rPr>
      </w:pPr>
    </w:p>
    <w:p w:rsidR="0081470D" w:rsidRDefault="00F27119" w:rsidP="00B57A89">
      <w:pPr>
        <w:autoSpaceDE w:val="0"/>
        <w:autoSpaceDN w:val="0"/>
        <w:adjustRightInd w:val="0"/>
        <w:ind w:left="567" w:hanging="567"/>
        <w:jc w:val="both"/>
        <w:rPr>
          <w:rFonts w:ascii="Book Antiqua" w:hAnsi="Book Antiqua"/>
        </w:rPr>
      </w:pPr>
      <w:r w:rsidRPr="00F27119">
        <w:rPr>
          <w:rFonts w:ascii="Book Antiqua" w:hAnsi="Book Antiqua"/>
        </w:rPr>
        <w:t>2</w:t>
      </w:r>
      <w:r w:rsidR="00983CA0">
        <w:rPr>
          <w:rFonts w:ascii="Book Antiqua" w:hAnsi="Book Antiqua"/>
        </w:rPr>
        <w:t>0</w:t>
      </w:r>
      <w:r w:rsidR="0081470D" w:rsidRPr="00F27119">
        <w:rPr>
          <w:rFonts w:ascii="Book Antiqua" w:hAnsi="Book Antiqua"/>
        </w:rPr>
        <w:t>.</w:t>
      </w:r>
      <w:r w:rsidR="0081470D" w:rsidRPr="00B57A89">
        <w:rPr>
          <w:rFonts w:ascii="Book Antiqua" w:hAnsi="Book Antiqua"/>
          <w:b/>
        </w:rPr>
        <w:tab/>
      </w:r>
      <w:r w:rsidR="00784501" w:rsidRPr="00B57A89">
        <w:rPr>
          <w:rFonts w:ascii="Book Antiqua" w:hAnsi="Book Antiqua"/>
        </w:rPr>
        <w:t xml:space="preserve">Mr Bedford argued that </w:t>
      </w:r>
      <w:r w:rsidR="00784501" w:rsidRPr="00B57A89">
        <w:rPr>
          <w:rFonts w:ascii="Book Antiqua" w:hAnsi="Book Antiqua"/>
          <w:i/>
        </w:rPr>
        <w:t>Paposhvili</w:t>
      </w:r>
      <w:r w:rsidR="00B57A89" w:rsidRPr="00B57A89">
        <w:rPr>
          <w:rFonts w:ascii="Book Antiqua" w:hAnsi="Book Antiqua"/>
          <w:i/>
        </w:rPr>
        <w:t xml:space="preserve"> </w:t>
      </w:r>
      <w:r w:rsidR="002731FF">
        <w:rPr>
          <w:rFonts w:ascii="Book Antiqua" w:hAnsi="Book Antiqua"/>
          <w:i/>
        </w:rPr>
        <w:t xml:space="preserve">v </w:t>
      </w:r>
      <w:r w:rsidR="00B57A89" w:rsidRPr="00B57A89">
        <w:rPr>
          <w:rFonts w:ascii="Book Antiqua" w:hAnsi="Book Antiqua"/>
          <w:i/>
        </w:rPr>
        <w:t>Belgium</w:t>
      </w:r>
      <w:r w:rsidR="00B57A89" w:rsidRPr="00B57A89">
        <w:rPr>
          <w:rFonts w:ascii="Book Antiqua" w:hAnsi="Book Antiqua"/>
        </w:rPr>
        <w:t xml:space="preserve"> (no. 41738/10, GC) [Articles 3 and 8], 13 December 2016</w:t>
      </w:r>
      <w:r w:rsidR="00784501">
        <w:rPr>
          <w:rFonts w:ascii="Book Antiqua" w:hAnsi="Book Antiqua"/>
        </w:rPr>
        <w:t>effectively reversed the burden of proof in Article 3</w:t>
      </w:r>
      <w:r w:rsidR="0087691C">
        <w:rPr>
          <w:rFonts w:ascii="Book Antiqua" w:hAnsi="Book Antiqua"/>
        </w:rPr>
        <w:t xml:space="preserve"> cases</w:t>
      </w:r>
      <w:r w:rsidR="002731FF">
        <w:rPr>
          <w:rFonts w:ascii="Book Antiqua" w:hAnsi="Book Antiqua"/>
        </w:rPr>
        <w:t xml:space="preserve"> </w:t>
      </w:r>
      <w:r w:rsidR="00A22F48">
        <w:rPr>
          <w:rFonts w:ascii="Book Antiqua" w:hAnsi="Book Antiqua"/>
          <w:i/>
        </w:rPr>
        <w:t>(</w:t>
      </w:r>
      <w:r w:rsidR="00A22F48" w:rsidRPr="0087691C">
        <w:rPr>
          <w:rFonts w:ascii="Book Antiqua" w:hAnsi="Book Antiqua"/>
        </w:rPr>
        <w:t>see [186] – [187]</w:t>
      </w:r>
      <w:r w:rsidR="00A22F48">
        <w:rPr>
          <w:rFonts w:ascii="Book Antiqua" w:hAnsi="Book Antiqua"/>
        </w:rPr>
        <w:t>)</w:t>
      </w:r>
      <w:r w:rsidR="00784501">
        <w:rPr>
          <w:rFonts w:ascii="Book Antiqua" w:hAnsi="Book Antiqua"/>
        </w:rPr>
        <w:t>.</w:t>
      </w:r>
      <w:r w:rsidR="0087691C">
        <w:rPr>
          <w:rFonts w:ascii="Book Antiqua" w:hAnsi="Book Antiqua"/>
        </w:rPr>
        <w:t xml:space="preserve">He relied on </w:t>
      </w:r>
      <w:r w:rsidR="0087691C" w:rsidRPr="0087691C">
        <w:rPr>
          <w:rFonts w:ascii="Book Antiqua" w:hAnsi="Book Antiqua"/>
          <w:i/>
        </w:rPr>
        <w:t>JK and Others v Sweden</w:t>
      </w:r>
      <w:r w:rsidR="0087691C">
        <w:rPr>
          <w:rFonts w:ascii="Book Antiqua" w:hAnsi="Book Antiqua"/>
        </w:rPr>
        <w:t xml:space="preserve"> (application number 59166/12) at [91]. </w:t>
      </w:r>
      <w:r w:rsidR="006879A5">
        <w:rPr>
          <w:rFonts w:ascii="Book Antiqua" w:hAnsi="Book Antiqua"/>
        </w:rPr>
        <w:t xml:space="preserve"> He relied on </w:t>
      </w:r>
      <w:r w:rsidR="006879A5" w:rsidRPr="006879A5">
        <w:rPr>
          <w:rFonts w:ascii="Book Antiqua" w:hAnsi="Book Antiqua"/>
          <w:i/>
        </w:rPr>
        <w:t>AM (Zimbabwe) v Secretary of State for the Home Department</w:t>
      </w:r>
      <w:r w:rsidR="006879A5">
        <w:rPr>
          <w:rFonts w:ascii="Book Antiqua" w:hAnsi="Book Antiqua"/>
        </w:rPr>
        <w:t xml:space="preserve"> [2018] EWCA Civ 64 where the Court of Appeal considered the effect of </w:t>
      </w:r>
      <w:r w:rsidR="006879A5" w:rsidRPr="006879A5">
        <w:rPr>
          <w:rFonts w:ascii="Book Antiqua" w:hAnsi="Book Antiqua"/>
          <w:i/>
        </w:rPr>
        <w:t>Paposhvili.</w:t>
      </w:r>
      <w:r w:rsidR="002731FF">
        <w:rPr>
          <w:rFonts w:ascii="Book Antiqua" w:hAnsi="Book Antiqua"/>
          <w:i/>
        </w:rPr>
        <w:t xml:space="preserve"> </w:t>
      </w:r>
      <w:r w:rsidR="0081470D">
        <w:rPr>
          <w:rFonts w:ascii="Book Antiqua" w:hAnsi="Book Antiqua"/>
        </w:rPr>
        <w:t>All the Appellant need</w:t>
      </w:r>
      <w:r w:rsidR="00983CA0">
        <w:rPr>
          <w:rFonts w:ascii="Book Antiqua" w:hAnsi="Book Antiqua"/>
        </w:rPr>
        <w:t xml:space="preserve">ed </w:t>
      </w:r>
      <w:r w:rsidR="0081470D">
        <w:rPr>
          <w:rFonts w:ascii="Book Antiqua" w:hAnsi="Book Antiqua"/>
        </w:rPr>
        <w:t>to do</w:t>
      </w:r>
      <w:r w:rsidR="00983CA0">
        <w:rPr>
          <w:rFonts w:ascii="Book Antiqua" w:hAnsi="Book Antiqua"/>
        </w:rPr>
        <w:t xml:space="preserve">, according to Mr Bedford was to </w:t>
      </w:r>
      <w:r w:rsidR="0081470D">
        <w:rPr>
          <w:rFonts w:ascii="Book Antiqua" w:hAnsi="Book Antiqua"/>
        </w:rPr>
        <w:t>adduce evidence capable of proving his case</w:t>
      </w:r>
      <w:r w:rsidR="00784501">
        <w:rPr>
          <w:rFonts w:ascii="Book Antiqua" w:hAnsi="Book Antiqua"/>
        </w:rPr>
        <w:t>. It must be reasonably inferred that he has succeeded in doing this because the application was not certified by the Respondent.</w:t>
      </w:r>
      <w:r w:rsidR="0081470D">
        <w:rPr>
          <w:rFonts w:ascii="Book Antiqua" w:hAnsi="Book Antiqua"/>
        </w:rPr>
        <w:t xml:space="preserve">  In this respect Mr Bedford relied on </w:t>
      </w:r>
      <w:r w:rsidR="0081470D" w:rsidRPr="006879A5">
        <w:rPr>
          <w:rFonts w:ascii="Book Antiqua" w:hAnsi="Book Antiqua"/>
          <w:i/>
        </w:rPr>
        <w:t>Kiarie v Secretary of State for the Home Department</w:t>
      </w:r>
      <w:r w:rsidR="0081470D">
        <w:rPr>
          <w:rFonts w:ascii="Book Antiqua" w:hAnsi="Book Antiqua"/>
        </w:rPr>
        <w:t xml:space="preserve"> [2017] UKSC 42.  In these circumstances the burden shift</w:t>
      </w:r>
      <w:r w:rsidR="00983CA0">
        <w:rPr>
          <w:rFonts w:ascii="Book Antiqua" w:hAnsi="Book Antiqua"/>
        </w:rPr>
        <w:t>ed</w:t>
      </w:r>
      <w:r w:rsidR="0081470D">
        <w:rPr>
          <w:rFonts w:ascii="Book Antiqua" w:hAnsi="Book Antiqua"/>
        </w:rPr>
        <w:t xml:space="preserve"> to the Secretary of State to dispel doubts about it.   In this case it is arguable that the Appellant would be forced to leave Kabul</w:t>
      </w:r>
      <w:r w:rsidR="00B57A89">
        <w:rPr>
          <w:rFonts w:ascii="Book Antiqua" w:hAnsi="Book Antiqua"/>
        </w:rPr>
        <w:t xml:space="preserve"> therefore putting himself at risk.  </w:t>
      </w:r>
    </w:p>
    <w:p w:rsidR="0081470D" w:rsidRPr="00B57A89" w:rsidRDefault="0081470D" w:rsidP="000D7340">
      <w:pPr>
        <w:autoSpaceDE w:val="0"/>
        <w:autoSpaceDN w:val="0"/>
        <w:adjustRightInd w:val="0"/>
        <w:ind w:left="567" w:hanging="567"/>
        <w:jc w:val="both"/>
        <w:rPr>
          <w:rFonts w:ascii="Book Antiqua" w:hAnsi="Book Antiqua"/>
          <w:i/>
        </w:rPr>
      </w:pPr>
    </w:p>
    <w:p w:rsidR="002731FF" w:rsidRDefault="002731FF" w:rsidP="000D7340">
      <w:pPr>
        <w:autoSpaceDE w:val="0"/>
        <w:autoSpaceDN w:val="0"/>
        <w:adjustRightInd w:val="0"/>
        <w:ind w:left="567" w:hanging="567"/>
        <w:jc w:val="both"/>
        <w:rPr>
          <w:rFonts w:ascii="Book Antiqua" w:hAnsi="Book Antiqua"/>
          <w:i/>
        </w:rPr>
      </w:pPr>
    </w:p>
    <w:p w:rsidR="0081470D" w:rsidRPr="00B57A89" w:rsidRDefault="0081470D" w:rsidP="000D7340">
      <w:pPr>
        <w:autoSpaceDE w:val="0"/>
        <w:autoSpaceDN w:val="0"/>
        <w:adjustRightInd w:val="0"/>
        <w:ind w:left="567" w:hanging="567"/>
        <w:jc w:val="both"/>
        <w:rPr>
          <w:rFonts w:ascii="Book Antiqua" w:hAnsi="Book Antiqua"/>
          <w:i/>
        </w:rPr>
      </w:pPr>
      <w:r w:rsidRPr="00B57A89">
        <w:rPr>
          <w:rFonts w:ascii="Book Antiqua" w:hAnsi="Book Antiqua"/>
          <w:i/>
        </w:rPr>
        <w:lastRenderedPageBreak/>
        <w:t>The Secretary of State’s</w:t>
      </w:r>
      <w:r w:rsidR="00DA36C6">
        <w:rPr>
          <w:rFonts w:ascii="Book Antiqua" w:hAnsi="Book Antiqua"/>
          <w:i/>
        </w:rPr>
        <w:t xml:space="preserve"> s</w:t>
      </w:r>
      <w:r w:rsidRPr="00B57A89">
        <w:rPr>
          <w:rFonts w:ascii="Book Antiqua" w:hAnsi="Book Antiqua"/>
          <w:i/>
        </w:rPr>
        <w:t>ubmissions</w:t>
      </w:r>
    </w:p>
    <w:p w:rsidR="0081470D" w:rsidRPr="00B57A89" w:rsidRDefault="0081470D" w:rsidP="000D7340">
      <w:pPr>
        <w:autoSpaceDE w:val="0"/>
        <w:autoSpaceDN w:val="0"/>
        <w:adjustRightInd w:val="0"/>
        <w:ind w:left="567" w:hanging="567"/>
        <w:jc w:val="both"/>
        <w:rPr>
          <w:rFonts w:ascii="Book Antiqua" w:hAnsi="Book Antiqua"/>
          <w:i/>
        </w:rPr>
      </w:pPr>
    </w:p>
    <w:p w:rsidR="007776C1" w:rsidRDefault="00F27119" w:rsidP="001860F1">
      <w:pPr>
        <w:autoSpaceDE w:val="0"/>
        <w:autoSpaceDN w:val="0"/>
        <w:adjustRightInd w:val="0"/>
        <w:ind w:left="567" w:hanging="567"/>
        <w:jc w:val="both"/>
        <w:rPr>
          <w:rFonts w:ascii="Book Antiqua" w:hAnsi="Book Antiqua"/>
        </w:rPr>
      </w:pPr>
      <w:r>
        <w:rPr>
          <w:rFonts w:ascii="Book Antiqua" w:hAnsi="Book Antiqua"/>
        </w:rPr>
        <w:t>2</w:t>
      </w:r>
      <w:r w:rsidR="00983CA0">
        <w:rPr>
          <w:rFonts w:ascii="Book Antiqua" w:hAnsi="Book Antiqua"/>
        </w:rPr>
        <w:t>1</w:t>
      </w:r>
      <w:r>
        <w:rPr>
          <w:rFonts w:ascii="Book Antiqua" w:hAnsi="Book Antiqua"/>
        </w:rPr>
        <w:t>.</w:t>
      </w:r>
      <w:r w:rsidR="0081470D">
        <w:rPr>
          <w:rFonts w:ascii="Book Antiqua" w:hAnsi="Book Antiqua"/>
        </w:rPr>
        <w:tab/>
        <w:t xml:space="preserve">Mr Kotas made submissions in the context of his skeleton argument.  The Appellant </w:t>
      </w:r>
      <w:r w:rsidR="00983CA0">
        <w:rPr>
          <w:rFonts w:ascii="Book Antiqua" w:hAnsi="Book Antiqua"/>
        </w:rPr>
        <w:t>was</w:t>
      </w:r>
      <w:r w:rsidR="0081470D">
        <w:rPr>
          <w:rFonts w:ascii="Book Antiqua" w:hAnsi="Book Antiqua"/>
        </w:rPr>
        <w:t xml:space="preserve"> an adult male with no medical problems.  There </w:t>
      </w:r>
      <w:r w:rsidR="00983CA0">
        <w:rPr>
          <w:rFonts w:ascii="Book Antiqua" w:hAnsi="Book Antiqua"/>
        </w:rPr>
        <w:t>was</w:t>
      </w:r>
      <w:r w:rsidR="0081470D">
        <w:rPr>
          <w:rFonts w:ascii="Book Antiqua" w:hAnsi="Book Antiqua"/>
        </w:rPr>
        <w:t xml:space="preserve"> no evidence of vulnerability.  He </w:t>
      </w:r>
      <w:r w:rsidR="00983CA0">
        <w:rPr>
          <w:rFonts w:ascii="Book Antiqua" w:hAnsi="Book Antiqua"/>
        </w:rPr>
        <w:t>was</w:t>
      </w:r>
      <w:r w:rsidR="0081470D">
        <w:rPr>
          <w:rFonts w:ascii="Book Antiqua" w:hAnsi="Book Antiqua"/>
        </w:rPr>
        <w:t xml:space="preserve"> in good health and w</w:t>
      </w:r>
      <w:r w:rsidR="00983CA0">
        <w:rPr>
          <w:rFonts w:ascii="Book Antiqua" w:hAnsi="Book Antiqua"/>
        </w:rPr>
        <w:t xml:space="preserve">ould </w:t>
      </w:r>
      <w:r w:rsidR="0081470D">
        <w:rPr>
          <w:rFonts w:ascii="Book Antiqua" w:hAnsi="Book Antiqua"/>
        </w:rPr>
        <w:t xml:space="preserve">be able to obtain work and accommodation in Kabul.  He relied on </w:t>
      </w:r>
      <w:r w:rsidR="0081470D" w:rsidRPr="00805E3D">
        <w:rPr>
          <w:rFonts w:ascii="Book Antiqua" w:hAnsi="Book Antiqua"/>
          <w:i/>
        </w:rPr>
        <w:t>AS</w:t>
      </w:r>
      <w:r w:rsidR="0081470D">
        <w:rPr>
          <w:rFonts w:ascii="Book Antiqua" w:hAnsi="Book Antiqua"/>
        </w:rPr>
        <w:t>.  The Appellant ha</w:t>
      </w:r>
      <w:r w:rsidR="00983CA0">
        <w:rPr>
          <w:rFonts w:ascii="Book Antiqua" w:hAnsi="Book Antiqua"/>
        </w:rPr>
        <w:t>d</w:t>
      </w:r>
      <w:r w:rsidR="0081470D">
        <w:rPr>
          <w:rFonts w:ascii="Book Antiqua" w:hAnsi="Book Antiqua"/>
        </w:rPr>
        <w:t xml:space="preserve"> vocational training.  Taken at its highest the Appellant’s return to Kabul would not breach the UK’s obligations under Article 3.</w:t>
      </w:r>
    </w:p>
    <w:p w:rsidR="007776C1" w:rsidRDefault="007776C1" w:rsidP="001860F1">
      <w:pPr>
        <w:autoSpaceDE w:val="0"/>
        <w:autoSpaceDN w:val="0"/>
        <w:adjustRightInd w:val="0"/>
        <w:ind w:left="567" w:hanging="567"/>
        <w:jc w:val="both"/>
        <w:rPr>
          <w:rFonts w:ascii="Book Antiqua" w:hAnsi="Book Antiqua"/>
        </w:rPr>
      </w:pPr>
    </w:p>
    <w:p w:rsidR="001860F1" w:rsidRDefault="00F27119" w:rsidP="001860F1">
      <w:pPr>
        <w:autoSpaceDE w:val="0"/>
        <w:autoSpaceDN w:val="0"/>
        <w:adjustRightInd w:val="0"/>
        <w:ind w:left="567" w:hanging="567"/>
        <w:jc w:val="both"/>
        <w:rPr>
          <w:rFonts w:ascii="Book Antiqua" w:hAnsi="Book Antiqua"/>
        </w:rPr>
      </w:pPr>
      <w:r>
        <w:rPr>
          <w:rFonts w:ascii="Book Antiqua" w:hAnsi="Book Antiqua"/>
        </w:rPr>
        <w:t>2</w:t>
      </w:r>
      <w:r w:rsidR="00983CA0">
        <w:rPr>
          <w:rFonts w:ascii="Book Antiqua" w:hAnsi="Book Antiqua"/>
        </w:rPr>
        <w:t>2</w:t>
      </w:r>
      <w:r w:rsidR="007776C1">
        <w:rPr>
          <w:rFonts w:ascii="Book Antiqua" w:hAnsi="Book Antiqua"/>
        </w:rPr>
        <w:t>.</w:t>
      </w:r>
      <w:r w:rsidR="007776C1">
        <w:rPr>
          <w:rFonts w:ascii="Book Antiqua" w:hAnsi="Book Antiqua"/>
        </w:rPr>
        <w:tab/>
      </w:r>
      <w:r w:rsidR="0081470D">
        <w:rPr>
          <w:rFonts w:ascii="Book Antiqua" w:hAnsi="Book Antiqua"/>
        </w:rPr>
        <w:t>In any event</w:t>
      </w:r>
      <w:r w:rsidR="00983CA0">
        <w:rPr>
          <w:rFonts w:ascii="Book Antiqua" w:hAnsi="Book Antiqua"/>
        </w:rPr>
        <w:t>,</w:t>
      </w:r>
      <w:r w:rsidR="0081470D">
        <w:rPr>
          <w:rFonts w:ascii="Book Antiqua" w:hAnsi="Book Antiqua"/>
        </w:rPr>
        <w:t xml:space="preserve"> the Appellant’s evidence </w:t>
      </w:r>
      <w:r w:rsidR="00983CA0">
        <w:rPr>
          <w:rFonts w:ascii="Book Antiqua" w:hAnsi="Book Antiqua"/>
        </w:rPr>
        <w:t>was</w:t>
      </w:r>
      <w:r w:rsidR="0081470D">
        <w:rPr>
          <w:rFonts w:ascii="Book Antiqua" w:hAnsi="Book Antiqua"/>
        </w:rPr>
        <w:t xml:space="preserve"> not accepted.  It </w:t>
      </w:r>
      <w:r w:rsidR="00983CA0">
        <w:rPr>
          <w:rFonts w:ascii="Book Antiqua" w:hAnsi="Book Antiqua"/>
        </w:rPr>
        <w:t>was</w:t>
      </w:r>
      <w:r w:rsidR="0081470D">
        <w:rPr>
          <w:rFonts w:ascii="Book Antiqua" w:hAnsi="Book Antiqua"/>
        </w:rPr>
        <w:t xml:space="preserve"> not accepted that he has not been in contact with his family. The starting point</w:t>
      </w:r>
      <w:r w:rsidR="00983CA0">
        <w:rPr>
          <w:rFonts w:ascii="Book Antiqua" w:hAnsi="Book Antiqua"/>
        </w:rPr>
        <w:t xml:space="preserve"> was</w:t>
      </w:r>
      <w:r w:rsidR="0081470D">
        <w:rPr>
          <w:rFonts w:ascii="Book Antiqua" w:hAnsi="Book Antiqua"/>
        </w:rPr>
        <w:t xml:space="preserve"> the findings of the First-tier Tribunal in 2014.  The judge did not believe the Appellant.  There </w:t>
      </w:r>
      <w:r w:rsidR="00983CA0">
        <w:rPr>
          <w:rFonts w:ascii="Book Antiqua" w:hAnsi="Book Antiqua"/>
        </w:rPr>
        <w:t>was</w:t>
      </w:r>
      <w:r w:rsidR="0081470D">
        <w:rPr>
          <w:rFonts w:ascii="Book Antiqua" w:hAnsi="Book Antiqua"/>
        </w:rPr>
        <w:t xml:space="preserve"> no further evidence</w:t>
      </w:r>
      <w:r w:rsidR="00983CA0">
        <w:rPr>
          <w:rFonts w:ascii="Book Antiqua" w:hAnsi="Book Antiqua"/>
        </w:rPr>
        <w:t xml:space="preserve">. </w:t>
      </w:r>
      <w:r w:rsidR="0081470D">
        <w:rPr>
          <w:rFonts w:ascii="Book Antiqua" w:hAnsi="Book Antiqua"/>
        </w:rPr>
        <w:t xml:space="preserve">  His evidence</w:t>
      </w:r>
      <w:r w:rsidR="00983CA0">
        <w:rPr>
          <w:rFonts w:ascii="Book Antiqua" w:hAnsi="Book Antiqua"/>
        </w:rPr>
        <w:t xml:space="preserve"> in 2018 was </w:t>
      </w:r>
      <w:r w:rsidR="0081470D">
        <w:rPr>
          <w:rFonts w:ascii="Book Antiqua" w:hAnsi="Book Antiqua"/>
        </w:rPr>
        <w:t>simply a rep</w:t>
      </w:r>
      <w:r w:rsidR="00805E3D">
        <w:rPr>
          <w:rFonts w:ascii="Book Antiqua" w:hAnsi="Book Antiqua"/>
        </w:rPr>
        <w:t>e</w:t>
      </w:r>
      <w:r w:rsidR="00A22F48">
        <w:rPr>
          <w:rFonts w:ascii="Book Antiqua" w:hAnsi="Book Antiqua"/>
        </w:rPr>
        <w:t xml:space="preserve">tition </w:t>
      </w:r>
      <w:r w:rsidR="0081470D">
        <w:rPr>
          <w:rFonts w:ascii="Book Antiqua" w:hAnsi="Book Antiqua"/>
        </w:rPr>
        <w:t xml:space="preserve">of what he told the First-tier Tribunal in 2014.  </w:t>
      </w:r>
      <w:r w:rsidR="006B2909">
        <w:rPr>
          <w:rFonts w:ascii="Book Antiqua" w:hAnsi="Book Antiqua"/>
        </w:rPr>
        <w:t xml:space="preserve">There </w:t>
      </w:r>
      <w:r w:rsidR="0081470D">
        <w:rPr>
          <w:rFonts w:ascii="Book Antiqua" w:hAnsi="Book Antiqua"/>
        </w:rPr>
        <w:t xml:space="preserve">was </w:t>
      </w:r>
      <w:r w:rsidR="0094159D">
        <w:rPr>
          <w:rFonts w:ascii="Book Antiqua" w:hAnsi="Book Antiqua"/>
        </w:rPr>
        <w:t xml:space="preserve">no reason </w:t>
      </w:r>
      <w:r w:rsidR="0081470D">
        <w:rPr>
          <w:rFonts w:ascii="Book Antiqua" w:hAnsi="Book Antiqua"/>
        </w:rPr>
        <w:t>why th</w:t>
      </w:r>
      <w:r w:rsidR="006B2909">
        <w:rPr>
          <w:rFonts w:ascii="Book Antiqua" w:hAnsi="Book Antiqua"/>
        </w:rPr>
        <w:t xml:space="preserve">e letters from the Red Cross </w:t>
      </w:r>
      <w:r w:rsidR="0081470D">
        <w:rPr>
          <w:rFonts w:ascii="Book Antiqua" w:hAnsi="Book Antiqua"/>
        </w:rPr>
        <w:t xml:space="preserve">had not previously been submitted considering </w:t>
      </w:r>
      <w:r w:rsidR="006B2909">
        <w:rPr>
          <w:rFonts w:ascii="Book Antiqua" w:hAnsi="Book Antiqua"/>
        </w:rPr>
        <w:t xml:space="preserve">their </w:t>
      </w:r>
      <w:r w:rsidR="0081470D">
        <w:rPr>
          <w:rFonts w:ascii="Book Antiqua" w:hAnsi="Book Antiqua"/>
        </w:rPr>
        <w:t>potential significance</w:t>
      </w:r>
      <w:r w:rsidR="006B2909">
        <w:rPr>
          <w:rFonts w:ascii="Book Antiqua" w:hAnsi="Book Antiqua"/>
        </w:rPr>
        <w:t xml:space="preserve">.  </w:t>
      </w:r>
      <w:r w:rsidR="0081470D">
        <w:rPr>
          <w:rFonts w:ascii="Book Antiqua" w:hAnsi="Book Antiqua"/>
        </w:rPr>
        <w:t xml:space="preserve">Mr Kotas asked me to find this evidence unreliable.  In respect of tracing the Appellant did not give the Secretary of State </w:t>
      </w:r>
      <w:r w:rsidR="006B2909">
        <w:rPr>
          <w:rFonts w:ascii="Book Antiqua" w:hAnsi="Book Antiqua"/>
        </w:rPr>
        <w:t xml:space="preserve">a </w:t>
      </w:r>
      <w:r w:rsidR="0081470D">
        <w:rPr>
          <w:rFonts w:ascii="Book Antiqua" w:hAnsi="Book Antiqua"/>
        </w:rPr>
        <w:t>telephone number.  He did not return the proforma.  He has not given a</w:t>
      </w:r>
      <w:r w:rsidR="00B57A89">
        <w:rPr>
          <w:rFonts w:ascii="Book Antiqua" w:hAnsi="Book Antiqua"/>
        </w:rPr>
        <w:t xml:space="preserve"> cogent a</w:t>
      </w:r>
      <w:r w:rsidR="0081470D">
        <w:rPr>
          <w:rFonts w:ascii="Book Antiqua" w:hAnsi="Book Antiqua"/>
        </w:rPr>
        <w:t>ccount of what efforts he has made in order to contact his family in Afghanistan.  It is implausible that his family were not made aware of his safe arrival here.</w:t>
      </w:r>
      <w:r w:rsidR="002731FF">
        <w:rPr>
          <w:rFonts w:ascii="Book Antiqua" w:hAnsi="Book Antiqua"/>
        </w:rPr>
        <w:t xml:space="preserve"> </w:t>
      </w:r>
      <w:r w:rsidR="001860F1">
        <w:rPr>
          <w:rFonts w:ascii="Book Antiqua" w:hAnsi="Book Antiqua"/>
        </w:rPr>
        <w:t>The Secretary of State in this case had discharged his procedural obligation in terms of tracing</w:t>
      </w:r>
      <w:r w:rsidR="001860F1">
        <w:rPr>
          <w:rStyle w:val="FootnoteReference"/>
          <w:rFonts w:ascii="Book Antiqua" w:hAnsi="Book Antiqua"/>
        </w:rPr>
        <w:footnoteReference w:id="1"/>
      </w:r>
      <w:r w:rsidR="001860F1">
        <w:rPr>
          <w:rFonts w:ascii="Book Antiqua" w:hAnsi="Book Antiqua"/>
        </w:rPr>
        <w:t>.</w:t>
      </w:r>
    </w:p>
    <w:p w:rsidR="006B2909" w:rsidRDefault="00F27119" w:rsidP="000D7340">
      <w:pPr>
        <w:autoSpaceDE w:val="0"/>
        <w:autoSpaceDN w:val="0"/>
        <w:adjustRightInd w:val="0"/>
        <w:ind w:left="567" w:hanging="567"/>
        <w:jc w:val="both"/>
        <w:rPr>
          <w:rFonts w:ascii="Book Antiqua" w:hAnsi="Book Antiqua"/>
        </w:rPr>
      </w:pPr>
      <w:r>
        <w:rPr>
          <w:rFonts w:ascii="Book Antiqua" w:hAnsi="Book Antiqua"/>
        </w:rPr>
        <w:lastRenderedPageBreak/>
        <w:t>2</w:t>
      </w:r>
      <w:r w:rsidR="00983CA0">
        <w:rPr>
          <w:rFonts w:ascii="Book Antiqua" w:hAnsi="Book Antiqua"/>
        </w:rPr>
        <w:t>3</w:t>
      </w:r>
      <w:r w:rsidR="0081470D">
        <w:rPr>
          <w:rFonts w:ascii="Book Antiqua" w:hAnsi="Book Antiqua"/>
        </w:rPr>
        <w:t>.</w:t>
      </w:r>
      <w:r w:rsidR="0081470D">
        <w:rPr>
          <w:rFonts w:ascii="Book Antiqua" w:hAnsi="Book Antiqua"/>
        </w:rPr>
        <w:tab/>
      </w:r>
      <w:r w:rsidR="0094159D">
        <w:rPr>
          <w:rFonts w:ascii="Book Antiqua" w:hAnsi="Book Antiqua"/>
        </w:rPr>
        <w:t>T</w:t>
      </w:r>
      <w:r w:rsidR="0081470D">
        <w:rPr>
          <w:rFonts w:ascii="Book Antiqua" w:hAnsi="Book Antiqua"/>
        </w:rPr>
        <w:t xml:space="preserve">he burden of proof is on the Appellant.  </w:t>
      </w:r>
      <w:r w:rsidR="0094159D">
        <w:rPr>
          <w:rFonts w:ascii="Book Antiqua" w:hAnsi="Book Antiqua"/>
        </w:rPr>
        <w:t>T</w:t>
      </w:r>
      <w:r w:rsidR="0081470D">
        <w:rPr>
          <w:rFonts w:ascii="Book Antiqua" w:hAnsi="Book Antiqua"/>
        </w:rPr>
        <w:t xml:space="preserve">he case of </w:t>
      </w:r>
      <w:r w:rsidR="0081470D" w:rsidRPr="00B57A89">
        <w:rPr>
          <w:rFonts w:ascii="Book Antiqua" w:hAnsi="Book Antiqua"/>
          <w:i/>
        </w:rPr>
        <w:t xml:space="preserve">JK </w:t>
      </w:r>
      <w:r w:rsidR="0081470D">
        <w:rPr>
          <w:rFonts w:ascii="Book Antiqua" w:hAnsi="Book Antiqua"/>
        </w:rPr>
        <w:t xml:space="preserve">does not reverse the burden of proof.  </w:t>
      </w:r>
      <w:r w:rsidR="006B2909">
        <w:rPr>
          <w:rFonts w:ascii="Book Antiqua" w:hAnsi="Book Antiqua"/>
        </w:rPr>
        <w:t xml:space="preserve">It </w:t>
      </w:r>
      <w:r w:rsidR="00983CA0">
        <w:rPr>
          <w:rFonts w:ascii="Book Antiqua" w:hAnsi="Book Antiqua"/>
        </w:rPr>
        <w:t>was</w:t>
      </w:r>
      <w:r w:rsidR="006B2909">
        <w:rPr>
          <w:rFonts w:ascii="Book Antiqua" w:hAnsi="Book Antiqua"/>
        </w:rPr>
        <w:t xml:space="preserve"> unarguable that the burden of proof </w:t>
      </w:r>
      <w:r w:rsidR="00983CA0">
        <w:rPr>
          <w:rFonts w:ascii="Book Antiqua" w:hAnsi="Book Antiqua"/>
        </w:rPr>
        <w:t>was</w:t>
      </w:r>
      <w:r w:rsidR="006B2909">
        <w:rPr>
          <w:rFonts w:ascii="Book Antiqua" w:hAnsi="Book Antiqua"/>
        </w:rPr>
        <w:t xml:space="preserve"> now as advanced by Mr Bedford</w:t>
      </w:r>
      <w:r w:rsidR="00B57A89">
        <w:rPr>
          <w:rFonts w:ascii="Book Antiqua" w:hAnsi="Book Antiqua"/>
        </w:rPr>
        <w:t xml:space="preserve">. This would be </w:t>
      </w:r>
      <w:r w:rsidR="006B2909">
        <w:rPr>
          <w:rFonts w:ascii="Book Antiqua" w:hAnsi="Book Antiqua"/>
        </w:rPr>
        <w:t>inconsistent with UNHCR</w:t>
      </w:r>
      <w:r w:rsidR="00271F8A">
        <w:rPr>
          <w:rStyle w:val="FootnoteReference"/>
          <w:rFonts w:ascii="Book Antiqua" w:hAnsi="Book Antiqua"/>
        </w:rPr>
        <w:footnoteReference w:id="2"/>
      </w:r>
      <w:r w:rsidR="00271F8A">
        <w:rPr>
          <w:rFonts w:ascii="Book Antiqua" w:hAnsi="Book Antiqua"/>
        </w:rPr>
        <w:t>.</w:t>
      </w:r>
      <w:r w:rsidR="006B2909">
        <w:rPr>
          <w:rFonts w:ascii="Book Antiqua" w:hAnsi="Book Antiqua"/>
        </w:rPr>
        <w:t xml:space="preserve"> guidelines</w:t>
      </w:r>
      <w:r w:rsidR="00B57A89">
        <w:rPr>
          <w:rFonts w:ascii="Book Antiqua" w:hAnsi="Book Antiqua"/>
        </w:rPr>
        <w:t xml:space="preserve"> set out in </w:t>
      </w:r>
      <w:r w:rsidR="00983CA0" w:rsidRPr="00983CA0">
        <w:rPr>
          <w:rFonts w:ascii="Book Antiqua" w:hAnsi="Book Antiqua"/>
          <w:i/>
        </w:rPr>
        <w:t>JK</w:t>
      </w:r>
      <w:r w:rsidR="006B2909">
        <w:rPr>
          <w:rFonts w:ascii="Book Antiqua" w:hAnsi="Book Antiqua"/>
        </w:rPr>
        <w:t xml:space="preserve">.  The </w:t>
      </w:r>
      <w:r w:rsidR="006B2909">
        <w:rPr>
          <w:rFonts w:ascii="Book Antiqua" w:hAnsi="Book Antiqua"/>
        </w:rPr>
        <w:lastRenderedPageBreak/>
        <w:t xml:space="preserve">Grand Chamber </w:t>
      </w:r>
      <w:r w:rsidR="00B57A89">
        <w:rPr>
          <w:rFonts w:ascii="Book Antiqua" w:hAnsi="Book Antiqua"/>
        </w:rPr>
        <w:t xml:space="preserve">if </w:t>
      </w:r>
      <w:r w:rsidR="00B57A89" w:rsidRPr="00B57A89">
        <w:rPr>
          <w:rFonts w:ascii="Book Antiqua" w:hAnsi="Book Antiqua"/>
          <w:i/>
        </w:rPr>
        <w:t>JK</w:t>
      </w:r>
      <w:r w:rsidR="002731FF">
        <w:rPr>
          <w:rFonts w:ascii="Book Antiqua" w:hAnsi="Book Antiqua"/>
          <w:i/>
        </w:rPr>
        <w:t xml:space="preserve"> </w:t>
      </w:r>
      <w:r w:rsidR="006B2909">
        <w:rPr>
          <w:rFonts w:ascii="Book Antiqua" w:hAnsi="Book Antiqua"/>
        </w:rPr>
        <w:t>consider</w:t>
      </w:r>
      <w:r w:rsidR="00B57A89">
        <w:rPr>
          <w:rFonts w:ascii="Book Antiqua" w:hAnsi="Book Antiqua"/>
        </w:rPr>
        <w:t>ed</w:t>
      </w:r>
      <w:r w:rsidR="006B2909">
        <w:rPr>
          <w:rFonts w:ascii="Book Antiqua" w:hAnsi="Book Antiqua"/>
        </w:rPr>
        <w:t xml:space="preserve"> the Secretary of State’s responsibilities in relation to objective and background country information </w:t>
      </w:r>
      <w:r w:rsidR="00B57A89">
        <w:rPr>
          <w:rFonts w:ascii="Book Antiqua" w:hAnsi="Book Antiqua"/>
        </w:rPr>
        <w:t xml:space="preserve">and </w:t>
      </w:r>
      <w:r w:rsidR="006B2909">
        <w:rPr>
          <w:rFonts w:ascii="Book Antiqua" w:hAnsi="Book Antiqua"/>
        </w:rPr>
        <w:t xml:space="preserve">did not attempt to reverse the established standard and burden of proof. </w:t>
      </w:r>
      <w:r w:rsidR="0081470D">
        <w:rPr>
          <w:rFonts w:ascii="Book Antiqua" w:hAnsi="Book Antiqua"/>
        </w:rPr>
        <w:t xml:space="preserve">In </w:t>
      </w:r>
      <w:r w:rsidR="006B2909">
        <w:rPr>
          <w:rFonts w:ascii="Book Antiqua" w:hAnsi="Book Antiqua"/>
        </w:rPr>
        <w:t xml:space="preserve">support of his submissions he </w:t>
      </w:r>
      <w:r w:rsidR="0081470D">
        <w:rPr>
          <w:rFonts w:ascii="Book Antiqua" w:hAnsi="Book Antiqua"/>
        </w:rPr>
        <w:t xml:space="preserve">referred me </w:t>
      </w:r>
      <w:r w:rsidR="006B2909">
        <w:rPr>
          <w:rFonts w:ascii="Book Antiqua" w:hAnsi="Book Antiqua"/>
        </w:rPr>
        <w:t>to [</w:t>
      </w:r>
      <w:r w:rsidR="0081470D">
        <w:rPr>
          <w:rFonts w:ascii="Book Antiqua" w:hAnsi="Book Antiqua"/>
        </w:rPr>
        <w:t>97</w:t>
      </w:r>
      <w:r w:rsidR="006B2909">
        <w:rPr>
          <w:rFonts w:ascii="Book Antiqua" w:hAnsi="Book Antiqua"/>
        </w:rPr>
        <w:t>]- [</w:t>
      </w:r>
      <w:r w:rsidR="0081470D">
        <w:rPr>
          <w:rFonts w:ascii="Book Antiqua" w:hAnsi="Book Antiqua"/>
        </w:rPr>
        <w:t>98</w:t>
      </w:r>
      <w:r w:rsidR="006B2909">
        <w:rPr>
          <w:rFonts w:ascii="Book Antiqua" w:hAnsi="Book Antiqua"/>
        </w:rPr>
        <w:t xml:space="preserve">] and [102] </w:t>
      </w:r>
      <w:r w:rsidR="00A22F48">
        <w:rPr>
          <w:rFonts w:ascii="Book Antiqua" w:hAnsi="Book Antiqua"/>
        </w:rPr>
        <w:t xml:space="preserve">of </w:t>
      </w:r>
      <w:r w:rsidR="00A22F48" w:rsidRPr="00A22F48">
        <w:rPr>
          <w:rFonts w:ascii="Book Antiqua" w:hAnsi="Book Antiqua"/>
          <w:i/>
        </w:rPr>
        <w:t>JK</w:t>
      </w:r>
      <w:r w:rsidR="002731FF">
        <w:rPr>
          <w:rFonts w:ascii="Book Antiqua" w:hAnsi="Book Antiqua"/>
          <w:i/>
        </w:rPr>
        <w:t xml:space="preserve"> </w:t>
      </w:r>
      <w:r w:rsidR="006B2909">
        <w:rPr>
          <w:rFonts w:ascii="Book Antiqua" w:hAnsi="Book Antiqua"/>
        </w:rPr>
        <w:t>and the UNHCR 1998 Note on the Burden and Standard of Proof in Refugee Claims set out at [53]. He re</w:t>
      </w:r>
      <w:r w:rsidR="00B57A89">
        <w:rPr>
          <w:rFonts w:ascii="Book Antiqua" w:hAnsi="Book Antiqua"/>
        </w:rPr>
        <w:t xml:space="preserve">ferred me to </w:t>
      </w:r>
      <w:r w:rsidR="006B2909">
        <w:rPr>
          <w:rFonts w:ascii="Book Antiqua" w:hAnsi="Book Antiqua"/>
        </w:rPr>
        <w:t xml:space="preserve">[41] of </w:t>
      </w:r>
      <w:r w:rsidR="006B2909" w:rsidRPr="006B2909">
        <w:rPr>
          <w:rFonts w:ascii="Book Antiqua" w:hAnsi="Book Antiqua"/>
          <w:i/>
        </w:rPr>
        <w:t>AM</w:t>
      </w:r>
      <w:r w:rsidR="006B2909">
        <w:rPr>
          <w:rFonts w:ascii="Book Antiqua" w:hAnsi="Book Antiqua"/>
        </w:rPr>
        <w:t xml:space="preserve">. </w:t>
      </w:r>
      <w:r w:rsidR="00B57A89">
        <w:rPr>
          <w:rFonts w:ascii="Book Antiqua" w:hAnsi="Book Antiqua"/>
        </w:rPr>
        <w:t xml:space="preserve">He submitted that </w:t>
      </w:r>
      <w:r w:rsidR="006B2909" w:rsidRPr="006B2909">
        <w:rPr>
          <w:rFonts w:ascii="Book Antiqua" w:hAnsi="Book Antiqua"/>
          <w:i/>
        </w:rPr>
        <w:t>Paposhvili</w:t>
      </w:r>
      <w:r w:rsidR="006B2909">
        <w:rPr>
          <w:rFonts w:ascii="Book Antiqua" w:hAnsi="Book Antiqua"/>
        </w:rPr>
        <w:t xml:space="preserve"> was concerned with extreme medical cases.  In any event, the breach</w:t>
      </w:r>
      <w:r w:rsidR="00CE7336">
        <w:rPr>
          <w:rFonts w:ascii="Book Antiqua" w:hAnsi="Book Antiqua"/>
        </w:rPr>
        <w:t xml:space="preserve"> found</w:t>
      </w:r>
      <w:r w:rsidR="006B2909">
        <w:rPr>
          <w:rFonts w:ascii="Book Antiqua" w:hAnsi="Book Antiqua"/>
        </w:rPr>
        <w:t xml:space="preserve"> in </w:t>
      </w:r>
      <w:r w:rsidR="006B2909" w:rsidRPr="006B2909">
        <w:rPr>
          <w:rFonts w:ascii="Book Antiqua" w:hAnsi="Book Antiqua"/>
          <w:i/>
        </w:rPr>
        <w:t>Paposhvili</w:t>
      </w:r>
      <w:r w:rsidR="006B2909">
        <w:rPr>
          <w:rFonts w:ascii="Book Antiqua" w:hAnsi="Book Antiqua"/>
        </w:rPr>
        <w:t xml:space="preserve"> was procedural </w:t>
      </w:r>
      <w:r w:rsidR="00120B26">
        <w:rPr>
          <w:rFonts w:ascii="Book Antiqua" w:hAnsi="Book Antiqua"/>
        </w:rPr>
        <w:t xml:space="preserve">in nature </w:t>
      </w:r>
      <w:r w:rsidR="006B2909">
        <w:rPr>
          <w:rFonts w:ascii="Book Antiqua" w:hAnsi="Book Antiqua"/>
        </w:rPr>
        <w:t xml:space="preserve">and not substantive.  </w:t>
      </w:r>
    </w:p>
    <w:p w:rsidR="006B2909" w:rsidRDefault="006B2909" w:rsidP="000D7340">
      <w:pPr>
        <w:autoSpaceDE w:val="0"/>
        <w:autoSpaceDN w:val="0"/>
        <w:adjustRightInd w:val="0"/>
        <w:ind w:left="567" w:hanging="567"/>
        <w:jc w:val="both"/>
        <w:rPr>
          <w:rFonts w:ascii="Book Antiqua" w:hAnsi="Book Antiqua"/>
        </w:rPr>
      </w:pPr>
    </w:p>
    <w:p w:rsidR="004656B2" w:rsidRPr="00DC1723" w:rsidRDefault="004656B2" w:rsidP="000D7340">
      <w:pPr>
        <w:autoSpaceDE w:val="0"/>
        <w:autoSpaceDN w:val="0"/>
        <w:adjustRightInd w:val="0"/>
        <w:ind w:left="567" w:hanging="567"/>
        <w:jc w:val="both"/>
        <w:rPr>
          <w:rFonts w:ascii="Book Antiqua" w:hAnsi="Book Antiqua"/>
          <w:i/>
        </w:rPr>
      </w:pPr>
      <w:r w:rsidRPr="00DC1723">
        <w:rPr>
          <w:rFonts w:ascii="Book Antiqua" w:hAnsi="Book Antiqua"/>
          <w:i/>
        </w:rPr>
        <w:t>Findings and Reasons</w:t>
      </w:r>
    </w:p>
    <w:p w:rsidR="004656B2" w:rsidRPr="00DC1723" w:rsidRDefault="004656B2" w:rsidP="000D7340">
      <w:pPr>
        <w:autoSpaceDE w:val="0"/>
        <w:autoSpaceDN w:val="0"/>
        <w:adjustRightInd w:val="0"/>
        <w:ind w:left="567" w:hanging="567"/>
        <w:jc w:val="both"/>
        <w:rPr>
          <w:rFonts w:ascii="Book Antiqua" w:hAnsi="Book Antiqua"/>
          <w:i/>
        </w:rPr>
      </w:pPr>
    </w:p>
    <w:p w:rsidR="00645A79" w:rsidRPr="00784501" w:rsidRDefault="00F27119" w:rsidP="00645A79">
      <w:pPr>
        <w:autoSpaceDE w:val="0"/>
        <w:autoSpaceDN w:val="0"/>
        <w:adjustRightInd w:val="0"/>
        <w:ind w:left="567" w:hanging="567"/>
        <w:jc w:val="both"/>
        <w:rPr>
          <w:rFonts w:ascii="Book Antiqua" w:hAnsi="Book Antiqua"/>
          <w:sz w:val="20"/>
          <w:szCs w:val="20"/>
        </w:rPr>
      </w:pPr>
      <w:r>
        <w:rPr>
          <w:rFonts w:ascii="Book Antiqua" w:hAnsi="Book Antiqua"/>
        </w:rPr>
        <w:t>2</w:t>
      </w:r>
      <w:r w:rsidR="00271F8A">
        <w:rPr>
          <w:rFonts w:ascii="Book Antiqua" w:hAnsi="Book Antiqua"/>
        </w:rPr>
        <w:t>4</w:t>
      </w:r>
      <w:r>
        <w:rPr>
          <w:rFonts w:ascii="Book Antiqua" w:hAnsi="Book Antiqua"/>
        </w:rPr>
        <w:t>.</w:t>
      </w:r>
      <w:r w:rsidR="004656B2">
        <w:rPr>
          <w:rFonts w:ascii="Book Antiqua" w:hAnsi="Book Antiqua"/>
        </w:rPr>
        <w:tab/>
      </w:r>
      <w:r w:rsidR="00DE695B">
        <w:rPr>
          <w:rFonts w:ascii="Book Antiqua" w:hAnsi="Book Antiqua"/>
        </w:rPr>
        <w:t xml:space="preserve">N </w:t>
      </w:r>
      <w:r w:rsidR="00DE695B" w:rsidRPr="00DE695B">
        <w:rPr>
          <w:rFonts w:ascii="Book Antiqua" w:hAnsi="Book Antiqua"/>
          <w:i/>
          <w:iCs/>
          <w:color w:val="000000"/>
        </w:rPr>
        <w:t>v United Kingdom</w:t>
      </w:r>
      <w:r w:rsidR="002731FF">
        <w:rPr>
          <w:rFonts w:ascii="Book Antiqua" w:hAnsi="Book Antiqua"/>
          <w:i/>
          <w:iCs/>
          <w:color w:val="000000"/>
        </w:rPr>
        <w:t xml:space="preserve"> </w:t>
      </w:r>
      <w:hyperlink r:id="rId9" w:tooltip="Link to BAILII version" w:history="1">
        <w:r w:rsidR="00DE695B" w:rsidRPr="00271F8A">
          <w:rPr>
            <w:rStyle w:val="Hyperlink"/>
            <w:color w:val="0066CC"/>
            <w:u w:val="none"/>
          </w:rPr>
          <w:t xml:space="preserve">[2008] ECHR </w:t>
        </w:r>
        <w:r w:rsidR="00DE695B" w:rsidRPr="00271F8A">
          <w:rPr>
            <w:rStyle w:val="Hyperlink"/>
            <w:color w:val="0066CC"/>
            <w:sz w:val="21"/>
            <w:szCs w:val="21"/>
            <w:u w:val="none"/>
          </w:rPr>
          <w:t>453</w:t>
        </w:r>
      </w:hyperlink>
      <w:r w:rsidR="00DA36C6">
        <w:t xml:space="preserve"> </w:t>
      </w:r>
      <w:r w:rsidR="00DE695B">
        <w:t xml:space="preserve">is binding </w:t>
      </w:r>
      <w:r w:rsidR="00DE695B" w:rsidRPr="00DE695B">
        <w:t xml:space="preserve">as recently concluded by the UT in and </w:t>
      </w:r>
      <w:r w:rsidR="00DE695B" w:rsidRPr="00DE695B">
        <w:rPr>
          <w:rFonts w:ascii="Book Antiqua" w:hAnsi="Book Antiqua"/>
          <w:i/>
        </w:rPr>
        <w:t>EA and Ors</w:t>
      </w:r>
      <w:r w:rsidR="00DE695B" w:rsidRPr="00DE695B">
        <w:rPr>
          <w:rFonts w:ascii="Book Antiqua" w:hAnsi="Book Antiqua"/>
        </w:rPr>
        <w:t xml:space="preserve"> (</w:t>
      </w:r>
      <w:r w:rsidR="00DE695B" w:rsidRPr="00DE695B">
        <w:rPr>
          <w:rFonts w:ascii="Book Antiqua" w:hAnsi="Book Antiqua"/>
          <w:i/>
        </w:rPr>
        <w:t>Article 3 medical cases</w:t>
      </w:r>
      <w:r w:rsidR="00DE695B" w:rsidRPr="00DE695B">
        <w:rPr>
          <w:rFonts w:ascii="Book Antiqua" w:hAnsi="Book Antiqua"/>
        </w:rPr>
        <w:t xml:space="preserve"> – </w:t>
      </w:r>
      <w:r w:rsidR="00DE695B" w:rsidRPr="00DE695B">
        <w:rPr>
          <w:rFonts w:ascii="Book Antiqua" w:hAnsi="Book Antiqua"/>
          <w:i/>
        </w:rPr>
        <w:t>Paposhivili not applicable</w:t>
      </w:r>
      <w:r w:rsidR="00DE695B" w:rsidRPr="00DE695B">
        <w:rPr>
          <w:rFonts w:ascii="Book Antiqua" w:hAnsi="Book Antiqua"/>
        </w:rPr>
        <w:t>) [2017] UKUT 445</w:t>
      </w:r>
      <w:r w:rsidR="00CE7336">
        <w:rPr>
          <w:rFonts w:ascii="Book Antiqua" w:hAnsi="Book Antiqua"/>
        </w:rPr>
        <w:t xml:space="preserve"> and confirmed by the Court of Appeal in </w:t>
      </w:r>
      <w:r w:rsidR="00CE7336" w:rsidRPr="00CE7336">
        <w:rPr>
          <w:rFonts w:ascii="Book Antiqua" w:hAnsi="Book Antiqua"/>
          <w:i/>
        </w:rPr>
        <w:t>AM</w:t>
      </w:r>
      <w:r w:rsidR="00CE7336">
        <w:rPr>
          <w:rFonts w:ascii="Book Antiqua" w:hAnsi="Book Antiqua"/>
        </w:rPr>
        <w:t>.</w:t>
      </w:r>
      <w:r w:rsidR="00DA36C6">
        <w:rPr>
          <w:rFonts w:ascii="Book Antiqua" w:hAnsi="Book Antiqua"/>
        </w:rPr>
        <w:t xml:space="preserve"> </w:t>
      </w:r>
      <w:r w:rsidR="00CB01F7">
        <w:rPr>
          <w:rFonts w:ascii="Book Antiqua" w:hAnsi="Book Antiqua"/>
        </w:rPr>
        <w:t xml:space="preserve">In any event, I do not accept that there is a viable argument for concluding that the Strasbourg approach has departed from the domestic approach.  The </w:t>
      </w:r>
      <w:r w:rsidR="004656B2">
        <w:rPr>
          <w:rFonts w:ascii="Book Antiqua" w:hAnsi="Book Antiqua"/>
        </w:rPr>
        <w:t xml:space="preserve">decisions of the Grand Chamber in </w:t>
      </w:r>
      <w:r w:rsidR="004656B2" w:rsidRPr="00CB01F7">
        <w:rPr>
          <w:rFonts w:ascii="Book Antiqua" w:hAnsi="Book Antiqua"/>
          <w:i/>
        </w:rPr>
        <w:t xml:space="preserve">JK </w:t>
      </w:r>
      <w:r w:rsidR="004656B2">
        <w:rPr>
          <w:rFonts w:ascii="Book Antiqua" w:hAnsi="Book Antiqua"/>
        </w:rPr>
        <w:t xml:space="preserve">and </w:t>
      </w:r>
      <w:r w:rsidR="004656B2" w:rsidRPr="00CB01F7">
        <w:rPr>
          <w:rFonts w:ascii="Book Antiqua" w:hAnsi="Book Antiqua"/>
          <w:i/>
        </w:rPr>
        <w:t>Paposhvili</w:t>
      </w:r>
      <w:r w:rsidR="002731FF">
        <w:rPr>
          <w:rFonts w:ascii="Book Antiqua" w:hAnsi="Book Antiqua"/>
          <w:i/>
        </w:rPr>
        <w:t xml:space="preserve"> </w:t>
      </w:r>
      <w:r w:rsidR="004656B2">
        <w:rPr>
          <w:rFonts w:ascii="Book Antiqua" w:hAnsi="Book Antiqua"/>
        </w:rPr>
        <w:t xml:space="preserve">do not have the effect that Mr Bedford suggests.  </w:t>
      </w:r>
      <w:r w:rsidR="00645A79">
        <w:rPr>
          <w:rFonts w:ascii="Book Antiqua" w:hAnsi="Book Antiqua"/>
        </w:rPr>
        <w:t xml:space="preserve">Mr Bedford relied on [91] of </w:t>
      </w:r>
      <w:r w:rsidR="00645A79" w:rsidRPr="00645A79">
        <w:rPr>
          <w:rFonts w:ascii="Book Antiqua" w:hAnsi="Book Antiqua"/>
          <w:i/>
        </w:rPr>
        <w:t xml:space="preserve">JK. </w:t>
      </w:r>
      <w:r w:rsidR="00645A79" w:rsidRPr="00645A79">
        <w:rPr>
          <w:rFonts w:ascii="Book Antiqua" w:hAnsi="Book Antiqua"/>
        </w:rPr>
        <w:t xml:space="preserve">However, this paragraph </w:t>
      </w:r>
      <w:r w:rsidR="00CE7336">
        <w:rPr>
          <w:rFonts w:ascii="Book Antiqua" w:hAnsi="Book Antiqua"/>
        </w:rPr>
        <w:t xml:space="preserve">should not be taken out of context. In </w:t>
      </w:r>
      <w:r w:rsidR="00CE7336" w:rsidRPr="00CE7336">
        <w:rPr>
          <w:rFonts w:ascii="Book Antiqua" w:hAnsi="Book Antiqua"/>
          <w:i/>
        </w:rPr>
        <w:t xml:space="preserve">JK </w:t>
      </w:r>
      <w:r w:rsidR="00CE7336">
        <w:rPr>
          <w:rFonts w:ascii="Book Antiqua" w:hAnsi="Book Antiqua"/>
        </w:rPr>
        <w:t xml:space="preserve">the </w:t>
      </w:r>
      <w:r w:rsidR="00645A79" w:rsidRPr="00645A79">
        <w:rPr>
          <w:rFonts w:ascii="Book Antiqua" w:hAnsi="Book Antiqua"/>
        </w:rPr>
        <w:t>Grand Chamber considered the distribution of the burden of proof and stated as follows</w:t>
      </w:r>
      <w:r w:rsidR="00645A79" w:rsidRPr="00784501">
        <w:rPr>
          <w:rFonts w:ascii="Book Antiqua" w:hAnsi="Book Antiqua"/>
          <w:sz w:val="20"/>
          <w:szCs w:val="20"/>
        </w:rPr>
        <w:t>:-</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“91.</w:t>
      </w:r>
      <w:r w:rsidRPr="00784501">
        <w:rPr>
          <w:rFonts w:ascii="Book Antiqua" w:hAnsi="Book Antiqua"/>
          <w:sz w:val="20"/>
          <w:szCs w:val="20"/>
        </w:rPr>
        <w:tab/>
        <w:t>Regarding the burden of proof in expulsion cases, it is the Court’s</w:t>
      </w:r>
      <w:r w:rsidR="002731FF">
        <w:rPr>
          <w:rFonts w:ascii="Book Antiqua" w:hAnsi="Book Antiqua"/>
          <w:sz w:val="20"/>
          <w:szCs w:val="20"/>
        </w:rPr>
        <w:t xml:space="preserve"> </w:t>
      </w:r>
      <w:r w:rsidRPr="00784501">
        <w:rPr>
          <w:rFonts w:ascii="Book Antiqua" w:hAnsi="Book Antiqua"/>
          <w:sz w:val="20"/>
          <w:szCs w:val="20"/>
        </w:rPr>
        <w:t>well-established case-law that it is in principle for the applicant to adduce</w:t>
      </w:r>
      <w:r w:rsidR="002731FF">
        <w:rPr>
          <w:rFonts w:ascii="Book Antiqua" w:hAnsi="Book Antiqua"/>
          <w:sz w:val="20"/>
          <w:szCs w:val="20"/>
        </w:rPr>
        <w:t xml:space="preserve"> </w:t>
      </w:r>
      <w:r w:rsidRPr="00784501">
        <w:rPr>
          <w:rFonts w:ascii="Book Antiqua" w:hAnsi="Book Antiqua"/>
          <w:sz w:val="20"/>
          <w:szCs w:val="20"/>
        </w:rPr>
        <w:t>evidence capable of proving that there are substantial grounds for believing</w:t>
      </w:r>
      <w:r w:rsidR="002731FF">
        <w:rPr>
          <w:rFonts w:ascii="Book Antiqua" w:hAnsi="Book Antiqua"/>
          <w:sz w:val="20"/>
          <w:szCs w:val="20"/>
        </w:rPr>
        <w:t xml:space="preserve"> </w:t>
      </w:r>
      <w:r w:rsidRPr="00784501">
        <w:rPr>
          <w:rFonts w:ascii="Book Antiqua" w:hAnsi="Book Antiqua"/>
          <w:sz w:val="20"/>
          <w:szCs w:val="20"/>
        </w:rPr>
        <w:t>that, if the measure complained of were to be implemented, he or she would</w:t>
      </w:r>
      <w:r w:rsidR="002731FF">
        <w:rPr>
          <w:rFonts w:ascii="Book Antiqua" w:hAnsi="Book Antiqua"/>
          <w:sz w:val="20"/>
          <w:szCs w:val="20"/>
        </w:rPr>
        <w:t xml:space="preserve"> </w:t>
      </w:r>
      <w:r w:rsidRPr="00784501">
        <w:rPr>
          <w:rFonts w:ascii="Book Antiqua" w:hAnsi="Book Antiqua"/>
          <w:sz w:val="20"/>
          <w:szCs w:val="20"/>
        </w:rPr>
        <w:t>be exposed to a real risk of being subjected to treatment contrary to</w:t>
      </w:r>
      <w:r w:rsidR="002731FF">
        <w:rPr>
          <w:rFonts w:ascii="Book Antiqua" w:hAnsi="Book Antiqua"/>
          <w:sz w:val="20"/>
          <w:szCs w:val="20"/>
        </w:rPr>
        <w:t xml:space="preserve"> </w:t>
      </w:r>
      <w:r w:rsidRPr="00784501">
        <w:rPr>
          <w:rFonts w:ascii="Book Antiqua" w:hAnsi="Book Antiqua"/>
          <w:sz w:val="20"/>
          <w:szCs w:val="20"/>
        </w:rPr>
        <w:t>Article 3; and that where such evidence is adduced, it is for the Government</w:t>
      </w:r>
      <w:r w:rsidR="002731FF">
        <w:rPr>
          <w:rFonts w:ascii="Book Antiqua" w:hAnsi="Book Antiqua"/>
          <w:sz w:val="20"/>
          <w:szCs w:val="20"/>
        </w:rPr>
        <w:t xml:space="preserve"> </w:t>
      </w:r>
      <w:r w:rsidRPr="00784501">
        <w:rPr>
          <w:rFonts w:ascii="Book Antiqua" w:hAnsi="Book Antiqua"/>
          <w:sz w:val="20"/>
          <w:szCs w:val="20"/>
        </w:rPr>
        <w:t>to dispel any doubts about it (see F.G. v. Sweden, cited above, § 120; Saadi</w:t>
      </w:r>
      <w:r w:rsidR="002731FF">
        <w:rPr>
          <w:rFonts w:ascii="Book Antiqua" w:hAnsi="Book Antiqua"/>
          <w:sz w:val="20"/>
          <w:szCs w:val="20"/>
        </w:rPr>
        <w:t xml:space="preserve"> </w:t>
      </w:r>
      <w:r w:rsidRPr="00784501">
        <w:rPr>
          <w:rFonts w:ascii="Book Antiqua" w:hAnsi="Book Antiqua"/>
          <w:sz w:val="20"/>
          <w:szCs w:val="20"/>
        </w:rPr>
        <w:t>v. Italy, cited above, § 129; NA. v. the United Kingdom, cited above, § 111; and R.C. v. Sweden, cited above, § 50).</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92.</w:t>
      </w:r>
      <w:r w:rsidRPr="00784501">
        <w:rPr>
          <w:rFonts w:ascii="Book Antiqua" w:hAnsi="Book Antiqua"/>
          <w:sz w:val="20"/>
          <w:szCs w:val="20"/>
        </w:rPr>
        <w:tab/>
        <w:t>According to the Court’s case-law, it is incumbent on persons who</w:t>
      </w:r>
      <w:r w:rsidR="002731FF">
        <w:rPr>
          <w:rFonts w:ascii="Book Antiqua" w:hAnsi="Book Antiqua"/>
          <w:sz w:val="20"/>
          <w:szCs w:val="20"/>
        </w:rPr>
        <w:t xml:space="preserve"> </w:t>
      </w:r>
      <w:r w:rsidRPr="00784501">
        <w:rPr>
          <w:rFonts w:ascii="Book Antiqua" w:hAnsi="Book Antiqua"/>
          <w:sz w:val="20"/>
          <w:szCs w:val="20"/>
        </w:rPr>
        <w:t>allege that their expulsion would amount to a breach of Article 3 to adduce,</w:t>
      </w:r>
      <w:r w:rsidR="002731FF">
        <w:rPr>
          <w:rFonts w:ascii="Book Antiqua" w:hAnsi="Book Antiqua"/>
          <w:sz w:val="20"/>
          <w:szCs w:val="20"/>
        </w:rPr>
        <w:t xml:space="preserve"> </w:t>
      </w:r>
      <w:r w:rsidRPr="00784501">
        <w:rPr>
          <w:rFonts w:ascii="Book Antiqua" w:hAnsi="Book Antiqua"/>
          <w:sz w:val="20"/>
          <w:szCs w:val="20"/>
        </w:rPr>
        <w:t>to the greatest extent practically possible, material and information allowing</w:t>
      </w:r>
      <w:r w:rsidR="002731FF">
        <w:rPr>
          <w:rFonts w:ascii="Book Antiqua" w:hAnsi="Book Antiqua"/>
          <w:sz w:val="20"/>
          <w:szCs w:val="20"/>
        </w:rPr>
        <w:t xml:space="preserve"> </w:t>
      </w:r>
      <w:r w:rsidRPr="00784501">
        <w:rPr>
          <w:rFonts w:ascii="Book Antiqua" w:hAnsi="Book Antiqua"/>
          <w:sz w:val="20"/>
          <w:szCs w:val="20"/>
        </w:rPr>
        <w:t>the authorities of the Contracting State concerned, as well as the Court, to</w:t>
      </w:r>
      <w:r w:rsidR="002731FF">
        <w:rPr>
          <w:rFonts w:ascii="Book Antiqua" w:hAnsi="Book Antiqua"/>
          <w:sz w:val="20"/>
          <w:szCs w:val="20"/>
        </w:rPr>
        <w:t xml:space="preserve"> </w:t>
      </w:r>
      <w:r w:rsidRPr="00784501">
        <w:rPr>
          <w:rFonts w:ascii="Book Antiqua" w:hAnsi="Book Antiqua"/>
          <w:sz w:val="20"/>
          <w:szCs w:val="20"/>
        </w:rPr>
        <w:t xml:space="preserve">assess the risk a removal may entail (see </w:t>
      </w:r>
      <w:r w:rsidRPr="00784501">
        <w:rPr>
          <w:rFonts w:ascii="Book Antiqua" w:hAnsi="Book Antiqua"/>
          <w:i/>
          <w:iCs/>
          <w:sz w:val="20"/>
          <w:szCs w:val="20"/>
        </w:rPr>
        <w:t>Said v. the Netherlands</w:t>
      </w:r>
      <w:r w:rsidRPr="00784501">
        <w:rPr>
          <w:rFonts w:ascii="Book Antiqua" w:hAnsi="Book Antiqua"/>
          <w:sz w:val="20"/>
          <w:szCs w:val="20"/>
        </w:rPr>
        <w:t>,</w:t>
      </w:r>
      <w:r w:rsidR="002731FF">
        <w:rPr>
          <w:rFonts w:ascii="Book Antiqua" w:hAnsi="Book Antiqua"/>
          <w:sz w:val="20"/>
          <w:szCs w:val="20"/>
        </w:rPr>
        <w:t xml:space="preserve"> </w:t>
      </w:r>
      <w:r w:rsidRPr="00784501">
        <w:rPr>
          <w:rFonts w:ascii="Book Antiqua" w:hAnsi="Book Antiqua"/>
          <w:sz w:val="20"/>
          <w:szCs w:val="20"/>
        </w:rPr>
        <w:t>no. 2345/02, § 49, ECHR 2005-VI).The Court, however, acknowledges the</w:t>
      </w:r>
      <w:r w:rsidR="002731FF">
        <w:rPr>
          <w:rFonts w:ascii="Book Antiqua" w:hAnsi="Book Antiqua"/>
          <w:sz w:val="20"/>
          <w:szCs w:val="20"/>
        </w:rPr>
        <w:t xml:space="preserve"> </w:t>
      </w:r>
      <w:r w:rsidRPr="00784501">
        <w:rPr>
          <w:rFonts w:ascii="Book Antiqua" w:hAnsi="Book Antiqua"/>
          <w:sz w:val="20"/>
          <w:szCs w:val="20"/>
        </w:rPr>
        <w:t>fact that with regard to applications for recognition of refugee status, it may</w:t>
      </w:r>
      <w:r w:rsidR="002731FF">
        <w:rPr>
          <w:rFonts w:ascii="Book Antiqua" w:hAnsi="Book Antiqua"/>
          <w:sz w:val="20"/>
          <w:szCs w:val="20"/>
        </w:rPr>
        <w:t xml:space="preserve"> </w:t>
      </w:r>
      <w:r w:rsidRPr="00784501">
        <w:rPr>
          <w:rFonts w:ascii="Book Antiqua" w:hAnsi="Book Antiqua"/>
          <w:sz w:val="20"/>
          <w:szCs w:val="20"/>
        </w:rPr>
        <w:t>be difficult, if not impossible, for the person concerned to supply evidence</w:t>
      </w:r>
      <w:r w:rsidR="002731FF">
        <w:rPr>
          <w:rFonts w:ascii="Book Antiqua" w:hAnsi="Book Antiqua"/>
          <w:sz w:val="20"/>
          <w:szCs w:val="20"/>
        </w:rPr>
        <w:t xml:space="preserve"> </w:t>
      </w:r>
      <w:r w:rsidRPr="00784501">
        <w:rPr>
          <w:rFonts w:ascii="Book Antiqua" w:hAnsi="Book Antiqua"/>
          <w:sz w:val="20"/>
          <w:szCs w:val="20"/>
        </w:rPr>
        <w:t>within a short time, especially if such evidence must be obtained from the</w:t>
      </w:r>
      <w:r w:rsidR="002731FF">
        <w:rPr>
          <w:rFonts w:ascii="Book Antiqua" w:hAnsi="Book Antiqua"/>
          <w:sz w:val="20"/>
          <w:szCs w:val="20"/>
        </w:rPr>
        <w:t xml:space="preserve"> </w:t>
      </w:r>
      <w:r w:rsidRPr="00784501">
        <w:rPr>
          <w:rFonts w:ascii="Book Antiqua" w:hAnsi="Book Antiqua"/>
          <w:sz w:val="20"/>
          <w:szCs w:val="20"/>
        </w:rPr>
        <w:t>country from which he or she claims to have fled.  The lack of direct</w:t>
      </w:r>
      <w:r w:rsidR="002731FF">
        <w:rPr>
          <w:rFonts w:ascii="Book Antiqua" w:hAnsi="Book Antiqua"/>
          <w:sz w:val="20"/>
          <w:szCs w:val="20"/>
        </w:rPr>
        <w:t xml:space="preserve"> </w:t>
      </w:r>
      <w:r w:rsidRPr="00784501">
        <w:rPr>
          <w:rFonts w:ascii="Book Antiqua" w:hAnsi="Book Antiqua"/>
          <w:sz w:val="20"/>
          <w:szCs w:val="20"/>
        </w:rPr>
        <w:t xml:space="preserve">documentary evidence thus cannot be decisive </w:t>
      </w:r>
      <w:r w:rsidRPr="00784501">
        <w:rPr>
          <w:rFonts w:ascii="Book Antiqua" w:hAnsi="Book Antiqua"/>
          <w:i/>
          <w:iCs/>
          <w:sz w:val="20"/>
          <w:szCs w:val="20"/>
        </w:rPr>
        <w:t xml:space="preserve">per se </w:t>
      </w:r>
      <w:r w:rsidRPr="00784501">
        <w:rPr>
          <w:rFonts w:ascii="Book Antiqua" w:hAnsi="Book Antiqua"/>
          <w:sz w:val="20"/>
          <w:szCs w:val="20"/>
        </w:rPr>
        <w:t xml:space="preserve">(see </w:t>
      </w:r>
      <w:r w:rsidRPr="00784501">
        <w:rPr>
          <w:rFonts w:ascii="Book Antiqua" w:hAnsi="Book Antiqua"/>
          <w:i/>
          <w:iCs/>
          <w:sz w:val="20"/>
          <w:szCs w:val="20"/>
        </w:rPr>
        <w:t>Bahaddar</w:t>
      </w:r>
      <w:r w:rsidR="002731FF">
        <w:rPr>
          <w:rFonts w:ascii="Book Antiqua" w:hAnsi="Book Antiqua"/>
          <w:i/>
          <w:iCs/>
          <w:sz w:val="20"/>
          <w:szCs w:val="20"/>
        </w:rPr>
        <w:t xml:space="preserve"> </w:t>
      </w:r>
      <w:r w:rsidRPr="00784501">
        <w:rPr>
          <w:rFonts w:ascii="Book Antiqua" w:hAnsi="Book Antiqua"/>
          <w:i/>
          <w:iCs/>
          <w:sz w:val="20"/>
          <w:szCs w:val="20"/>
        </w:rPr>
        <w:t xml:space="preserve">v. the </w:t>
      </w:r>
      <w:r w:rsidRPr="00784501">
        <w:rPr>
          <w:rFonts w:ascii="Book Antiqua" w:hAnsi="Book Antiqua"/>
          <w:i/>
          <w:iCs/>
          <w:sz w:val="20"/>
          <w:szCs w:val="20"/>
        </w:rPr>
        <w:lastRenderedPageBreak/>
        <w:t>Netherlands</w:t>
      </w:r>
      <w:r w:rsidRPr="00784501">
        <w:rPr>
          <w:rFonts w:ascii="Book Antiqua" w:hAnsi="Book Antiqua"/>
          <w:sz w:val="20"/>
          <w:szCs w:val="20"/>
        </w:rPr>
        <w:t xml:space="preserve">, 19 February 1998, § 45, </w:t>
      </w:r>
      <w:r w:rsidRPr="00784501">
        <w:rPr>
          <w:rFonts w:ascii="Book Antiqua" w:hAnsi="Book Antiqua"/>
          <w:i/>
          <w:iCs/>
          <w:sz w:val="20"/>
          <w:szCs w:val="20"/>
        </w:rPr>
        <w:t xml:space="preserve">Reports </w:t>
      </w:r>
      <w:r w:rsidRPr="00784501">
        <w:rPr>
          <w:rFonts w:ascii="Book Antiqua" w:hAnsi="Book Antiqua"/>
          <w:sz w:val="20"/>
          <w:szCs w:val="20"/>
        </w:rPr>
        <w:t xml:space="preserve">1998-I, and, </w:t>
      </w:r>
      <w:r w:rsidRPr="00784501">
        <w:rPr>
          <w:rFonts w:ascii="Book Antiqua" w:hAnsi="Book Antiqua"/>
          <w:i/>
          <w:iCs/>
          <w:sz w:val="20"/>
          <w:szCs w:val="20"/>
        </w:rPr>
        <w:t>mutatis</w:t>
      </w:r>
      <w:r w:rsidR="002731FF">
        <w:rPr>
          <w:rFonts w:ascii="Book Antiqua" w:hAnsi="Book Antiqua"/>
          <w:i/>
          <w:iCs/>
          <w:sz w:val="20"/>
          <w:szCs w:val="20"/>
        </w:rPr>
        <w:t xml:space="preserve"> </w:t>
      </w:r>
      <w:r w:rsidRPr="00784501">
        <w:rPr>
          <w:rFonts w:ascii="Book Antiqua" w:hAnsi="Book Antiqua"/>
          <w:i/>
          <w:iCs/>
          <w:sz w:val="20"/>
          <w:szCs w:val="20"/>
        </w:rPr>
        <w:t>mutandis, Said</w:t>
      </w:r>
      <w:r w:rsidRPr="00784501">
        <w:rPr>
          <w:rFonts w:ascii="Book Antiqua" w:hAnsi="Book Antiqua"/>
          <w:sz w:val="20"/>
          <w:szCs w:val="20"/>
        </w:rPr>
        <w:t>, cited above, § 49).</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93.</w:t>
      </w:r>
      <w:r w:rsidRPr="00784501">
        <w:rPr>
          <w:rFonts w:ascii="Book Antiqua" w:hAnsi="Book Antiqua"/>
          <w:sz w:val="20"/>
          <w:szCs w:val="20"/>
        </w:rPr>
        <w:tab/>
        <w:t>Owing to the special situation in which asylum-seekers often find</w:t>
      </w:r>
      <w:r w:rsidR="002731FF">
        <w:rPr>
          <w:rFonts w:ascii="Book Antiqua" w:hAnsi="Book Antiqua"/>
          <w:sz w:val="20"/>
          <w:szCs w:val="20"/>
        </w:rPr>
        <w:t xml:space="preserve"> </w:t>
      </w:r>
      <w:r w:rsidRPr="00784501">
        <w:rPr>
          <w:rFonts w:ascii="Book Antiqua" w:hAnsi="Book Antiqua"/>
          <w:sz w:val="20"/>
          <w:szCs w:val="20"/>
        </w:rPr>
        <w:t>themselves, it is frequently necessary to give them the benefit of the doubt</w:t>
      </w:r>
      <w:r w:rsidR="002731FF">
        <w:rPr>
          <w:rFonts w:ascii="Book Antiqua" w:hAnsi="Book Antiqua"/>
          <w:sz w:val="20"/>
          <w:szCs w:val="20"/>
        </w:rPr>
        <w:t xml:space="preserve"> </w:t>
      </w:r>
      <w:r w:rsidRPr="00784501">
        <w:rPr>
          <w:rFonts w:ascii="Book Antiqua" w:hAnsi="Book Antiqua"/>
          <w:sz w:val="20"/>
          <w:szCs w:val="20"/>
        </w:rPr>
        <w:t>when assessing the credibility of their statements and the documents</w:t>
      </w:r>
      <w:r w:rsidR="002731FF">
        <w:rPr>
          <w:rFonts w:ascii="Book Antiqua" w:hAnsi="Book Antiqua"/>
          <w:sz w:val="20"/>
          <w:szCs w:val="20"/>
        </w:rPr>
        <w:t xml:space="preserve"> </w:t>
      </w:r>
      <w:r w:rsidRPr="00784501">
        <w:rPr>
          <w:rFonts w:ascii="Book Antiqua" w:hAnsi="Book Antiqua"/>
          <w:sz w:val="20"/>
          <w:szCs w:val="20"/>
        </w:rPr>
        <w:t>submitted in support thereof.</w:t>
      </w:r>
      <w:r w:rsidR="002731FF">
        <w:rPr>
          <w:rFonts w:ascii="Book Antiqua" w:hAnsi="Book Antiqua"/>
          <w:sz w:val="20"/>
          <w:szCs w:val="20"/>
        </w:rPr>
        <w:t xml:space="preserve"> </w:t>
      </w:r>
      <w:r w:rsidRPr="00784501">
        <w:rPr>
          <w:rFonts w:ascii="Book Antiqua" w:hAnsi="Book Antiqua"/>
          <w:sz w:val="20"/>
          <w:szCs w:val="20"/>
        </w:rPr>
        <w:t>Yet when information is presented which</w:t>
      </w:r>
      <w:r w:rsidR="002731FF">
        <w:rPr>
          <w:rFonts w:ascii="Book Antiqua" w:hAnsi="Book Antiqua"/>
          <w:sz w:val="20"/>
          <w:szCs w:val="20"/>
        </w:rPr>
        <w:t xml:space="preserve"> </w:t>
      </w:r>
      <w:r w:rsidRPr="00784501">
        <w:rPr>
          <w:rFonts w:ascii="Book Antiqua" w:hAnsi="Book Antiqua"/>
          <w:sz w:val="20"/>
          <w:szCs w:val="20"/>
        </w:rPr>
        <w:t>gives strong reasons to question the veracity of an asylum-seeker’s</w:t>
      </w:r>
      <w:r w:rsidR="002731FF">
        <w:rPr>
          <w:rFonts w:ascii="Book Antiqua" w:hAnsi="Book Antiqua"/>
          <w:sz w:val="20"/>
          <w:szCs w:val="20"/>
        </w:rPr>
        <w:t xml:space="preserve"> </w:t>
      </w:r>
      <w:r w:rsidRPr="00784501">
        <w:rPr>
          <w:rFonts w:ascii="Book Antiqua" w:hAnsi="Book Antiqua"/>
          <w:sz w:val="20"/>
          <w:szCs w:val="20"/>
        </w:rPr>
        <w:t>submissions, the individual must provide a satisfactory explanation for the</w:t>
      </w:r>
      <w:r w:rsidR="002731FF">
        <w:rPr>
          <w:rFonts w:ascii="Book Antiqua" w:hAnsi="Book Antiqua"/>
          <w:sz w:val="20"/>
          <w:szCs w:val="20"/>
        </w:rPr>
        <w:t xml:space="preserve"> </w:t>
      </w:r>
      <w:r w:rsidRPr="00784501">
        <w:rPr>
          <w:rFonts w:ascii="Book Antiqua" w:hAnsi="Book Antiqua"/>
          <w:sz w:val="20"/>
          <w:szCs w:val="20"/>
        </w:rPr>
        <w:t xml:space="preserve">alleged inaccuracies in those submissions (see </w:t>
      </w:r>
      <w:r w:rsidRPr="00784501">
        <w:rPr>
          <w:rFonts w:ascii="Book Antiqua" w:hAnsi="Book Antiqua"/>
          <w:i/>
          <w:iCs/>
          <w:sz w:val="20"/>
          <w:szCs w:val="20"/>
        </w:rPr>
        <w:t>F.G. v. Sweden</w:t>
      </w:r>
      <w:r w:rsidRPr="00784501">
        <w:rPr>
          <w:rFonts w:ascii="Book Antiqua" w:hAnsi="Book Antiqua"/>
          <w:sz w:val="20"/>
          <w:szCs w:val="20"/>
        </w:rPr>
        <w:t xml:space="preserve">, cited above,§ 113; </w:t>
      </w:r>
      <w:r w:rsidRPr="00784501">
        <w:rPr>
          <w:rFonts w:ascii="Book Antiqua" w:hAnsi="Book Antiqua"/>
          <w:i/>
          <w:iCs/>
          <w:sz w:val="20"/>
          <w:szCs w:val="20"/>
        </w:rPr>
        <w:t xml:space="preserve">Collins and Akaziebie v. Sweden </w:t>
      </w:r>
      <w:r w:rsidRPr="00784501">
        <w:rPr>
          <w:rFonts w:ascii="Book Antiqua" w:hAnsi="Book Antiqua"/>
          <w:sz w:val="20"/>
          <w:szCs w:val="20"/>
        </w:rPr>
        <w:t xml:space="preserve">(dec.), no. 23944/05, 8 March 2007;and </w:t>
      </w:r>
      <w:r w:rsidRPr="00784501">
        <w:rPr>
          <w:rFonts w:ascii="Book Antiqua" w:hAnsi="Book Antiqua"/>
          <w:i/>
          <w:iCs/>
          <w:sz w:val="20"/>
          <w:szCs w:val="20"/>
        </w:rPr>
        <w:t>S.H.H. v. the United Kingdom</w:t>
      </w:r>
      <w:r w:rsidRPr="00784501">
        <w:rPr>
          <w:rFonts w:ascii="Book Antiqua" w:hAnsi="Book Antiqua"/>
          <w:sz w:val="20"/>
          <w:szCs w:val="20"/>
        </w:rPr>
        <w:t>, no. 60367/10, § 71, 29 January 2013).Even if the applicant’s account of some details may appear somewhat</w:t>
      </w:r>
      <w:r w:rsidR="002731FF">
        <w:rPr>
          <w:rFonts w:ascii="Book Antiqua" w:hAnsi="Book Antiqua"/>
          <w:sz w:val="20"/>
          <w:szCs w:val="20"/>
        </w:rPr>
        <w:t xml:space="preserve"> </w:t>
      </w:r>
      <w:r w:rsidRPr="00784501">
        <w:rPr>
          <w:rFonts w:ascii="Book Antiqua" w:hAnsi="Book Antiqua"/>
          <w:sz w:val="20"/>
          <w:szCs w:val="20"/>
        </w:rPr>
        <w:t>implausible, the Court has considered that this does not necessarily detract</w:t>
      </w:r>
      <w:r w:rsidR="002731FF">
        <w:rPr>
          <w:rFonts w:ascii="Book Antiqua" w:hAnsi="Book Antiqua"/>
          <w:sz w:val="20"/>
          <w:szCs w:val="20"/>
        </w:rPr>
        <w:t xml:space="preserve"> </w:t>
      </w:r>
      <w:r w:rsidRPr="00784501">
        <w:rPr>
          <w:rFonts w:ascii="Book Antiqua" w:hAnsi="Book Antiqua"/>
          <w:sz w:val="20"/>
          <w:szCs w:val="20"/>
        </w:rPr>
        <w:t xml:space="preserve">from the overall general credibility of the applicant’s claim (see </w:t>
      </w:r>
      <w:r w:rsidRPr="00784501">
        <w:rPr>
          <w:rFonts w:ascii="Book Antiqua" w:hAnsi="Book Antiqua"/>
          <w:i/>
          <w:iCs/>
          <w:sz w:val="20"/>
          <w:szCs w:val="20"/>
        </w:rPr>
        <w:t>Said</w:t>
      </w:r>
      <w:r w:rsidRPr="00784501">
        <w:rPr>
          <w:rFonts w:ascii="Book Antiqua" w:hAnsi="Book Antiqua"/>
          <w:sz w:val="20"/>
          <w:szCs w:val="20"/>
        </w:rPr>
        <w:t>, cited</w:t>
      </w:r>
      <w:r w:rsidR="002731FF">
        <w:rPr>
          <w:rFonts w:ascii="Book Antiqua" w:hAnsi="Book Antiqua"/>
          <w:sz w:val="20"/>
          <w:szCs w:val="20"/>
        </w:rPr>
        <w:t xml:space="preserve"> </w:t>
      </w:r>
      <w:r w:rsidRPr="00784501">
        <w:rPr>
          <w:rFonts w:ascii="Book Antiqua" w:hAnsi="Book Antiqua"/>
          <w:sz w:val="20"/>
          <w:szCs w:val="20"/>
        </w:rPr>
        <w:t xml:space="preserve">above, § 53, and, </w:t>
      </w:r>
      <w:r w:rsidRPr="00784501">
        <w:rPr>
          <w:rFonts w:ascii="Book Antiqua" w:hAnsi="Book Antiqua"/>
          <w:i/>
          <w:iCs/>
          <w:sz w:val="20"/>
          <w:szCs w:val="20"/>
        </w:rPr>
        <w:t>mutatis mutandis</w:t>
      </w:r>
      <w:r w:rsidRPr="00784501">
        <w:rPr>
          <w:rFonts w:ascii="Book Antiqua" w:hAnsi="Book Antiqua"/>
          <w:sz w:val="20"/>
          <w:szCs w:val="20"/>
        </w:rPr>
        <w:t xml:space="preserve">, </w:t>
      </w:r>
      <w:r w:rsidRPr="00784501">
        <w:rPr>
          <w:rFonts w:ascii="Book Antiqua" w:hAnsi="Book Antiqua"/>
          <w:i/>
          <w:iCs/>
          <w:sz w:val="20"/>
          <w:szCs w:val="20"/>
        </w:rPr>
        <w:t>N. v. Finland</w:t>
      </w:r>
      <w:r w:rsidRPr="00784501">
        <w:rPr>
          <w:rFonts w:ascii="Book Antiqua" w:hAnsi="Book Antiqua"/>
          <w:sz w:val="20"/>
          <w:szCs w:val="20"/>
        </w:rPr>
        <w:t>, no. 38885/02, §§ 154-155, 26 July 2005).</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 xml:space="preserve">94. </w:t>
      </w:r>
      <w:r w:rsidRPr="00784501">
        <w:rPr>
          <w:rFonts w:ascii="Book Antiqua" w:hAnsi="Book Antiqua"/>
          <w:sz w:val="20"/>
          <w:szCs w:val="20"/>
        </w:rPr>
        <w:tab/>
        <w:t>As a general rule, an asylum-seeker cannot be seen as having</w:t>
      </w:r>
      <w:r w:rsidR="002731FF">
        <w:rPr>
          <w:rFonts w:ascii="Book Antiqua" w:hAnsi="Book Antiqua"/>
          <w:sz w:val="20"/>
          <w:szCs w:val="20"/>
        </w:rPr>
        <w:t xml:space="preserve"> </w:t>
      </w:r>
      <w:r w:rsidRPr="00784501">
        <w:rPr>
          <w:rFonts w:ascii="Book Antiqua" w:hAnsi="Book Antiqua"/>
          <w:sz w:val="20"/>
          <w:szCs w:val="20"/>
        </w:rPr>
        <w:t>discharged the burden of proof until he or she provides a substantiated</w:t>
      </w:r>
      <w:r w:rsidR="002731FF">
        <w:rPr>
          <w:rFonts w:ascii="Book Antiqua" w:hAnsi="Book Antiqua"/>
          <w:sz w:val="20"/>
          <w:szCs w:val="20"/>
        </w:rPr>
        <w:t xml:space="preserve"> </w:t>
      </w:r>
      <w:r w:rsidRPr="00784501">
        <w:rPr>
          <w:rFonts w:ascii="Book Antiqua" w:hAnsi="Book Antiqua"/>
          <w:sz w:val="20"/>
          <w:szCs w:val="20"/>
        </w:rPr>
        <w:t>account of an individual, and thus a real, risk of ill-treatment upon</w:t>
      </w:r>
      <w:r w:rsidR="002731FF">
        <w:rPr>
          <w:rFonts w:ascii="Book Antiqua" w:hAnsi="Book Antiqua"/>
          <w:sz w:val="20"/>
          <w:szCs w:val="20"/>
        </w:rPr>
        <w:t xml:space="preserve"> </w:t>
      </w:r>
      <w:r w:rsidRPr="00784501">
        <w:rPr>
          <w:rFonts w:ascii="Book Antiqua" w:hAnsi="Book Antiqua"/>
          <w:sz w:val="20"/>
          <w:szCs w:val="20"/>
        </w:rPr>
        <w:t>deportation that is capable of distinguishing his or her situation from the</w:t>
      </w:r>
      <w:r w:rsidR="002731FF">
        <w:rPr>
          <w:rFonts w:ascii="Book Antiqua" w:hAnsi="Book Antiqua"/>
          <w:sz w:val="20"/>
          <w:szCs w:val="20"/>
        </w:rPr>
        <w:t xml:space="preserve"> </w:t>
      </w:r>
      <w:r w:rsidRPr="00784501">
        <w:rPr>
          <w:rFonts w:ascii="Book Antiqua" w:hAnsi="Book Antiqua"/>
          <w:sz w:val="20"/>
          <w:szCs w:val="20"/>
        </w:rPr>
        <w:t>general perils in the country of destination.</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 xml:space="preserve">95. </w:t>
      </w:r>
      <w:r w:rsidRPr="00784501">
        <w:rPr>
          <w:rFonts w:ascii="Book Antiqua" w:hAnsi="Book Antiqua"/>
          <w:sz w:val="20"/>
          <w:szCs w:val="20"/>
        </w:rPr>
        <w:tab/>
        <w:t>Moreover, although a number of individual factors may not, when</w:t>
      </w:r>
      <w:r w:rsidR="002731FF">
        <w:rPr>
          <w:rFonts w:ascii="Book Antiqua" w:hAnsi="Book Antiqua"/>
          <w:sz w:val="20"/>
          <w:szCs w:val="20"/>
        </w:rPr>
        <w:t xml:space="preserve"> </w:t>
      </w:r>
      <w:r w:rsidRPr="00784501">
        <w:rPr>
          <w:rFonts w:ascii="Book Antiqua" w:hAnsi="Book Antiqua"/>
          <w:sz w:val="20"/>
          <w:szCs w:val="20"/>
        </w:rPr>
        <w:t>considered separately, constitute a real risk, the same factors may give rise</w:t>
      </w:r>
      <w:r w:rsidR="002731FF">
        <w:rPr>
          <w:rFonts w:ascii="Book Antiqua" w:hAnsi="Book Antiqua"/>
          <w:sz w:val="20"/>
          <w:szCs w:val="20"/>
        </w:rPr>
        <w:t xml:space="preserve"> </w:t>
      </w:r>
      <w:r w:rsidRPr="00784501">
        <w:rPr>
          <w:rFonts w:ascii="Book Antiqua" w:hAnsi="Book Antiqua"/>
          <w:sz w:val="20"/>
          <w:szCs w:val="20"/>
        </w:rPr>
        <w:t>to a real risk when taken cumulatively and when considered in a situation of</w:t>
      </w:r>
      <w:r w:rsidR="002731FF">
        <w:rPr>
          <w:rFonts w:ascii="Book Antiqua" w:hAnsi="Book Antiqua"/>
          <w:sz w:val="20"/>
          <w:szCs w:val="20"/>
        </w:rPr>
        <w:t xml:space="preserve"> </w:t>
      </w:r>
      <w:r w:rsidRPr="00784501">
        <w:rPr>
          <w:rFonts w:ascii="Book Antiqua" w:hAnsi="Book Antiqua"/>
          <w:sz w:val="20"/>
          <w:szCs w:val="20"/>
        </w:rPr>
        <w:t xml:space="preserve">general violence and heightened security (see </w:t>
      </w:r>
      <w:r w:rsidRPr="00784501">
        <w:rPr>
          <w:rFonts w:ascii="Book Antiqua" w:hAnsi="Book Antiqua"/>
          <w:i/>
          <w:iCs/>
          <w:sz w:val="20"/>
          <w:szCs w:val="20"/>
        </w:rPr>
        <w:t xml:space="preserve">NA. v. the United </w:t>
      </w:r>
      <w:r w:rsidR="00D72706" w:rsidRPr="00784501">
        <w:rPr>
          <w:rFonts w:ascii="Book Antiqua" w:hAnsi="Book Antiqua"/>
          <w:i/>
          <w:iCs/>
          <w:sz w:val="20"/>
          <w:szCs w:val="20"/>
        </w:rPr>
        <w:t>Kingdom</w:t>
      </w:r>
      <w:r w:rsidR="00D72706" w:rsidRPr="00784501">
        <w:rPr>
          <w:rFonts w:ascii="Book Antiqua" w:hAnsi="Book Antiqua"/>
          <w:sz w:val="20"/>
          <w:szCs w:val="20"/>
        </w:rPr>
        <w:t>, cited</w:t>
      </w:r>
      <w:r w:rsidRPr="00784501">
        <w:rPr>
          <w:rFonts w:ascii="Book Antiqua" w:hAnsi="Book Antiqua"/>
          <w:sz w:val="20"/>
          <w:szCs w:val="20"/>
        </w:rPr>
        <w:t xml:space="preserve"> above, § 130). The following elements may represent such risk factors:</w:t>
      </w:r>
      <w:r w:rsidR="002731FF">
        <w:rPr>
          <w:rFonts w:ascii="Book Antiqua" w:hAnsi="Book Antiqua"/>
          <w:sz w:val="20"/>
          <w:szCs w:val="20"/>
        </w:rPr>
        <w:t xml:space="preserve"> </w:t>
      </w:r>
      <w:r w:rsidRPr="00784501">
        <w:rPr>
          <w:rFonts w:ascii="Book Antiqua" w:hAnsi="Book Antiqua"/>
          <w:sz w:val="20"/>
          <w:szCs w:val="20"/>
        </w:rPr>
        <w:t>previous criminal record and/or arrest warrant, the age, gender and origin of</w:t>
      </w:r>
      <w:r w:rsidR="002731FF">
        <w:rPr>
          <w:rFonts w:ascii="Book Antiqua" w:hAnsi="Book Antiqua"/>
          <w:sz w:val="20"/>
          <w:szCs w:val="20"/>
        </w:rPr>
        <w:t xml:space="preserve"> </w:t>
      </w:r>
      <w:r w:rsidRPr="00784501">
        <w:rPr>
          <w:rFonts w:ascii="Book Antiqua" w:hAnsi="Book Antiqua"/>
          <w:sz w:val="20"/>
          <w:szCs w:val="20"/>
        </w:rPr>
        <w:t>a returnee, a previous record as a suspected or actual member of a</w:t>
      </w:r>
      <w:r w:rsidR="002731FF">
        <w:rPr>
          <w:rFonts w:ascii="Book Antiqua" w:hAnsi="Book Antiqua"/>
          <w:sz w:val="20"/>
          <w:szCs w:val="20"/>
        </w:rPr>
        <w:t xml:space="preserve"> </w:t>
      </w:r>
      <w:r w:rsidRPr="00784501">
        <w:rPr>
          <w:rFonts w:ascii="Book Antiqua" w:hAnsi="Book Antiqua"/>
          <w:sz w:val="20"/>
          <w:szCs w:val="20"/>
        </w:rPr>
        <w:t>persecuted group, and a previous asylum claim submitted abroad (see</w:t>
      </w:r>
      <w:r w:rsidR="002731FF">
        <w:rPr>
          <w:rFonts w:ascii="Book Antiqua" w:hAnsi="Book Antiqua"/>
          <w:sz w:val="20"/>
          <w:szCs w:val="20"/>
        </w:rPr>
        <w:t xml:space="preserve"> </w:t>
      </w:r>
      <w:r w:rsidRPr="00784501">
        <w:rPr>
          <w:rFonts w:ascii="Book Antiqua" w:hAnsi="Book Antiqua"/>
          <w:i/>
          <w:iCs/>
          <w:sz w:val="20"/>
          <w:szCs w:val="20"/>
        </w:rPr>
        <w:t>NA. v. the United Kingdom</w:t>
      </w:r>
      <w:r w:rsidRPr="00784501">
        <w:rPr>
          <w:rFonts w:ascii="Book Antiqua" w:hAnsi="Book Antiqua"/>
          <w:sz w:val="20"/>
          <w:szCs w:val="20"/>
        </w:rPr>
        <w:t>, cited above, §§ 143-144 and 146).</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 xml:space="preserve">96. </w:t>
      </w:r>
      <w:r w:rsidRPr="00784501">
        <w:rPr>
          <w:rFonts w:ascii="Book Antiqua" w:hAnsi="Book Antiqua"/>
          <w:sz w:val="20"/>
          <w:szCs w:val="20"/>
        </w:rPr>
        <w:tab/>
        <w:t>The Court notes that it is the shared duty of an asylum-seeker and</w:t>
      </w:r>
      <w:r w:rsidR="002731FF">
        <w:rPr>
          <w:rFonts w:ascii="Book Antiqua" w:hAnsi="Book Antiqua"/>
          <w:sz w:val="20"/>
          <w:szCs w:val="20"/>
        </w:rPr>
        <w:t xml:space="preserve"> </w:t>
      </w:r>
      <w:r w:rsidRPr="00784501">
        <w:rPr>
          <w:rFonts w:ascii="Book Antiqua" w:hAnsi="Book Antiqua"/>
          <w:sz w:val="20"/>
          <w:szCs w:val="20"/>
        </w:rPr>
        <w:t>the immigration authorities to ascertain and evaluate all relevant facts of the</w:t>
      </w:r>
      <w:r w:rsidR="002731FF">
        <w:rPr>
          <w:rFonts w:ascii="Book Antiqua" w:hAnsi="Book Antiqua"/>
          <w:sz w:val="20"/>
          <w:szCs w:val="20"/>
        </w:rPr>
        <w:t xml:space="preserve"> </w:t>
      </w:r>
      <w:r w:rsidRPr="00784501">
        <w:rPr>
          <w:rFonts w:ascii="Book Antiqua" w:hAnsi="Book Antiqua"/>
          <w:sz w:val="20"/>
          <w:szCs w:val="20"/>
        </w:rPr>
        <w:t>case in the asylum proceedings. Asylum-seekers are normally the only</w:t>
      </w:r>
      <w:r w:rsidR="002731FF">
        <w:rPr>
          <w:rFonts w:ascii="Book Antiqua" w:hAnsi="Book Antiqua"/>
          <w:sz w:val="20"/>
          <w:szCs w:val="20"/>
        </w:rPr>
        <w:t xml:space="preserve"> </w:t>
      </w:r>
      <w:r w:rsidRPr="00784501">
        <w:rPr>
          <w:rFonts w:ascii="Book Antiqua" w:hAnsi="Book Antiqua"/>
          <w:sz w:val="20"/>
          <w:szCs w:val="20"/>
        </w:rPr>
        <w:t>parties who are able to provide information about their own personal</w:t>
      </w:r>
      <w:r w:rsidR="002731FF">
        <w:rPr>
          <w:rFonts w:ascii="Book Antiqua" w:hAnsi="Book Antiqua"/>
          <w:sz w:val="20"/>
          <w:szCs w:val="20"/>
        </w:rPr>
        <w:t xml:space="preserve"> </w:t>
      </w:r>
      <w:r w:rsidRPr="00784501">
        <w:rPr>
          <w:rFonts w:ascii="Book Antiqua" w:hAnsi="Book Antiqua"/>
          <w:sz w:val="20"/>
          <w:szCs w:val="20"/>
        </w:rPr>
        <w:t>circumstances. Therefore, as far as the individual circumstances are</w:t>
      </w:r>
      <w:r w:rsidR="002731FF">
        <w:rPr>
          <w:rFonts w:ascii="Book Antiqua" w:hAnsi="Book Antiqua"/>
          <w:sz w:val="20"/>
          <w:szCs w:val="20"/>
        </w:rPr>
        <w:t xml:space="preserve"> </w:t>
      </w:r>
      <w:r w:rsidRPr="00784501">
        <w:rPr>
          <w:rFonts w:ascii="Book Antiqua" w:hAnsi="Book Antiqua"/>
          <w:sz w:val="20"/>
          <w:szCs w:val="20"/>
        </w:rPr>
        <w:t>concerned, the burden of proof should in principle lie on the applicants, who</w:t>
      </w:r>
      <w:r w:rsidR="002731FF">
        <w:rPr>
          <w:rFonts w:ascii="Book Antiqua" w:hAnsi="Book Antiqua"/>
          <w:sz w:val="20"/>
          <w:szCs w:val="20"/>
        </w:rPr>
        <w:t xml:space="preserve"> </w:t>
      </w:r>
      <w:r w:rsidRPr="00784501">
        <w:rPr>
          <w:rFonts w:ascii="Book Antiqua" w:hAnsi="Book Antiqua"/>
          <w:sz w:val="20"/>
          <w:szCs w:val="20"/>
        </w:rPr>
        <w:t>must submit, as soon as possible, all evidence relating to their individual</w:t>
      </w:r>
      <w:r w:rsidR="002731FF">
        <w:rPr>
          <w:rFonts w:ascii="Book Antiqua" w:hAnsi="Book Antiqua"/>
          <w:sz w:val="20"/>
          <w:szCs w:val="20"/>
        </w:rPr>
        <w:t xml:space="preserve"> </w:t>
      </w:r>
      <w:r w:rsidRPr="00784501">
        <w:rPr>
          <w:rFonts w:ascii="Book Antiqua" w:hAnsi="Book Antiqua"/>
          <w:sz w:val="20"/>
          <w:szCs w:val="20"/>
        </w:rPr>
        <w:t>circumstances that is needed to substantiate their application for</w:t>
      </w:r>
      <w:r w:rsidR="002731FF">
        <w:rPr>
          <w:rFonts w:ascii="Book Antiqua" w:hAnsi="Book Antiqua"/>
          <w:sz w:val="20"/>
          <w:szCs w:val="20"/>
        </w:rPr>
        <w:t xml:space="preserve"> </w:t>
      </w:r>
      <w:r w:rsidRPr="00784501">
        <w:rPr>
          <w:rFonts w:ascii="Book Antiqua" w:hAnsi="Book Antiqua"/>
          <w:sz w:val="20"/>
          <w:szCs w:val="20"/>
        </w:rPr>
        <w:t>international protection. This requirement is also expressed both in the</w:t>
      </w:r>
      <w:r w:rsidR="002731FF">
        <w:rPr>
          <w:rFonts w:ascii="Book Antiqua" w:hAnsi="Book Antiqua"/>
          <w:sz w:val="20"/>
          <w:szCs w:val="20"/>
        </w:rPr>
        <w:t xml:space="preserve"> </w:t>
      </w:r>
      <w:r w:rsidRPr="00784501">
        <w:rPr>
          <w:rFonts w:ascii="Book Antiqua" w:hAnsi="Book Antiqua"/>
          <w:sz w:val="20"/>
          <w:szCs w:val="20"/>
        </w:rPr>
        <w:t>UNHCR documents (see paragraph 6 of the UNHCR Note on Burden and</w:t>
      </w:r>
      <w:r w:rsidR="002731FF">
        <w:rPr>
          <w:rFonts w:ascii="Book Antiqua" w:hAnsi="Book Antiqua"/>
          <w:sz w:val="20"/>
          <w:szCs w:val="20"/>
        </w:rPr>
        <w:t xml:space="preserve"> </w:t>
      </w:r>
      <w:r w:rsidRPr="00784501">
        <w:rPr>
          <w:rFonts w:ascii="Book Antiqua" w:hAnsi="Book Antiqua"/>
          <w:sz w:val="20"/>
          <w:szCs w:val="20"/>
        </w:rPr>
        <w:t>Standard of Proof in Refugee Claims and paragraph 196 of the UNHCR</w:t>
      </w:r>
      <w:r w:rsidR="002731FF">
        <w:rPr>
          <w:rFonts w:ascii="Book Antiqua" w:hAnsi="Book Antiqua"/>
          <w:sz w:val="20"/>
          <w:szCs w:val="20"/>
        </w:rPr>
        <w:t xml:space="preserve"> </w:t>
      </w:r>
      <w:r w:rsidRPr="00784501">
        <w:rPr>
          <w:rFonts w:ascii="Book Antiqua" w:hAnsi="Book Antiqua"/>
          <w:sz w:val="20"/>
          <w:szCs w:val="20"/>
        </w:rPr>
        <w:t>Handbook and Guidelines on Procedures and Criteria for Determining</w:t>
      </w:r>
      <w:r w:rsidR="002731FF">
        <w:rPr>
          <w:rFonts w:ascii="Book Antiqua" w:hAnsi="Book Antiqua"/>
          <w:sz w:val="20"/>
          <w:szCs w:val="20"/>
        </w:rPr>
        <w:t xml:space="preserve"> </w:t>
      </w:r>
      <w:r w:rsidRPr="00784501">
        <w:rPr>
          <w:rFonts w:ascii="Book Antiqua" w:hAnsi="Book Antiqua"/>
          <w:sz w:val="20"/>
          <w:szCs w:val="20"/>
        </w:rPr>
        <w:t>Refugee Status, both referred to in paragraphs 53-54 above) and in Article 4§ 1 of the EU Qualification Directive, as well as in the subsequent case-law</w:t>
      </w:r>
      <w:r w:rsidR="002731FF">
        <w:rPr>
          <w:rFonts w:ascii="Book Antiqua" w:hAnsi="Book Antiqua"/>
          <w:sz w:val="20"/>
          <w:szCs w:val="20"/>
        </w:rPr>
        <w:t xml:space="preserve"> </w:t>
      </w:r>
      <w:r w:rsidRPr="00784501">
        <w:rPr>
          <w:rFonts w:ascii="Book Antiqua" w:hAnsi="Book Antiqua"/>
          <w:sz w:val="20"/>
          <w:szCs w:val="20"/>
        </w:rPr>
        <w:t>of the CJEU (see paragraphs 47 and 49-50 above).</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 xml:space="preserve">97. </w:t>
      </w:r>
      <w:r w:rsidRPr="00784501">
        <w:rPr>
          <w:rFonts w:ascii="Book Antiqua" w:hAnsi="Book Antiqua"/>
          <w:sz w:val="20"/>
          <w:szCs w:val="20"/>
        </w:rPr>
        <w:tab/>
        <w:t>However, the rules concerning the burden of proof should not renderin</w:t>
      </w:r>
      <w:r w:rsidR="002731FF">
        <w:rPr>
          <w:rFonts w:ascii="Book Antiqua" w:hAnsi="Book Antiqua"/>
          <w:sz w:val="20"/>
          <w:szCs w:val="20"/>
        </w:rPr>
        <w:t xml:space="preserve">g </w:t>
      </w:r>
      <w:r w:rsidRPr="00784501">
        <w:rPr>
          <w:rFonts w:ascii="Book Antiqua" w:hAnsi="Book Antiqua"/>
          <w:sz w:val="20"/>
          <w:szCs w:val="20"/>
        </w:rPr>
        <w:t>effective the applicants’ rights protected under Article 3 of the</w:t>
      </w:r>
      <w:r w:rsidR="002731FF">
        <w:rPr>
          <w:rFonts w:ascii="Book Antiqua" w:hAnsi="Book Antiqua"/>
          <w:sz w:val="20"/>
          <w:szCs w:val="20"/>
        </w:rPr>
        <w:t xml:space="preserve"> </w:t>
      </w:r>
      <w:r w:rsidRPr="00784501">
        <w:rPr>
          <w:rFonts w:ascii="Book Antiqua" w:hAnsi="Book Antiqua"/>
          <w:sz w:val="20"/>
          <w:szCs w:val="20"/>
        </w:rPr>
        <w:t>Convention. It is also important to take into account all the difficulties</w:t>
      </w:r>
      <w:r w:rsidR="002731FF">
        <w:rPr>
          <w:rFonts w:ascii="Book Antiqua" w:hAnsi="Book Antiqua"/>
          <w:sz w:val="20"/>
          <w:szCs w:val="20"/>
        </w:rPr>
        <w:t xml:space="preserve"> </w:t>
      </w:r>
      <w:r w:rsidRPr="00784501">
        <w:rPr>
          <w:rFonts w:ascii="Book Antiqua" w:hAnsi="Book Antiqua"/>
          <w:sz w:val="20"/>
          <w:szCs w:val="20"/>
        </w:rPr>
        <w:t xml:space="preserve">which an asylum-seeker may encounter abroad when collecting evidence(see </w:t>
      </w:r>
      <w:r w:rsidRPr="00784501">
        <w:rPr>
          <w:rFonts w:ascii="Book Antiqua" w:hAnsi="Book Antiqua"/>
          <w:i/>
          <w:iCs/>
          <w:sz w:val="20"/>
          <w:szCs w:val="20"/>
        </w:rPr>
        <w:t>Bahaddar</w:t>
      </w:r>
      <w:r w:rsidRPr="00784501">
        <w:rPr>
          <w:rFonts w:ascii="Book Antiqua" w:hAnsi="Book Antiqua"/>
          <w:sz w:val="20"/>
          <w:szCs w:val="20"/>
        </w:rPr>
        <w:t xml:space="preserve">, cited above § 45, and, </w:t>
      </w:r>
      <w:r w:rsidRPr="00784501">
        <w:rPr>
          <w:rFonts w:ascii="Book Antiqua" w:hAnsi="Book Antiqua"/>
          <w:i/>
          <w:iCs/>
          <w:sz w:val="20"/>
          <w:szCs w:val="20"/>
        </w:rPr>
        <w:t>mutatis mutandis</w:t>
      </w:r>
      <w:r w:rsidRPr="00784501">
        <w:rPr>
          <w:rFonts w:ascii="Book Antiqua" w:hAnsi="Book Antiqua"/>
          <w:sz w:val="20"/>
          <w:szCs w:val="20"/>
        </w:rPr>
        <w:t xml:space="preserve">, </w:t>
      </w:r>
      <w:r w:rsidRPr="00784501">
        <w:rPr>
          <w:rFonts w:ascii="Book Antiqua" w:hAnsi="Book Antiqua"/>
          <w:i/>
          <w:iCs/>
          <w:sz w:val="20"/>
          <w:szCs w:val="20"/>
        </w:rPr>
        <w:t>Said</w:t>
      </w:r>
      <w:r w:rsidRPr="00784501">
        <w:rPr>
          <w:rFonts w:ascii="Book Antiqua" w:hAnsi="Book Antiqua"/>
          <w:sz w:val="20"/>
          <w:szCs w:val="20"/>
        </w:rPr>
        <w:t>, cited above,§ 49).Both the standards developed by the UNCHR (paragraph 12 of the</w:t>
      </w:r>
      <w:r w:rsidR="002731FF">
        <w:rPr>
          <w:rFonts w:ascii="Book Antiqua" w:hAnsi="Book Antiqua"/>
          <w:sz w:val="20"/>
          <w:szCs w:val="20"/>
        </w:rPr>
        <w:t xml:space="preserve"> </w:t>
      </w:r>
      <w:r w:rsidRPr="00784501">
        <w:rPr>
          <w:rFonts w:ascii="Book Antiqua" w:hAnsi="Book Antiqua"/>
          <w:sz w:val="20"/>
          <w:szCs w:val="20"/>
        </w:rPr>
        <w:t>Note and paragraph 196 of the Handbook, both cited in paragraphs 53-54above) and Article 4 § 5 of the Qualification Directive recognise, explicitly</w:t>
      </w:r>
      <w:r w:rsidR="002731FF">
        <w:rPr>
          <w:rFonts w:ascii="Book Antiqua" w:hAnsi="Book Antiqua"/>
          <w:sz w:val="20"/>
          <w:szCs w:val="20"/>
        </w:rPr>
        <w:t xml:space="preserve"> </w:t>
      </w:r>
      <w:r w:rsidRPr="00784501">
        <w:rPr>
          <w:rFonts w:ascii="Book Antiqua" w:hAnsi="Book Antiqua"/>
          <w:sz w:val="20"/>
          <w:szCs w:val="20"/>
        </w:rPr>
        <w:t>or implicitly, that the benefit of the doubt should be granted in favour of an</w:t>
      </w:r>
      <w:r w:rsidR="002731FF">
        <w:rPr>
          <w:rFonts w:ascii="Book Antiqua" w:hAnsi="Book Antiqua"/>
          <w:sz w:val="20"/>
          <w:szCs w:val="20"/>
        </w:rPr>
        <w:t xml:space="preserve"> </w:t>
      </w:r>
      <w:r w:rsidRPr="00784501">
        <w:rPr>
          <w:rFonts w:ascii="Book Antiqua" w:hAnsi="Book Antiqua"/>
          <w:sz w:val="20"/>
          <w:szCs w:val="20"/>
        </w:rPr>
        <w:t>individual seeking international protection.</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 xml:space="preserve">98. </w:t>
      </w:r>
      <w:r w:rsidRPr="00784501">
        <w:rPr>
          <w:rFonts w:ascii="Book Antiqua" w:hAnsi="Book Antiqua"/>
          <w:sz w:val="20"/>
          <w:szCs w:val="20"/>
        </w:rPr>
        <w:tab/>
        <w:t xml:space="preserve">The Court notes that, as far as the evaluation of the general </w:t>
      </w:r>
      <w:r w:rsidR="002731FF">
        <w:rPr>
          <w:rFonts w:ascii="Book Antiqua" w:hAnsi="Book Antiqua"/>
          <w:sz w:val="20"/>
          <w:szCs w:val="20"/>
        </w:rPr>
        <w:t xml:space="preserve">situation </w:t>
      </w:r>
      <w:r w:rsidRPr="00784501">
        <w:rPr>
          <w:rFonts w:ascii="Book Antiqua" w:hAnsi="Book Antiqua"/>
          <w:sz w:val="20"/>
          <w:szCs w:val="20"/>
        </w:rPr>
        <w:t>in a specific country is concerned, a different approach should be taken. In</w:t>
      </w:r>
      <w:r w:rsidR="002731FF">
        <w:rPr>
          <w:rFonts w:ascii="Book Antiqua" w:hAnsi="Book Antiqua"/>
          <w:sz w:val="20"/>
          <w:szCs w:val="20"/>
        </w:rPr>
        <w:t xml:space="preserve"> </w:t>
      </w:r>
      <w:r w:rsidRPr="00784501">
        <w:rPr>
          <w:rFonts w:ascii="Book Antiqua" w:hAnsi="Book Antiqua"/>
          <w:sz w:val="20"/>
          <w:szCs w:val="20"/>
        </w:rPr>
        <w:t>respect of such matters, the domestic authorities examining a request for</w:t>
      </w:r>
      <w:r w:rsidR="002731FF">
        <w:rPr>
          <w:rFonts w:ascii="Book Antiqua" w:hAnsi="Book Antiqua"/>
          <w:sz w:val="20"/>
          <w:szCs w:val="20"/>
        </w:rPr>
        <w:t xml:space="preserve"> </w:t>
      </w:r>
      <w:r w:rsidRPr="00784501">
        <w:rPr>
          <w:rFonts w:ascii="Book Antiqua" w:hAnsi="Book Antiqua"/>
          <w:sz w:val="20"/>
          <w:szCs w:val="20"/>
        </w:rPr>
        <w:t>international protection have full access to information.</w:t>
      </w:r>
      <w:r w:rsidR="002731FF">
        <w:rPr>
          <w:rFonts w:ascii="Book Antiqua" w:hAnsi="Book Antiqua"/>
          <w:sz w:val="20"/>
          <w:szCs w:val="20"/>
        </w:rPr>
        <w:t xml:space="preserve"> </w:t>
      </w:r>
      <w:r w:rsidRPr="00784501">
        <w:rPr>
          <w:rFonts w:ascii="Book Antiqua" w:hAnsi="Book Antiqua"/>
          <w:sz w:val="20"/>
          <w:szCs w:val="20"/>
        </w:rPr>
        <w:t>For this reason, the</w:t>
      </w:r>
      <w:r w:rsidR="002731FF">
        <w:rPr>
          <w:rFonts w:ascii="Book Antiqua" w:hAnsi="Book Antiqua"/>
          <w:sz w:val="20"/>
          <w:szCs w:val="20"/>
        </w:rPr>
        <w:t xml:space="preserve"> </w:t>
      </w:r>
      <w:r w:rsidRPr="00784501">
        <w:rPr>
          <w:rFonts w:ascii="Book Antiqua" w:hAnsi="Book Antiqua"/>
          <w:sz w:val="20"/>
          <w:szCs w:val="20"/>
        </w:rPr>
        <w:t>general situation in another country, including the ability of its public</w:t>
      </w:r>
      <w:r w:rsidR="002731FF">
        <w:rPr>
          <w:rFonts w:ascii="Book Antiqua" w:hAnsi="Book Antiqua"/>
          <w:sz w:val="20"/>
          <w:szCs w:val="20"/>
        </w:rPr>
        <w:t xml:space="preserve"> </w:t>
      </w:r>
      <w:r w:rsidRPr="00784501">
        <w:rPr>
          <w:rFonts w:ascii="Book Antiqua" w:hAnsi="Book Antiqua"/>
          <w:sz w:val="20"/>
          <w:szCs w:val="20"/>
        </w:rPr>
        <w:t xml:space="preserve">authorities to provide protection, has to be established </w:t>
      </w:r>
      <w:r w:rsidRPr="00784501">
        <w:rPr>
          <w:rFonts w:ascii="Book Antiqua" w:hAnsi="Book Antiqua"/>
          <w:i/>
          <w:iCs/>
          <w:sz w:val="20"/>
          <w:szCs w:val="20"/>
        </w:rPr>
        <w:t xml:space="preserve">proprio motu </w:t>
      </w:r>
      <w:r w:rsidRPr="00784501">
        <w:rPr>
          <w:rFonts w:ascii="Book Antiqua" w:hAnsi="Book Antiqua"/>
          <w:sz w:val="20"/>
          <w:szCs w:val="20"/>
        </w:rPr>
        <w:t>by the</w:t>
      </w:r>
      <w:r w:rsidR="002731FF">
        <w:rPr>
          <w:rFonts w:ascii="Book Antiqua" w:hAnsi="Book Antiqua"/>
          <w:sz w:val="20"/>
          <w:szCs w:val="20"/>
        </w:rPr>
        <w:t xml:space="preserve"> </w:t>
      </w:r>
      <w:r w:rsidRPr="00784501">
        <w:rPr>
          <w:rFonts w:ascii="Book Antiqua" w:hAnsi="Book Antiqua"/>
          <w:sz w:val="20"/>
          <w:szCs w:val="20"/>
        </w:rPr>
        <w:t xml:space="preserve">competent </w:t>
      </w:r>
      <w:r w:rsidRPr="00784501">
        <w:rPr>
          <w:rFonts w:ascii="Book Antiqua" w:hAnsi="Book Antiqua"/>
          <w:sz w:val="20"/>
          <w:szCs w:val="20"/>
        </w:rPr>
        <w:lastRenderedPageBreak/>
        <w:t xml:space="preserve">domestic immigration authorities (see, </w:t>
      </w:r>
      <w:r w:rsidRPr="00784501">
        <w:rPr>
          <w:rFonts w:ascii="Book Antiqua" w:hAnsi="Book Antiqua"/>
          <w:i/>
          <w:iCs/>
          <w:sz w:val="20"/>
          <w:szCs w:val="20"/>
        </w:rPr>
        <w:t>mutatis mutandis</w:t>
      </w:r>
      <w:r w:rsidRPr="00784501">
        <w:rPr>
          <w:rFonts w:ascii="Book Antiqua" w:hAnsi="Book Antiqua"/>
          <w:sz w:val="20"/>
          <w:szCs w:val="20"/>
        </w:rPr>
        <w:t>,</w:t>
      </w:r>
      <w:r w:rsidR="00F34BE2">
        <w:rPr>
          <w:rFonts w:ascii="Book Antiqua" w:hAnsi="Book Antiqua"/>
          <w:sz w:val="20"/>
          <w:szCs w:val="20"/>
        </w:rPr>
        <w:t xml:space="preserve"> </w:t>
      </w:r>
      <w:r w:rsidRPr="00784501">
        <w:rPr>
          <w:rFonts w:ascii="Book Antiqua" w:hAnsi="Book Antiqua"/>
          <w:i/>
          <w:iCs/>
          <w:sz w:val="20"/>
          <w:szCs w:val="20"/>
        </w:rPr>
        <w:t>H.L.R. v. France</w:t>
      </w:r>
      <w:r w:rsidRPr="00784501">
        <w:rPr>
          <w:rFonts w:ascii="Book Antiqua" w:hAnsi="Book Antiqua"/>
          <w:sz w:val="20"/>
          <w:szCs w:val="20"/>
        </w:rPr>
        <w:t xml:space="preserve">, cited above, § 37; </w:t>
      </w:r>
      <w:r w:rsidRPr="00784501">
        <w:rPr>
          <w:rFonts w:ascii="Book Antiqua" w:hAnsi="Book Antiqua"/>
          <w:i/>
          <w:iCs/>
          <w:sz w:val="20"/>
          <w:szCs w:val="20"/>
        </w:rPr>
        <w:t>Hilal</w:t>
      </w:r>
      <w:r w:rsidRPr="00784501">
        <w:rPr>
          <w:rFonts w:ascii="Book Antiqua" w:hAnsi="Book Antiqua"/>
          <w:sz w:val="20"/>
          <w:szCs w:val="20"/>
        </w:rPr>
        <w:t>, cited above, § 60; and</w:t>
      </w:r>
      <w:r w:rsidR="00F34BE2">
        <w:rPr>
          <w:rFonts w:ascii="Book Antiqua" w:hAnsi="Book Antiqua"/>
          <w:sz w:val="20"/>
          <w:szCs w:val="20"/>
        </w:rPr>
        <w:t xml:space="preserve"> </w:t>
      </w:r>
      <w:r w:rsidRPr="00784501">
        <w:rPr>
          <w:rFonts w:ascii="Book Antiqua" w:hAnsi="Book Antiqua"/>
          <w:i/>
          <w:iCs/>
          <w:sz w:val="20"/>
          <w:szCs w:val="20"/>
        </w:rPr>
        <w:t>Hirsi Jamaa and Others</w:t>
      </w:r>
      <w:r w:rsidRPr="00784501">
        <w:rPr>
          <w:rFonts w:ascii="Book Antiqua" w:hAnsi="Book Antiqua"/>
          <w:sz w:val="20"/>
          <w:szCs w:val="20"/>
        </w:rPr>
        <w:t>, cited above, § 116). A similar approach is</w:t>
      </w:r>
      <w:r w:rsidR="00F34BE2">
        <w:rPr>
          <w:rFonts w:ascii="Book Antiqua" w:hAnsi="Book Antiqua"/>
          <w:sz w:val="20"/>
          <w:szCs w:val="20"/>
        </w:rPr>
        <w:t xml:space="preserve"> </w:t>
      </w:r>
      <w:r w:rsidRPr="00784501">
        <w:rPr>
          <w:rFonts w:ascii="Book Antiqua" w:hAnsi="Book Antiqua"/>
          <w:sz w:val="20"/>
          <w:szCs w:val="20"/>
        </w:rPr>
        <w:t>advocated in paragraph 6 of the above-mentioned Note issued by the</w:t>
      </w:r>
      <w:r w:rsidR="00F34BE2">
        <w:rPr>
          <w:rFonts w:ascii="Book Antiqua" w:hAnsi="Book Antiqua"/>
          <w:sz w:val="20"/>
          <w:szCs w:val="20"/>
        </w:rPr>
        <w:t xml:space="preserve"> </w:t>
      </w:r>
      <w:r w:rsidRPr="00784501">
        <w:rPr>
          <w:rFonts w:ascii="Book Antiqua" w:hAnsi="Book Antiqua"/>
          <w:sz w:val="20"/>
          <w:szCs w:val="20"/>
        </w:rPr>
        <w:t>UNHCR, according to which the authorities adjudicating on an asylum</w:t>
      </w:r>
      <w:r w:rsidR="00F34BE2">
        <w:rPr>
          <w:rFonts w:ascii="Book Antiqua" w:hAnsi="Book Antiqua"/>
          <w:sz w:val="20"/>
          <w:szCs w:val="20"/>
        </w:rPr>
        <w:t xml:space="preserve"> </w:t>
      </w:r>
      <w:r w:rsidRPr="00784501">
        <w:rPr>
          <w:rFonts w:ascii="Book Antiqua" w:hAnsi="Book Antiqua"/>
          <w:sz w:val="20"/>
          <w:szCs w:val="20"/>
        </w:rPr>
        <w:t>claim have to take “the objective situation in the country of origin</w:t>
      </w:r>
      <w:r w:rsidR="00F34BE2">
        <w:rPr>
          <w:rFonts w:ascii="Book Antiqua" w:hAnsi="Book Antiqua"/>
          <w:sz w:val="20"/>
          <w:szCs w:val="20"/>
        </w:rPr>
        <w:t xml:space="preserve"> </w:t>
      </w:r>
      <w:r w:rsidRPr="00784501">
        <w:rPr>
          <w:rFonts w:ascii="Book Antiqua" w:hAnsi="Book Antiqua"/>
          <w:sz w:val="20"/>
          <w:szCs w:val="20"/>
        </w:rPr>
        <w:t xml:space="preserve">concerned” into account </w:t>
      </w:r>
      <w:r w:rsidRPr="00784501">
        <w:rPr>
          <w:rFonts w:ascii="Book Antiqua" w:hAnsi="Book Antiqua"/>
          <w:i/>
          <w:iCs/>
          <w:sz w:val="20"/>
          <w:szCs w:val="20"/>
        </w:rPr>
        <w:t>proprio motu</w:t>
      </w:r>
      <w:r w:rsidRPr="00784501">
        <w:rPr>
          <w:rFonts w:ascii="Book Antiqua" w:hAnsi="Book Antiqua"/>
          <w:sz w:val="20"/>
          <w:szCs w:val="20"/>
        </w:rPr>
        <w:t>. Similarly, Article 4 § 3 of the</w:t>
      </w:r>
      <w:r w:rsidR="00F34BE2">
        <w:rPr>
          <w:rFonts w:ascii="Book Antiqua" w:hAnsi="Book Antiqua"/>
          <w:sz w:val="20"/>
          <w:szCs w:val="20"/>
        </w:rPr>
        <w:t xml:space="preserve"> </w:t>
      </w:r>
      <w:r w:rsidRPr="00784501">
        <w:rPr>
          <w:rFonts w:ascii="Book Antiqua" w:hAnsi="Book Antiqua"/>
          <w:sz w:val="20"/>
          <w:szCs w:val="20"/>
        </w:rPr>
        <w:t>Qualification Directive requires that “all relevant facts as they relate to the</w:t>
      </w:r>
      <w:r w:rsidR="00F34BE2">
        <w:rPr>
          <w:rFonts w:ascii="Book Antiqua" w:hAnsi="Book Antiqua"/>
          <w:sz w:val="20"/>
          <w:szCs w:val="20"/>
        </w:rPr>
        <w:t xml:space="preserve"> </w:t>
      </w:r>
      <w:r w:rsidRPr="00784501">
        <w:rPr>
          <w:rFonts w:ascii="Book Antiqua" w:hAnsi="Book Antiqua"/>
          <w:sz w:val="20"/>
          <w:szCs w:val="20"/>
        </w:rPr>
        <w:t>country of origin” are taken into account.</w:t>
      </w:r>
    </w:p>
    <w:p w:rsidR="00645A79" w:rsidRPr="00784501" w:rsidRDefault="00645A79" w:rsidP="00645A79">
      <w:pPr>
        <w:autoSpaceDE w:val="0"/>
        <w:autoSpaceDN w:val="0"/>
        <w:adjustRightInd w:val="0"/>
        <w:ind w:left="567"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 xml:space="preserve">100. </w:t>
      </w:r>
      <w:r w:rsidRPr="00784501">
        <w:rPr>
          <w:rFonts w:ascii="Book Antiqua" w:hAnsi="Book Antiqua"/>
          <w:sz w:val="20"/>
          <w:szCs w:val="20"/>
        </w:rPr>
        <w:tab/>
        <w:t>This issue has also been touched upon in the EU Qualification</w:t>
      </w:r>
      <w:r w:rsidR="00F34BE2">
        <w:rPr>
          <w:rFonts w:ascii="Book Antiqua" w:hAnsi="Book Antiqua"/>
          <w:sz w:val="20"/>
          <w:szCs w:val="20"/>
        </w:rPr>
        <w:t xml:space="preserve"> </w:t>
      </w:r>
      <w:r w:rsidRPr="00784501">
        <w:rPr>
          <w:rFonts w:ascii="Book Antiqua" w:hAnsi="Book Antiqua"/>
          <w:sz w:val="20"/>
          <w:szCs w:val="20"/>
        </w:rPr>
        <w:t>Directive and in the UNHCR documents. In particular, Article 4 § 4 of the</w:t>
      </w:r>
      <w:r w:rsidR="00F34BE2">
        <w:rPr>
          <w:rFonts w:ascii="Book Antiqua" w:hAnsi="Book Antiqua"/>
          <w:sz w:val="20"/>
          <w:szCs w:val="20"/>
        </w:rPr>
        <w:t xml:space="preserve"> </w:t>
      </w:r>
      <w:r w:rsidRPr="00784501">
        <w:rPr>
          <w:rFonts w:ascii="Book Antiqua" w:hAnsi="Book Antiqua"/>
          <w:sz w:val="20"/>
          <w:szCs w:val="20"/>
        </w:rPr>
        <w:t>Qualification Directive (see paragraph 47 above) provides – as regards the</w:t>
      </w:r>
      <w:r w:rsidR="00F34BE2">
        <w:rPr>
          <w:rFonts w:ascii="Book Antiqua" w:hAnsi="Book Antiqua"/>
          <w:sz w:val="20"/>
          <w:szCs w:val="20"/>
        </w:rPr>
        <w:t xml:space="preserve"> </w:t>
      </w:r>
      <w:r w:rsidRPr="00784501">
        <w:rPr>
          <w:rFonts w:ascii="Book Antiqua" w:hAnsi="Book Antiqua"/>
          <w:sz w:val="20"/>
          <w:szCs w:val="20"/>
        </w:rPr>
        <w:t>assessment of refugee status or other need for international protection by the</w:t>
      </w:r>
      <w:r w:rsidR="00F34BE2">
        <w:rPr>
          <w:rFonts w:ascii="Book Antiqua" w:hAnsi="Book Antiqua"/>
          <w:sz w:val="20"/>
          <w:szCs w:val="20"/>
        </w:rPr>
        <w:t xml:space="preserve"> </w:t>
      </w:r>
      <w:r w:rsidRPr="00784501">
        <w:rPr>
          <w:rFonts w:ascii="Book Antiqua" w:hAnsi="Book Antiqua"/>
          <w:sz w:val="20"/>
          <w:szCs w:val="20"/>
        </w:rPr>
        <w:t>authorities of European Union member States – that “[t]he fact that an</w:t>
      </w:r>
      <w:r w:rsidR="00F34BE2">
        <w:rPr>
          <w:rFonts w:ascii="Book Antiqua" w:hAnsi="Book Antiqua"/>
          <w:sz w:val="20"/>
          <w:szCs w:val="20"/>
        </w:rPr>
        <w:t xml:space="preserve"> </w:t>
      </w:r>
      <w:r w:rsidRPr="00784501">
        <w:rPr>
          <w:rFonts w:ascii="Book Antiqua" w:hAnsi="Book Antiqua"/>
          <w:sz w:val="20"/>
          <w:szCs w:val="20"/>
        </w:rPr>
        <w:t>applicant has already been subject to persecution or serious harm, or direct</w:t>
      </w:r>
      <w:r w:rsidR="00F34BE2">
        <w:rPr>
          <w:rFonts w:ascii="Book Antiqua" w:hAnsi="Book Antiqua"/>
          <w:sz w:val="20"/>
          <w:szCs w:val="20"/>
        </w:rPr>
        <w:t xml:space="preserve"> </w:t>
      </w:r>
      <w:r w:rsidRPr="00784501">
        <w:rPr>
          <w:rFonts w:ascii="Book Antiqua" w:hAnsi="Book Antiqua"/>
          <w:sz w:val="20"/>
          <w:szCs w:val="20"/>
        </w:rPr>
        <w:t>threats of such persecution or such harm, is a serious indication of the</w:t>
      </w:r>
      <w:r w:rsidR="00F34BE2">
        <w:rPr>
          <w:rFonts w:ascii="Book Antiqua" w:hAnsi="Book Antiqua"/>
          <w:sz w:val="20"/>
          <w:szCs w:val="20"/>
        </w:rPr>
        <w:t xml:space="preserve"> </w:t>
      </w:r>
      <w:r w:rsidRPr="00784501">
        <w:rPr>
          <w:rFonts w:ascii="Book Antiqua" w:hAnsi="Book Antiqua"/>
          <w:sz w:val="20"/>
          <w:szCs w:val="20"/>
        </w:rPr>
        <w:t>applicant’s well-founded fear of persecution or real risk of suffering serious</w:t>
      </w:r>
      <w:r w:rsidR="00F34BE2">
        <w:rPr>
          <w:rFonts w:ascii="Book Antiqua" w:hAnsi="Book Antiqua"/>
          <w:sz w:val="20"/>
          <w:szCs w:val="20"/>
        </w:rPr>
        <w:t xml:space="preserve"> </w:t>
      </w:r>
      <w:r w:rsidRPr="00784501">
        <w:rPr>
          <w:rFonts w:ascii="Book Antiqua" w:hAnsi="Book Antiqua"/>
          <w:sz w:val="20"/>
          <w:szCs w:val="20"/>
        </w:rPr>
        <w:t>harm, unless there are good reasons to consider that such persecution or</w:t>
      </w:r>
      <w:r w:rsidR="00F34BE2">
        <w:rPr>
          <w:rFonts w:ascii="Book Antiqua" w:hAnsi="Book Antiqua"/>
          <w:sz w:val="20"/>
          <w:szCs w:val="20"/>
        </w:rPr>
        <w:t xml:space="preserve"> </w:t>
      </w:r>
      <w:r w:rsidRPr="00784501">
        <w:rPr>
          <w:rFonts w:ascii="Book Antiqua" w:hAnsi="Book Antiqua"/>
          <w:sz w:val="20"/>
          <w:szCs w:val="20"/>
        </w:rPr>
        <w:t>serious harm will not be repeated”.</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 xml:space="preserve">101. </w:t>
      </w:r>
      <w:r w:rsidRPr="00784501">
        <w:rPr>
          <w:rFonts w:ascii="Book Antiqua" w:hAnsi="Book Antiqua"/>
          <w:sz w:val="20"/>
          <w:szCs w:val="20"/>
        </w:rPr>
        <w:tab/>
        <w:t>Furthermore, this issue, which is closely linked with the general</w:t>
      </w:r>
      <w:r w:rsidR="00F34BE2">
        <w:rPr>
          <w:rFonts w:ascii="Book Antiqua" w:hAnsi="Book Antiqua"/>
          <w:sz w:val="20"/>
          <w:szCs w:val="20"/>
        </w:rPr>
        <w:t xml:space="preserve"> </w:t>
      </w:r>
      <w:r w:rsidRPr="00784501">
        <w:rPr>
          <w:rFonts w:ascii="Book Antiqua" w:hAnsi="Book Antiqua"/>
          <w:sz w:val="20"/>
          <w:szCs w:val="20"/>
        </w:rPr>
        <w:t>questions of assessment of evidence, is addressed in paragraph 19 of the</w:t>
      </w:r>
      <w:r w:rsidR="00F34BE2">
        <w:rPr>
          <w:rFonts w:ascii="Book Antiqua" w:hAnsi="Book Antiqua"/>
          <w:sz w:val="20"/>
          <w:szCs w:val="20"/>
        </w:rPr>
        <w:t xml:space="preserve"> </w:t>
      </w:r>
      <w:r w:rsidRPr="00784501">
        <w:rPr>
          <w:rFonts w:ascii="Book Antiqua" w:hAnsi="Book Antiqua"/>
          <w:sz w:val="20"/>
          <w:szCs w:val="20"/>
        </w:rPr>
        <w:t>UNHCR Note on Burden and Standard of Proof in Refugee Claims, dealing</w:t>
      </w:r>
      <w:r w:rsidR="00F34BE2">
        <w:rPr>
          <w:rFonts w:ascii="Book Antiqua" w:hAnsi="Book Antiqua"/>
          <w:sz w:val="20"/>
          <w:szCs w:val="20"/>
        </w:rPr>
        <w:t xml:space="preserve"> </w:t>
      </w:r>
      <w:r w:rsidRPr="00784501">
        <w:rPr>
          <w:rFonts w:ascii="Book Antiqua" w:hAnsi="Book Antiqua"/>
          <w:sz w:val="20"/>
          <w:szCs w:val="20"/>
        </w:rPr>
        <w:t>with indicators for assessing the well-foundedness of a fear of persecution,</w:t>
      </w:r>
      <w:r w:rsidR="00F34BE2">
        <w:rPr>
          <w:rFonts w:ascii="Book Antiqua" w:hAnsi="Book Antiqua"/>
          <w:sz w:val="20"/>
          <w:szCs w:val="20"/>
        </w:rPr>
        <w:t xml:space="preserve"> </w:t>
      </w:r>
      <w:r w:rsidRPr="00784501">
        <w:rPr>
          <w:rFonts w:ascii="Book Antiqua" w:hAnsi="Book Antiqua"/>
          <w:sz w:val="20"/>
          <w:szCs w:val="20"/>
        </w:rPr>
        <w:t>which states as follows: “While past persecution or mistreatment would</w:t>
      </w:r>
      <w:r w:rsidR="00F34BE2">
        <w:rPr>
          <w:rFonts w:ascii="Book Antiqua" w:hAnsi="Book Antiqua"/>
          <w:sz w:val="20"/>
          <w:szCs w:val="20"/>
        </w:rPr>
        <w:t xml:space="preserve"> </w:t>
      </w:r>
      <w:r w:rsidRPr="00784501">
        <w:rPr>
          <w:rFonts w:ascii="Book Antiqua" w:hAnsi="Book Antiqua"/>
          <w:sz w:val="20"/>
          <w:szCs w:val="20"/>
        </w:rPr>
        <w:t>weigh heavily in favour of a positive assessment of risk of future</w:t>
      </w:r>
      <w:r w:rsidR="00F34BE2">
        <w:rPr>
          <w:rFonts w:ascii="Book Antiqua" w:hAnsi="Book Antiqua"/>
          <w:sz w:val="20"/>
          <w:szCs w:val="20"/>
        </w:rPr>
        <w:t xml:space="preserve"> </w:t>
      </w:r>
      <w:r w:rsidRPr="00784501">
        <w:rPr>
          <w:rFonts w:ascii="Book Antiqua" w:hAnsi="Book Antiqua"/>
          <w:sz w:val="20"/>
          <w:szCs w:val="20"/>
        </w:rPr>
        <w:t>persecution, its absence is not a decisive factor. By the same token, the fact</w:t>
      </w:r>
      <w:r w:rsidR="00F34BE2">
        <w:rPr>
          <w:rFonts w:ascii="Book Antiqua" w:hAnsi="Book Antiqua"/>
          <w:sz w:val="20"/>
          <w:szCs w:val="20"/>
        </w:rPr>
        <w:t xml:space="preserve"> </w:t>
      </w:r>
      <w:r w:rsidRPr="00784501">
        <w:rPr>
          <w:rFonts w:ascii="Book Antiqua" w:hAnsi="Book Antiqua"/>
          <w:sz w:val="20"/>
          <w:szCs w:val="20"/>
        </w:rPr>
        <w:t>of past persecution is not necessarily conclusive of the possibility of</w:t>
      </w:r>
      <w:r w:rsidR="00F34BE2">
        <w:rPr>
          <w:rFonts w:ascii="Book Antiqua" w:hAnsi="Book Antiqua"/>
          <w:sz w:val="20"/>
          <w:szCs w:val="20"/>
        </w:rPr>
        <w:t xml:space="preserve"> r</w:t>
      </w:r>
      <w:r w:rsidRPr="00784501">
        <w:rPr>
          <w:rFonts w:ascii="Book Antiqua" w:hAnsi="Book Antiqua"/>
          <w:sz w:val="20"/>
          <w:szCs w:val="20"/>
        </w:rPr>
        <w:t>enewed persecution, particularly where there has been an important change</w:t>
      </w:r>
      <w:r w:rsidR="00F34BE2">
        <w:rPr>
          <w:rFonts w:ascii="Book Antiqua" w:hAnsi="Book Antiqua"/>
          <w:sz w:val="20"/>
          <w:szCs w:val="20"/>
        </w:rPr>
        <w:t xml:space="preserve"> </w:t>
      </w:r>
      <w:r w:rsidRPr="00784501">
        <w:rPr>
          <w:rFonts w:ascii="Book Antiqua" w:hAnsi="Book Antiqua"/>
          <w:sz w:val="20"/>
          <w:szCs w:val="20"/>
        </w:rPr>
        <w:t>in the conditions in the country of origin” (see paragraph 53 above). The</w:t>
      </w:r>
      <w:r w:rsidR="00F34BE2">
        <w:rPr>
          <w:rFonts w:ascii="Book Antiqua" w:hAnsi="Book Antiqua"/>
          <w:sz w:val="20"/>
          <w:szCs w:val="20"/>
        </w:rPr>
        <w:t xml:space="preserve"> </w:t>
      </w:r>
      <w:r w:rsidRPr="00784501">
        <w:rPr>
          <w:rFonts w:ascii="Book Antiqua" w:hAnsi="Book Antiqua"/>
          <w:sz w:val="20"/>
          <w:szCs w:val="20"/>
        </w:rPr>
        <w:t>Court considers that the UNHCR’s general approach to the burden of proof</w:t>
      </w:r>
      <w:r w:rsidR="00F34BE2">
        <w:rPr>
          <w:rFonts w:ascii="Book Antiqua" w:hAnsi="Book Antiqua"/>
          <w:sz w:val="20"/>
          <w:szCs w:val="20"/>
        </w:rPr>
        <w:t xml:space="preserve"> </w:t>
      </w:r>
      <w:r w:rsidRPr="00784501">
        <w:rPr>
          <w:rFonts w:ascii="Book Antiqua" w:hAnsi="Book Antiqua"/>
          <w:sz w:val="20"/>
          <w:szCs w:val="20"/>
        </w:rPr>
        <w:t>is also of interest in the present context: while the burden of proof lies with</w:t>
      </w:r>
      <w:r w:rsidR="00F34BE2">
        <w:rPr>
          <w:rFonts w:ascii="Book Antiqua" w:hAnsi="Book Antiqua"/>
          <w:sz w:val="20"/>
          <w:szCs w:val="20"/>
        </w:rPr>
        <w:t xml:space="preserve"> </w:t>
      </w:r>
      <w:r w:rsidRPr="00784501">
        <w:rPr>
          <w:rFonts w:ascii="Book Antiqua" w:hAnsi="Book Antiqua"/>
          <w:sz w:val="20"/>
          <w:szCs w:val="20"/>
        </w:rPr>
        <w:t>the asylum-seeker, the State official examining the asylum claim shares the</w:t>
      </w:r>
      <w:r w:rsidR="00F34BE2">
        <w:rPr>
          <w:rFonts w:ascii="Book Antiqua" w:hAnsi="Book Antiqua"/>
          <w:sz w:val="20"/>
          <w:szCs w:val="20"/>
        </w:rPr>
        <w:t xml:space="preserve"> </w:t>
      </w:r>
      <w:r w:rsidRPr="00784501">
        <w:rPr>
          <w:rFonts w:ascii="Book Antiqua" w:hAnsi="Book Antiqua"/>
          <w:sz w:val="20"/>
          <w:szCs w:val="20"/>
        </w:rPr>
        <w:t>duty to ascertain and evaluate all relevant facts with the asylum-seeker (see</w:t>
      </w:r>
      <w:r w:rsidR="00F34BE2">
        <w:rPr>
          <w:rFonts w:ascii="Book Antiqua" w:hAnsi="Book Antiqua"/>
          <w:sz w:val="20"/>
          <w:szCs w:val="20"/>
        </w:rPr>
        <w:t xml:space="preserve"> </w:t>
      </w:r>
      <w:r w:rsidRPr="00784501">
        <w:rPr>
          <w:rFonts w:ascii="Book Antiqua" w:hAnsi="Book Antiqua"/>
          <w:sz w:val="20"/>
          <w:szCs w:val="20"/>
        </w:rPr>
        <w:t>paragraph 6 of the UNHCR 1998 Note on Burden and Standard of Proof in</w:t>
      </w:r>
      <w:r w:rsidR="00F34BE2">
        <w:rPr>
          <w:rFonts w:ascii="Book Antiqua" w:hAnsi="Book Antiqua"/>
          <w:sz w:val="20"/>
          <w:szCs w:val="20"/>
        </w:rPr>
        <w:t xml:space="preserve"> </w:t>
      </w:r>
      <w:r w:rsidRPr="00784501">
        <w:rPr>
          <w:rFonts w:ascii="Book Antiqua" w:hAnsi="Book Antiqua"/>
          <w:sz w:val="20"/>
          <w:szCs w:val="20"/>
        </w:rPr>
        <w:t>Refugee Claims and paragraph 196 of the UNHCR Handbook and</w:t>
      </w:r>
      <w:r w:rsidR="00F34BE2">
        <w:rPr>
          <w:rFonts w:ascii="Book Antiqua" w:hAnsi="Book Antiqua"/>
          <w:sz w:val="20"/>
          <w:szCs w:val="20"/>
        </w:rPr>
        <w:t xml:space="preserve"> </w:t>
      </w:r>
      <w:r w:rsidRPr="00784501">
        <w:rPr>
          <w:rFonts w:ascii="Book Antiqua" w:hAnsi="Book Antiqua"/>
          <w:sz w:val="20"/>
          <w:szCs w:val="20"/>
        </w:rPr>
        <w:t>Guidelines on Procedures and Criteria for Determining Refugee Status –cited in paragraphs 53 and 54 above). Moreover, as regards the assessment</w:t>
      </w:r>
      <w:r w:rsidR="00F34BE2">
        <w:rPr>
          <w:rFonts w:ascii="Book Antiqua" w:hAnsi="Book Antiqua"/>
          <w:sz w:val="20"/>
          <w:szCs w:val="20"/>
        </w:rPr>
        <w:t xml:space="preserve"> </w:t>
      </w:r>
      <w:r w:rsidRPr="00784501">
        <w:rPr>
          <w:rFonts w:ascii="Book Antiqua" w:hAnsi="Book Antiqua"/>
          <w:sz w:val="20"/>
          <w:szCs w:val="20"/>
        </w:rPr>
        <w:t>of the overall credibility of an asylum claim, paragraph 11 of the Note on</w:t>
      </w:r>
      <w:r w:rsidR="00F34BE2">
        <w:rPr>
          <w:rFonts w:ascii="Book Antiqua" w:hAnsi="Book Antiqua"/>
          <w:sz w:val="20"/>
          <w:szCs w:val="20"/>
        </w:rPr>
        <w:t xml:space="preserve"> </w:t>
      </w:r>
      <w:r w:rsidRPr="00784501">
        <w:rPr>
          <w:rFonts w:ascii="Book Antiqua" w:hAnsi="Book Antiqua"/>
          <w:sz w:val="20"/>
          <w:szCs w:val="20"/>
        </w:rPr>
        <w:t>Burden and Standard of Proof in Refugee Claims states that credibility is</w:t>
      </w:r>
      <w:r w:rsidR="00F34BE2">
        <w:rPr>
          <w:rFonts w:ascii="Book Antiqua" w:hAnsi="Book Antiqua"/>
          <w:sz w:val="20"/>
          <w:szCs w:val="20"/>
        </w:rPr>
        <w:t xml:space="preserve"> </w:t>
      </w:r>
      <w:r w:rsidRPr="00784501">
        <w:rPr>
          <w:rFonts w:ascii="Book Antiqua" w:hAnsi="Book Antiqua"/>
          <w:sz w:val="20"/>
          <w:szCs w:val="20"/>
        </w:rPr>
        <w:t>established where the applicant has presented a claim which is coherent and</w:t>
      </w:r>
      <w:r w:rsidR="00F34BE2">
        <w:rPr>
          <w:rFonts w:ascii="Book Antiqua" w:hAnsi="Book Antiqua"/>
          <w:sz w:val="20"/>
          <w:szCs w:val="20"/>
        </w:rPr>
        <w:t xml:space="preserve"> </w:t>
      </w:r>
      <w:r w:rsidRPr="00784501">
        <w:rPr>
          <w:rFonts w:ascii="Book Antiqua" w:hAnsi="Book Antiqua"/>
          <w:sz w:val="20"/>
          <w:szCs w:val="20"/>
        </w:rPr>
        <w:t>plausible, not contradicting generally known facts, and therefore is, on</w:t>
      </w:r>
      <w:r w:rsidR="00F34BE2">
        <w:rPr>
          <w:rFonts w:ascii="Book Antiqua" w:hAnsi="Book Antiqua"/>
          <w:sz w:val="20"/>
          <w:szCs w:val="20"/>
        </w:rPr>
        <w:t xml:space="preserve"> </w:t>
      </w:r>
      <w:r w:rsidRPr="00784501">
        <w:rPr>
          <w:rFonts w:ascii="Book Antiqua" w:hAnsi="Book Antiqua"/>
          <w:sz w:val="20"/>
          <w:szCs w:val="20"/>
        </w:rPr>
        <w:t>balance, capable of being believed (see paragraph 53 above).</w:t>
      </w:r>
    </w:p>
    <w:p w:rsidR="00645A79" w:rsidRPr="00784501" w:rsidRDefault="00645A79" w:rsidP="00645A79">
      <w:pPr>
        <w:autoSpaceDE w:val="0"/>
        <w:autoSpaceDN w:val="0"/>
        <w:adjustRightInd w:val="0"/>
        <w:ind w:left="1701" w:hanging="567"/>
        <w:jc w:val="both"/>
        <w:rPr>
          <w:rFonts w:ascii="Book Antiqua" w:hAnsi="Book Antiqua"/>
          <w:sz w:val="20"/>
          <w:szCs w:val="20"/>
        </w:rPr>
      </w:pPr>
    </w:p>
    <w:p w:rsidR="00645A79" w:rsidRPr="00784501" w:rsidRDefault="00645A79" w:rsidP="00645A79">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102.</w:t>
      </w:r>
      <w:r w:rsidRPr="00784501">
        <w:rPr>
          <w:rFonts w:ascii="Book Antiqua" w:hAnsi="Book Antiqua"/>
          <w:sz w:val="20"/>
          <w:szCs w:val="20"/>
        </w:rPr>
        <w:tab/>
        <w:t>The Court considers that the fact of past ill-treatment provides a</w:t>
      </w:r>
      <w:r w:rsidR="00F34BE2">
        <w:rPr>
          <w:rFonts w:ascii="Book Antiqua" w:hAnsi="Book Antiqua"/>
          <w:sz w:val="20"/>
          <w:szCs w:val="20"/>
        </w:rPr>
        <w:t xml:space="preserve"> </w:t>
      </w:r>
      <w:r w:rsidRPr="00784501">
        <w:rPr>
          <w:rFonts w:ascii="Book Antiqua" w:hAnsi="Book Antiqua"/>
          <w:sz w:val="20"/>
          <w:szCs w:val="20"/>
        </w:rPr>
        <w:t>strong indication of a future, real risk of treatment contrary to Article 3, in</w:t>
      </w:r>
      <w:r w:rsidR="00F34BE2">
        <w:rPr>
          <w:rFonts w:ascii="Book Antiqua" w:hAnsi="Book Antiqua"/>
          <w:sz w:val="20"/>
          <w:szCs w:val="20"/>
        </w:rPr>
        <w:t xml:space="preserve"> </w:t>
      </w:r>
      <w:r w:rsidRPr="00784501">
        <w:rPr>
          <w:rFonts w:ascii="Book Antiqua" w:hAnsi="Book Antiqua"/>
          <w:sz w:val="20"/>
          <w:szCs w:val="20"/>
        </w:rPr>
        <w:t>cases in which an applicant has made a generally coherent and credible</w:t>
      </w:r>
      <w:r w:rsidR="00F34BE2">
        <w:rPr>
          <w:rFonts w:ascii="Book Antiqua" w:hAnsi="Book Antiqua"/>
          <w:sz w:val="20"/>
          <w:szCs w:val="20"/>
        </w:rPr>
        <w:t xml:space="preserve"> </w:t>
      </w:r>
      <w:r w:rsidRPr="00784501">
        <w:rPr>
          <w:rFonts w:ascii="Book Antiqua" w:hAnsi="Book Antiqua"/>
          <w:sz w:val="20"/>
          <w:szCs w:val="20"/>
        </w:rPr>
        <w:t>account of events that is consistent with information from reliable and</w:t>
      </w:r>
      <w:r w:rsidR="00F34BE2">
        <w:rPr>
          <w:rFonts w:ascii="Book Antiqua" w:hAnsi="Book Antiqua"/>
          <w:sz w:val="20"/>
          <w:szCs w:val="20"/>
        </w:rPr>
        <w:t xml:space="preserve"> </w:t>
      </w:r>
      <w:r w:rsidRPr="00784501">
        <w:rPr>
          <w:rFonts w:ascii="Book Antiqua" w:hAnsi="Book Antiqua"/>
          <w:sz w:val="20"/>
          <w:szCs w:val="20"/>
        </w:rPr>
        <w:t>objective sources about the general situation in the country at issue. In such</w:t>
      </w:r>
      <w:r w:rsidR="00F34BE2">
        <w:rPr>
          <w:rFonts w:ascii="Book Antiqua" w:hAnsi="Book Antiqua"/>
          <w:sz w:val="20"/>
          <w:szCs w:val="20"/>
        </w:rPr>
        <w:t xml:space="preserve"> </w:t>
      </w:r>
      <w:r w:rsidRPr="00784501">
        <w:rPr>
          <w:rFonts w:ascii="Book Antiqua" w:hAnsi="Book Antiqua"/>
          <w:sz w:val="20"/>
          <w:szCs w:val="20"/>
        </w:rPr>
        <w:t>circumstances, it will be for the Government to dispel any doubts about that</w:t>
      </w:r>
      <w:r w:rsidR="00F34BE2">
        <w:rPr>
          <w:rFonts w:ascii="Book Antiqua" w:hAnsi="Book Antiqua"/>
          <w:sz w:val="20"/>
          <w:szCs w:val="20"/>
        </w:rPr>
        <w:t xml:space="preserve"> </w:t>
      </w:r>
      <w:r w:rsidRPr="00784501">
        <w:rPr>
          <w:rFonts w:ascii="Book Antiqua" w:hAnsi="Book Antiqua"/>
          <w:sz w:val="20"/>
          <w:szCs w:val="20"/>
        </w:rPr>
        <w:t>risk.”</w:t>
      </w:r>
    </w:p>
    <w:p w:rsidR="00645A79" w:rsidRDefault="00645A79" w:rsidP="00645A79">
      <w:pPr>
        <w:autoSpaceDE w:val="0"/>
        <w:autoSpaceDN w:val="0"/>
        <w:adjustRightInd w:val="0"/>
        <w:ind w:left="567" w:hanging="567"/>
        <w:jc w:val="both"/>
        <w:rPr>
          <w:rFonts w:ascii="Book Antiqua" w:hAnsi="Book Antiqua"/>
        </w:rPr>
      </w:pPr>
    </w:p>
    <w:p w:rsidR="00DE695B" w:rsidRDefault="00F27119" w:rsidP="00DE695B">
      <w:pPr>
        <w:autoSpaceDE w:val="0"/>
        <w:autoSpaceDN w:val="0"/>
        <w:adjustRightInd w:val="0"/>
        <w:ind w:left="567" w:hanging="567"/>
        <w:jc w:val="both"/>
        <w:rPr>
          <w:rFonts w:ascii="Book Antiqua" w:hAnsi="Book Antiqua"/>
        </w:rPr>
      </w:pPr>
      <w:r>
        <w:rPr>
          <w:rFonts w:ascii="Book Antiqua" w:hAnsi="Book Antiqua"/>
        </w:rPr>
        <w:t>2</w:t>
      </w:r>
      <w:r w:rsidR="00271F8A">
        <w:rPr>
          <w:rFonts w:ascii="Book Antiqua" w:hAnsi="Book Antiqua"/>
        </w:rPr>
        <w:t>5</w:t>
      </w:r>
      <w:r w:rsidR="004656B2">
        <w:rPr>
          <w:rFonts w:ascii="Book Antiqua" w:hAnsi="Book Antiqua"/>
        </w:rPr>
        <w:t>.</w:t>
      </w:r>
      <w:r w:rsidR="004656B2">
        <w:rPr>
          <w:rFonts w:ascii="Book Antiqua" w:hAnsi="Book Antiqua"/>
        </w:rPr>
        <w:tab/>
      </w:r>
      <w:r w:rsidR="00DE695B">
        <w:rPr>
          <w:rFonts w:ascii="Book Antiqua" w:hAnsi="Book Antiqua"/>
        </w:rPr>
        <w:t>A proper reading of the above paragraphs does not support Mr Bedford’s argument.</w:t>
      </w:r>
      <w:r w:rsidR="001860F1">
        <w:rPr>
          <w:rFonts w:ascii="Book Antiqua" w:hAnsi="Book Antiqua"/>
        </w:rPr>
        <w:t xml:space="preserve"> A reversal of the burden of proof is not what the Grand Chamber intended</w:t>
      </w:r>
      <w:r w:rsidR="00271F8A">
        <w:rPr>
          <w:rFonts w:ascii="Book Antiqua" w:hAnsi="Book Antiqua"/>
        </w:rPr>
        <w:t xml:space="preserve">. </w:t>
      </w:r>
      <w:r w:rsidR="001A1C83">
        <w:rPr>
          <w:rFonts w:ascii="Book Antiqua" w:hAnsi="Book Antiqua"/>
        </w:rPr>
        <w:t xml:space="preserve"> The above extracts make it clear that the burden is on the Appellant, but that in certain circumstances there may be a duty on the State involved.  The approach advocated </w:t>
      </w:r>
      <w:r w:rsidR="00931CA6">
        <w:rPr>
          <w:rFonts w:ascii="Book Antiqua" w:hAnsi="Book Antiqua"/>
        </w:rPr>
        <w:t>by Mr Bedford was</w:t>
      </w:r>
      <w:r w:rsidR="001860F1">
        <w:rPr>
          <w:rFonts w:ascii="Book Antiqua" w:hAnsi="Book Antiqua"/>
        </w:rPr>
        <w:t xml:space="preserve"> contrary to the position of the UNCHR</w:t>
      </w:r>
      <w:r w:rsidR="00DA36C6">
        <w:rPr>
          <w:rFonts w:ascii="Book Antiqua" w:hAnsi="Book Antiqua"/>
        </w:rPr>
        <w:t xml:space="preserve"> </w:t>
      </w:r>
      <w:r w:rsidR="001860F1" w:rsidRPr="001860F1">
        <w:rPr>
          <w:rFonts w:ascii="Book Antiqua" w:hAnsi="Book Antiqua"/>
        </w:rPr>
        <w:t>1998 Note on Burden and Standard of Proof in Refugee Claims</w:t>
      </w:r>
      <w:r w:rsidR="00DA36C6">
        <w:rPr>
          <w:rFonts w:ascii="Book Antiqua" w:hAnsi="Book Antiqua"/>
        </w:rPr>
        <w:t xml:space="preserve"> and case law. </w:t>
      </w:r>
      <w:r w:rsidR="00271F8A">
        <w:rPr>
          <w:rFonts w:ascii="Book Antiqua" w:hAnsi="Book Antiqua"/>
        </w:rPr>
        <w:t xml:space="preserve"> </w:t>
      </w:r>
      <w:r w:rsidR="004656B2">
        <w:rPr>
          <w:rFonts w:ascii="Book Antiqua" w:hAnsi="Book Antiqua"/>
        </w:rPr>
        <w:t>The</w:t>
      </w:r>
      <w:r w:rsidR="00645A79">
        <w:rPr>
          <w:rFonts w:ascii="Book Antiqua" w:hAnsi="Book Antiqua"/>
        </w:rPr>
        <w:t xml:space="preserve"> relevant paragraphs of </w:t>
      </w:r>
      <w:r w:rsidR="00645A79" w:rsidRPr="00DE695B">
        <w:rPr>
          <w:rFonts w:ascii="Book Antiqua" w:hAnsi="Book Antiqua"/>
          <w:i/>
        </w:rPr>
        <w:t>Paposhvili</w:t>
      </w:r>
      <w:r w:rsidR="00645A79">
        <w:rPr>
          <w:rFonts w:ascii="Book Antiqua" w:hAnsi="Book Antiqua"/>
        </w:rPr>
        <w:t xml:space="preserve"> on which Mr Bedford relied are as follows: </w:t>
      </w:r>
    </w:p>
    <w:p w:rsidR="00271F8A" w:rsidRDefault="00271F8A" w:rsidP="00DE695B">
      <w:pPr>
        <w:autoSpaceDE w:val="0"/>
        <w:autoSpaceDN w:val="0"/>
        <w:adjustRightInd w:val="0"/>
        <w:ind w:left="567" w:hanging="567"/>
        <w:jc w:val="both"/>
        <w:rPr>
          <w:rFonts w:ascii="Book Antiqua" w:hAnsi="Book Antiqua"/>
        </w:rPr>
      </w:pPr>
    </w:p>
    <w:p w:rsidR="00271F8A" w:rsidRDefault="00271F8A" w:rsidP="00DE695B">
      <w:pPr>
        <w:autoSpaceDE w:val="0"/>
        <w:autoSpaceDN w:val="0"/>
        <w:adjustRightInd w:val="0"/>
        <w:ind w:left="567" w:hanging="567"/>
        <w:jc w:val="both"/>
        <w:rPr>
          <w:rFonts w:ascii="Book Antiqua" w:hAnsi="Book Antiqua"/>
        </w:rPr>
      </w:pPr>
    </w:p>
    <w:p w:rsidR="00DE695B" w:rsidRPr="00784501" w:rsidRDefault="00DE695B" w:rsidP="00DE695B">
      <w:pPr>
        <w:pStyle w:val="Default"/>
        <w:ind w:left="1985" w:hanging="851"/>
        <w:jc w:val="both"/>
        <w:rPr>
          <w:rFonts w:ascii="Book Antiqua" w:hAnsi="Book Antiqua"/>
          <w:sz w:val="20"/>
          <w:szCs w:val="20"/>
        </w:rPr>
      </w:pPr>
      <w:r>
        <w:rPr>
          <w:rFonts w:ascii="Book Antiqua" w:hAnsi="Book Antiqua"/>
        </w:rPr>
        <w:lastRenderedPageBreak/>
        <w:t>“</w:t>
      </w:r>
      <w:r w:rsidRPr="00A1489A">
        <w:rPr>
          <w:rFonts w:ascii="Book Antiqua" w:hAnsi="Book Antiqua"/>
          <w:sz w:val="20"/>
          <w:szCs w:val="20"/>
        </w:rPr>
        <w:t>186.</w:t>
      </w:r>
      <w:r>
        <w:rPr>
          <w:rFonts w:ascii="Book Antiqua" w:hAnsi="Book Antiqua"/>
        </w:rPr>
        <w:tab/>
      </w:r>
      <w:r w:rsidRPr="00784501">
        <w:rPr>
          <w:rFonts w:ascii="Book Antiqua" w:hAnsi="Book Antiqua"/>
          <w:sz w:val="20"/>
          <w:szCs w:val="20"/>
        </w:rPr>
        <w:t xml:space="preserve">In the context of these procedures, it is for the applicants to adduce evidence capable of demonstrating that there are substantial grounds for believing that, if the measure complained of were to be implemented, they would be exposed to a real risk of being subjected to treatment contrary to Article 3 (see </w:t>
      </w:r>
      <w:r w:rsidRPr="00784501">
        <w:rPr>
          <w:rFonts w:ascii="Book Antiqua" w:hAnsi="Book Antiqua"/>
          <w:i/>
          <w:iCs/>
          <w:sz w:val="20"/>
          <w:szCs w:val="20"/>
        </w:rPr>
        <w:t>Saadi</w:t>
      </w:r>
      <w:r w:rsidRPr="00784501">
        <w:rPr>
          <w:rFonts w:ascii="Book Antiqua" w:hAnsi="Book Antiqua"/>
          <w:sz w:val="20"/>
          <w:szCs w:val="20"/>
        </w:rPr>
        <w:t xml:space="preserve">, cited above, § 129, and </w:t>
      </w:r>
      <w:r w:rsidRPr="00784501">
        <w:rPr>
          <w:rFonts w:ascii="Book Antiqua" w:hAnsi="Book Antiqua"/>
          <w:i/>
          <w:iCs/>
          <w:sz w:val="20"/>
          <w:szCs w:val="20"/>
        </w:rPr>
        <w:t>F.G. v. Sweden</w:t>
      </w:r>
      <w:r w:rsidRPr="00784501">
        <w:rPr>
          <w:rFonts w:ascii="Book Antiqua" w:hAnsi="Book Antiqua"/>
          <w:sz w:val="20"/>
          <w:szCs w:val="20"/>
        </w:rPr>
        <w:t xml:space="preserve">, cited above, § 120). In this connection it should be observed that a certain degree of speculation is inherent in the preventive purpose of Article 3 and that it is not a matter of requiring the persons concerned to provide clear proof of their claim that they would be exposed to proscribed treatment (see, in particular, </w:t>
      </w:r>
      <w:r w:rsidRPr="00784501">
        <w:rPr>
          <w:rFonts w:ascii="Book Antiqua" w:hAnsi="Book Antiqua"/>
          <w:i/>
          <w:iCs/>
          <w:sz w:val="20"/>
          <w:szCs w:val="20"/>
        </w:rPr>
        <w:t>Trabelsi v. Belgium</w:t>
      </w:r>
      <w:r w:rsidRPr="00784501">
        <w:rPr>
          <w:rFonts w:ascii="Book Antiqua" w:hAnsi="Book Antiqua"/>
          <w:sz w:val="20"/>
          <w:szCs w:val="20"/>
        </w:rPr>
        <w:t>, no. 140/10, § 130, ECHR 2014 (extracts)).</w:t>
      </w:r>
    </w:p>
    <w:p w:rsidR="00DE695B" w:rsidRPr="00784501" w:rsidRDefault="00DE695B" w:rsidP="00DE695B">
      <w:pPr>
        <w:pStyle w:val="Default"/>
        <w:ind w:left="1985" w:hanging="851"/>
        <w:jc w:val="both"/>
        <w:rPr>
          <w:rFonts w:ascii="Book Antiqua" w:hAnsi="Book Antiqua"/>
          <w:sz w:val="20"/>
          <w:szCs w:val="20"/>
        </w:rPr>
      </w:pPr>
    </w:p>
    <w:p w:rsidR="00645A79" w:rsidRDefault="00DE695B" w:rsidP="00DE695B">
      <w:pPr>
        <w:pStyle w:val="Default"/>
        <w:ind w:left="1985" w:hanging="851"/>
        <w:jc w:val="both"/>
        <w:rPr>
          <w:rFonts w:ascii="Book Antiqua" w:hAnsi="Book Antiqua"/>
        </w:rPr>
      </w:pPr>
      <w:r w:rsidRPr="00784501">
        <w:rPr>
          <w:rFonts w:ascii="Book Antiqua" w:hAnsi="Book Antiqua"/>
          <w:sz w:val="20"/>
          <w:szCs w:val="20"/>
        </w:rPr>
        <w:t xml:space="preserve">187. </w:t>
      </w:r>
      <w:r w:rsidRPr="00784501">
        <w:rPr>
          <w:rFonts w:ascii="Book Antiqua" w:hAnsi="Book Antiqua"/>
          <w:sz w:val="20"/>
          <w:szCs w:val="20"/>
        </w:rPr>
        <w:tab/>
        <w:t xml:space="preserve">Where such evidence is adduced, it is for the authorities of the returning State, in the context of domestic procedures, to dispel any doubts raised by it (see </w:t>
      </w:r>
      <w:r w:rsidRPr="00784501">
        <w:rPr>
          <w:rFonts w:ascii="Book Antiqua" w:hAnsi="Book Antiqua"/>
          <w:i/>
          <w:iCs/>
          <w:sz w:val="20"/>
          <w:szCs w:val="20"/>
        </w:rPr>
        <w:t>Saadi</w:t>
      </w:r>
      <w:r w:rsidRPr="00784501">
        <w:rPr>
          <w:rFonts w:ascii="Book Antiqua" w:hAnsi="Book Antiqua"/>
          <w:sz w:val="20"/>
          <w:szCs w:val="20"/>
        </w:rPr>
        <w:t xml:space="preserve">, cited above, § 129, and </w:t>
      </w:r>
      <w:r w:rsidRPr="00784501">
        <w:rPr>
          <w:rFonts w:ascii="Book Antiqua" w:hAnsi="Book Antiqua"/>
          <w:i/>
          <w:iCs/>
          <w:sz w:val="20"/>
          <w:szCs w:val="20"/>
        </w:rPr>
        <w:t>F.G. v. Sweden</w:t>
      </w:r>
      <w:r w:rsidRPr="00784501">
        <w:rPr>
          <w:rFonts w:ascii="Book Antiqua" w:hAnsi="Book Antiqua"/>
          <w:sz w:val="20"/>
          <w:szCs w:val="20"/>
        </w:rPr>
        <w:t xml:space="preserve">, cited above, § 120). The risk alleged must be subjected to close scrutiny (see </w:t>
      </w:r>
      <w:r w:rsidRPr="00784501">
        <w:rPr>
          <w:rFonts w:ascii="Book Antiqua" w:hAnsi="Book Antiqua"/>
          <w:i/>
          <w:iCs/>
          <w:sz w:val="20"/>
          <w:szCs w:val="20"/>
        </w:rPr>
        <w:t xml:space="preserve">Saadi, </w:t>
      </w:r>
      <w:r w:rsidRPr="00784501">
        <w:rPr>
          <w:rFonts w:ascii="Book Antiqua" w:hAnsi="Book Antiqua"/>
          <w:sz w:val="20"/>
          <w:szCs w:val="20"/>
        </w:rPr>
        <w:t xml:space="preserve">cited above, § 128; </w:t>
      </w:r>
      <w:r w:rsidRPr="00784501">
        <w:rPr>
          <w:rFonts w:ascii="Book Antiqua" w:hAnsi="Book Antiqua"/>
          <w:i/>
          <w:iCs/>
          <w:sz w:val="20"/>
          <w:szCs w:val="20"/>
        </w:rPr>
        <w:t>Sufi and Elmi v. the United Kingdom</w:t>
      </w:r>
      <w:r w:rsidRPr="00784501">
        <w:rPr>
          <w:rFonts w:ascii="Book Antiqua" w:hAnsi="Book Antiqua"/>
          <w:sz w:val="20"/>
          <w:szCs w:val="20"/>
        </w:rPr>
        <w:t xml:space="preserve">, nos. 8319/07 and 11449/07, § 214, 28 June 2011; </w:t>
      </w:r>
      <w:r w:rsidRPr="00784501">
        <w:rPr>
          <w:rFonts w:ascii="Book Antiqua" w:hAnsi="Book Antiqua"/>
          <w:i/>
          <w:iCs/>
          <w:sz w:val="20"/>
          <w:szCs w:val="20"/>
        </w:rPr>
        <w:t>Hirsi Jamaa and Others</w:t>
      </w:r>
      <w:r w:rsidRPr="00784501">
        <w:rPr>
          <w:rFonts w:ascii="Book Antiqua" w:hAnsi="Book Antiqua"/>
          <w:sz w:val="20"/>
          <w:szCs w:val="20"/>
        </w:rPr>
        <w:t xml:space="preserve">, cited above, § 116; and </w:t>
      </w:r>
      <w:r w:rsidRPr="00784501">
        <w:rPr>
          <w:rFonts w:ascii="Book Antiqua" w:hAnsi="Book Antiqua"/>
          <w:i/>
          <w:iCs/>
          <w:sz w:val="20"/>
          <w:szCs w:val="20"/>
        </w:rPr>
        <w:t>Tarakhel</w:t>
      </w:r>
      <w:r w:rsidRPr="00784501">
        <w:rPr>
          <w:rFonts w:ascii="Book Antiqua" w:hAnsi="Book Antiqua"/>
          <w:sz w:val="20"/>
          <w:szCs w:val="20"/>
        </w:rPr>
        <w:t xml:space="preserve">, cited above, § 104) in the course of which the authorities in the returning State must consider the foreseeable consequences of removal for the individual concerned in the receiving State, in the light of the general situation there and the individual’s personal circumstances (see </w:t>
      </w:r>
      <w:r w:rsidRPr="00784501">
        <w:rPr>
          <w:rFonts w:ascii="Book Antiqua" w:hAnsi="Book Antiqua"/>
          <w:i/>
          <w:iCs/>
          <w:sz w:val="20"/>
          <w:szCs w:val="20"/>
        </w:rPr>
        <w:t>Vilvarajah and Others</w:t>
      </w:r>
      <w:r w:rsidRPr="00784501">
        <w:rPr>
          <w:rFonts w:ascii="Book Antiqua" w:hAnsi="Book Antiqua"/>
          <w:sz w:val="20"/>
          <w:szCs w:val="20"/>
        </w:rPr>
        <w:t xml:space="preserve">, cited above, § 108; </w:t>
      </w:r>
      <w:r w:rsidRPr="00784501">
        <w:rPr>
          <w:rFonts w:ascii="Book Antiqua" w:hAnsi="Book Antiqua"/>
          <w:i/>
          <w:iCs/>
          <w:sz w:val="20"/>
          <w:szCs w:val="20"/>
        </w:rPr>
        <w:t>El-Masri</w:t>
      </w:r>
      <w:r w:rsidRPr="00784501">
        <w:rPr>
          <w:rFonts w:ascii="Book Antiqua" w:hAnsi="Book Antiqua"/>
          <w:sz w:val="20"/>
          <w:szCs w:val="20"/>
        </w:rPr>
        <w:t xml:space="preserve">, cited above, § 213; and </w:t>
      </w:r>
      <w:r w:rsidRPr="00784501">
        <w:rPr>
          <w:rFonts w:ascii="Book Antiqua" w:hAnsi="Book Antiqua"/>
          <w:i/>
          <w:iCs/>
          <w:sz w:val="20"/>
          <w:szCs w:val="20"/>
        </w:rPr>
        <w:t>Tarakhel</w:t>
      </w:r>
      <w:r w:rsidRPr="00784501">
        <w:rPr>
          <w:rFonts w:ascii="Book Antiqua" w:hAnsi="Book Antiqua"/>
          <w:sz w:val="20"/>
          <w:szCs w:val="20"/>
        </w:rPr>
        <w:t>, cited above, § 105). The assessment of the risk as defined above (see paragraphs 183-84) must therefore take into consideration general sources such as reports of the World Health Organisation or of reputable non-governmental organisations and the medical certificates concerning the person in question.”</w:t>
      </w:r>
    </w:p>
    <w:p w:rsidR="00645A79" w:rsidRDefault="00645A79" w:rsidP="000D7340">
      <w:pPr>
        <w:autoSpaceDE w:val="0"/>
        <w:autoSpaceDN w:val="0"/>
        <w:adjustRightInd w:val="0"/>
        <w:ind w:left="567" w:hanging="567"/>
        <w:jc w:val="both"/>
        <w:rPr>
          <w:rFonts w:ascii="Book Antiqua" w:hAnsi="Book Antiqua"/>
        </w:rPr>
      </w:pPr>
    </w:p>
    <w:p w:rsidR="00DE695B" w:rsidRDefault="00F27119" w:rsidP="000D7340">
      <w:pPr>
        <w:autoSpaceDE w:val="0"/>
        <w:autoSpaceDN w:val="0"/>
        <w:adjustRightInd w:val="0"/>
        <w:ind w:left="567" w:hanging="567"/>
        <w:jc w:val="both"/>
        <w:rPr>
          <w:color w:val="000000"/>
          <w:sz w:val="21"/>
          <w:szCs w:val="21"/>
        </w:rPr>
      </w:pPr>
      <w:r>
        <w:rPr>
          <w:rFonts w:ascii="Book Antiqua" w:hAnsi="Book Antiqua"/>
        </w:rPr>
        <w:t>2</w:t>
      </w:r>
      <w:r w:rsidR="00271F8A">
        <w:rPr>
          <w:rFonts w:ascii="Book Antiqua" w:hAnsi="Book Antiqua"/>
        </w:rPr>
        <w:t>6</w:t>
      </w:r>
      <w:r w:rsidR="00DE695B">
        <w:rPr>
          <w:rFonts w:ascii="Book Antiqua" w:hAnsi="Book Antiqua"/>
        </w:rPr>
        <w:t>.</w:t>
      </w:r>
      <w:r w:rsidR="00A1489A">
        <w:rPr>
          <w:rFonts w:ascii="Book Antiqua" w:hAnsi="Book Antiqua"/>
        </w:rPr>
        <w:tab/>
      </w:r>
      <w:r w:rsidR="00DE695B">
        <w:rPr>
          <w:rFonts w:ascii="Book Antiqua" w:hAnsi="Book Antiqua"/>
        </w:rPr>
        <w:t xml:space="preserve">The Court of appeal in </w:t>
      </w:r>
      <w:r w:rsidR="00DE695B" w:rsidRPr="00DE695B">
        <w:rPr>
          <w:rFonts w:ascii="Book Antiqua" w:hAnsi="Book Antiqua"/>
          <w:i/>
        </w:rPr>
        <w:t>AM</w:t>
      </w:r>
      <w:r w:rsidR="00DE695B">
        <w:rPr>
          <w:rFonts w:ascii="Book Antiqua" w:hAnsi="Book Antiqua"/>
        </w:rPr>
        <w:t xml:space="preserve"> considered the apparent tension between the approach in </w:t>
      </w:r>
      <w:r w:rsidR="00DE695B" w:rsidRPr="0037637E">
        <w:rPr>
          <w:rFonts w:ascii="Book Antiqua" w:hAnsi="Book Antiqua"/>
          <w:i/>
        </w:rPr>
        <w:t>Paposhvili</w:t>
      </w:r>
      <w:r w:rsidR="00DE695B">
        <w:rPr>
          <w:rFonts w:ascii="Book Antiqua" w:hAnsi="Book Antiqua"/>
        </w:rPr>
        <w:t xml:space="preserve"> and the earlier domestic authorities.  Sales LJ (with whom Patten LJ and Hickinbottom JL agreed) stated at [16]</w:t>
      </w:r>
      <w:bookmarkStart w:id="2" w:name="para16"/>
      <w:r w:rsidR="00DE695B">
        <w:rPr>
          <w:rFonts w:ascii="Book Antiqua" w:hAnsi="Book Antiqua"/>
        </w:rPr>
        <w:t>;</w:t>
      </w:r>
    </w:p>
    <w:p w:rsidR="001860F1" w:rsidRDefault="001860F1" w:rsidP="000D7340">
      <w:pPr>
        <w:autoSpaceDE w:val="0"/>
        <w:autoSpaceDN w:val="0"/>
        <w:adjustRightInd w:val="0"/>
        <w:ind w:left="567" w:hanging="567"/>
        <w:jc w:val="both"/>
        <w:rPr>
          <w:color w:val="000000"/>
          <w:sz w:val="21"/>
          <w:szCs w:val="21"/>
        </w:rPr>
      </w:pPr>
    </w:p>
    <w:p w:rsidR="00DE695B" w:rsidRDefault="00DE695B" w:rsidP="00F27119">
      <w:pPr>
        <w:autoSpaceDE w:val="0"/>
        <w:autoSpaceDN w:val="0"/>
        <w:adjustRightInd w:val="0"/>
        <w:ind w:left="1701" w:hanging="567"/>
        <w:jc w:val="both"/>
        <w:rPr>
          <w:rFonts w:ascii="Book Antiqua" w:hAnsi="Book Antiqua"/>
        </w:rPr>
      </w:pPr>
      <w:r>
        <w:rPr>
          <w:color w:val="000000"/>
          <w:sz w:val="21"/>
          <w:szCs w:val="21"/>
        </w:rPr>
        <w:t>“16.</w:t>
      </w:r>
      <w:r w:rsidR="00A1489A">
        <w:rPr>
          <w:color w:val="000000"/>
          <w:sz w:val="21"/>
          <w:szCs w:val="21"/>
        </w:rPr>
        <w:tab/>
      </w:r>
      <w:r>
        <w:rPr>
          <w:color w:val="000000"/>
          <w:sz w:val="21"/>
          <w:szCs w:val="21"/>
        </w:rPr>
        <w:t xml:space="preserve"> It is common ground that where a foreign national seeks to rely upon Article 3 as an answer to an attempt by a state to remove him to another country, the overall legal burden is on him to show that Article 3 would be infringed in his case by showing that that there are substantial grounds for believing that he would face a real risk of being subject to torture or to inhuman or degrading treatment in that other country: see, e.g., </w:t>
      </w:r>
      <w:r>
        <w:rPr>
          <w:i/>
          <w:iCs/>
          <w:color w:val="000000"/>
          <w:sz w:val="21"/>
          <w:szCs w:val="21"/>
        </w:rPr>
        <w:t xml:space="preserve">Soering v United Kingdom </w:t>
      </w:r>
      <w:bookmarkEnd w:id="2"/>
      <w:r w:rsidR="004A4839">
        <w:fldChar w:fldCharType="begin"/>
      </w:r>
      <w:r>
        <w:instrText xml:space="preserve"> HYPERLINK "http://www.bailii.org/cgi-bin/redirect.cgi?path=/eu/cases/ECHR/1989/14.html" \o "Link to BAILII version" </w:instrText>
      </w:r>
      <w:r w:rsidR="004A4839">
        <w:fldChar w:fldCharType="separate"/>
      </w:r>
      <w:r>
        <w:rPr>
          <w:rStyle w:val="Hyperlink"/>
          <w:color w:val="0066CC"/>
          <w:sz w:val="21"/>
          <w:szCs w:val="21"/>
        </w:rPr>
        <w:t>(1989) 11 EHRR 439</w:t>
      </w:r>
      <w:r w:rsidR="004A4839">
        <w:fldChar w:fldCharType="end"/>
      </w:r>
      <w:r>
        <w:rPr>
          <w:color w:val="000000"/>
          <w:sz w:val="21"/>
          <w:szCs w:val="21"/>
        </w:rPr>
        <w:t xml:space="preserve">, para. [91], which is reflected in the formulations in </w:t>
      </w:r>
      <w:r>
        <w:rPr>
          <w:i/>
          <w:iCs/>
          <w:color w:val="000000"/>
          <w:sz w:val="21"/>
          <w:szCs w:val="21"/>
        </w:rPr>
        <w:t>Paposhvili</w:t>
      </w:r>
      <w:r>
        <w:rPr>
          <w:color w:val="000000"/>
          <w:sz w:val="21"/>
          <w:szCs w:val="21"/>
        </w:rPr>
        <w:t xml:space="preserve">, paras. [173] and [183], set out below. In </w:t>
      </w:r>
      <w:r>
        <w:rPr>
          <w:i/>
          <w:iCs/>
          <w:color w:val="000000"/>
          <w:sz w:val="21"/>
          <w:szCs w:val="21"/>
        </w:rPr>
        <w:t>Paposhvili</w:t>
      </w:r>
      <w:r>
        <w:rPr>
          <w:color w:val="000000"/>
          <w:sz w:val="21"/>
          <w:szCs w:val="21"/>
        </w:rPr>
        <w:t>, at paras. [186]-[187], set out below, the Grand Chamber of the ECtHR has given guidance how he may achieve that, by raising a prima facie case of infringement of Article 3 which then casts an evidential burden onto the defending state which is seeking to expel him.</w:t>
      </w:r>
      <w:r w:rsidR="00A22F48">
        <w:rPr>
          <w:color w:val="000000"/>
          <w:sz w:val="21"/>
          <w:szCs w:val="21"/>
        </w:rPr>
        <w:t>”</w:t>
      </w:r>
    </w:p>
    <w:p w:rsidR="00DE695B" w:rsidRDefault="00DE695B" w:rsidP="000D7340">
      <w:pPr>
        <w:autoSpaceDE w:val="0"/>
        <w:autoSpaceDN w:val="0"/>
        <w:adjustRightInd w:val="0"/>
        <w:ind w:left="567" w:hanging="567"/>
        <w:jc w:val="both"/>
        <w:rPr>
          <w:rFonts w:ascii="Book Antiqua" w:hAnsi="Book Antiqua"/>
        </w:rPr>
      </w:pPr>
    </w:p>
    <w:p w:rsidR="00537885" w:rsidRDefault="00F27119" w:rsidP="000D7340">
      <w:pPr>
        <w:autoSpaceDE w:val="0"/>
        <w:autoSpaceDN w:val="0"/>
        <w:adjustRightInd w:val="0"/>
        <w:ind w:left="567" w:hanging="567"/>
        <w:jc w:val="both"/>
        <w:rPr>
          <w:rFonts w:ascii="Book Antiqua" w:hAnsi="Book Antiqua"/>
        </w:rPr>
      </w:pPr>
      <w:r>
        <w:rPr>
          <w:rFonts w:ascii="Book Antiqua" w:hAnsi="Book Antiqua"/>
        </w:rPr>
        <w:t>2</w:t>
      </w:r>
      <w:r w:rsidR="00271F8A">
        <w:rPr>
          <w:rFonts w:ascii="Book Antiqua" w:hAnsi="Book Antiqua"/>
        </w:rPr>
        <w:t>7</w:t>
      </w:r>
      <w:r w:rsidR="00A1489A">
        <w:rPr>
          <w:rFonts w:ascii="Book Antiqua" w:hAnsi="Book Antiqua"/>
        </w:rPr>
        <w:t>.</w:t>
      </w:r>
      <w:r w:rsidR="00A1489A">
        <w:rPr>
          <w:rFonts w:ascii="Book Antiqua" w:hAnsi="Book Antiqua"/>
        </w:rPr>
        <w:tab/>
      </w:r>
      <w:r w:rsidR="004656B2">
        <w:rPr>
          <w:rFonts w:ascii="Book Antiqua" w:hAnsi="Book Antiqua"/>
        </w:rPr>
        <w:t xml:space="preserve">It is </w:t>
      </w:r>
      <w:r w:rsidR="00DE695B">
        <w:rPr>
          <w:rFonts w:ascii="Book Antiqua" w:hAnsi="Book Antiqua"/>
        </w:rPr>
        <w:t xml:space="preserve">the view </w:t>
      </w:r>
      <w:r w:rsidR="004656B2">
        <w:rPr>
          <w:rFonts w:ascii="Book Antiqua" w:hAnsi="Book Antiqua"/>
        </w:rPr>
        <w:t xml:space="preserve">of the Grand Chamber that once an Appellant has adduced evidence capable of </w:t>
      </w:r>
      <w:r w:rsidR="00931CA6">
        <w:rPr>
          <w:rFonts w:ascii="Book Antiqua" w:hAnsi="Book Antiqua"/>
        </w:rPr>
        <w:t>demonstrating that there are substantial grounds for believing that there would be a real risk,</w:t>
      </w:r>
      <w:r w:rsidR="004656B2">
        <w:rPr>
          <w:rFonts w:ascii="Book Antiqua" w:hAnsi="Book Antiqua"/>
        </w:rPr>
        <w:t xml:space="preserve"> it is the responsibility of the Respondent to dispel doubts about it.</w:t>
      </w:r>
      <w:r w:rsidR="00DA36C6">
        <w:rPr>
          <w:rFonts w:ascii="Book Antiqua" w:hAnsi="Book Antiqua"/>
        </w:rPr>
        <w:t xml:space="preserve"> </w:t>
      </w:r>
      <w:r w:rsidR="004656B2">
        <w:rPr>
          <w:rFonts w:ascii="Book Antiqua" w:hAnsi="Book Antiqua"/>
        </w:rPr>
        <w:t xml:space="preserve">The court in </w:t>
      </w:r>
      <w:r w:rsidR="004656B2" w:rsidRPr="00DE695B">
        <w:rPr>
          <w:rFonts w:ascii="Book Antiqua" w:hAnsi="Book Antiqua"/>
          <w:i/>
        </w:rPr>
        <w:t xml:space="preserve">Paposhvili </w:t>
      </w:r>
      <w:r w:rsidR="004656B2">
        <w:rPr>
          <w:rFonts w:ascii="Book Antiqua" w:hAnsi="Book Antiqua"/>
        </w:rPr>
        <w:t>said that in raising a sufficiently credible Article 3 case this gives rise to a procedural obligation on the relevant Belgium authority to examine the case</w:t>
      </w:r>
      <w:r w:rsidR="00A22F48">
        <w:rPr>
          <w:rFonts w:ascii="Book Antiqua" w:hAnsi="Book Antiqua"/>
        </w:rPr>
        <w:t xml:space="preserve">. It </w:t>
      </w:r>
      <w:r w:rsidR="000B18D9">
        <w:rPr>
          <w:rFonts w:ascii="Book Antiqua" w:hAnsi="Book Antiqua"/>
        </w:rPr>
        <w:t>is unarguable that</w:t>
      </w:r>
      <w:r w:rsidR="00A22F48">
        <w:rPr>
          <w:rFonts w:ascii="Book Antiqua" w:hAnsi="Book Antiqua"/>
        </w:rPr>
        <w:t xml:space="preserve"> this is an </w:t>
      </w:r>
      <w:r w:rsidR="000B18D9">
        <w:rPr>
          <w:rFonts w:ascii="Book Antiqua" w:hAnsi="Book Antiqua"/>
        </w:rPr>
        <w:t xml:space="preserve">attempt to </w:t>
      </w:r>
      <w:r w:rsidR="004E6347">
        <w:rPr>
          <w:rFonts w:ascii="Book Antiqua" w:hAnsi="Book Antiqua"/>
        </w:rPr>
        <w:t>rever</w:t>
      </w:r>
      <w:r w:rsidR="00DA36C6">
        <w:rPr>
          <w:rFonts w:ascii="Book Antiqua" w:hAnsi="Book Antiqua"/>
        </w:rPr>
        <w:t>s</w:t>
      </w:r>
      <w:r w:rsidR="000B18D9">
        <w:rPr>
          <w:rFonts w:ascii="Book Antiqua" w:hAnsi="Book Antiqua"/>
        </w:rPr>
        <w:t>e</w:t>
      </w:r>
      <w:r w:rsidR="004E6347">
        <w:rPr>
          <w:rFonts w:ascii="Book Antiqua" w:hAnsi="Book Antiqua"/>
        </w:rPr>
        <w:t xml:space="preserve"> the burden of proof.</w:t>
      </w:r>
      <w:r w:rsidR="00BA1068">
        <w:rPr>
          <w:rFonts w:ascii="Book Antiqua" w:hAnsi="Book Antiqua"/>
        </w:rPr>
        <w:t xml:space="preserve">  It </w:t>
      </w:r>
      <w:r w:rsidR="00A22F48">
        <w:rPr>
          <w:rFonts w:ascii="Book Antiqua" w:hAnsi="Book Antiqua"/>
        </w:rPr>
        <w:t xml:space="preserve">arguably </w:t>
      </w:r>
      <w:r w:rsidR="00BA1068">
        <w:rPr>
          <w:rFonts w:ascii="Book Antiqua" w:hAnsi="Book Antiqua"/>
        </w:rPr>
        <w:t xml:space="preserve">places a responsibility or burden on </w:t>
      </w:r>
      <w:r w:rsidR="00DA36C6">
        <w:rPr>
          <w:rFonts w:ascii="Book Antiqua" w:hAnsi="Book Antiqua"/>
        </w:rPr>
        <w:t xml:space="preserve">the </w:t>
      </w:r>
      <w:r w:rsidR="00BA1068">
        <w:rPr>
          <w:rFonts w:ascii="Book Antiqua" w:hAnsi="Book Antiqua"/>
        </w:rPr>
        <w:t>State once an Appellant has adduced evidence capable of belief</w:t>
      </w:r>
      <w:r w:rsidR="00931CA6">
        <w:rPr>
          <w:rFonts w:ascii="Book Antiqua" w:hAnsi="Book Antiqua"/>
        </w:rPr>
        <w:t xml:space="preserve"> which is consistent with the UNCHR approach to the burden and standard of proof. </w:t>
      </w:r>
      <w:r w:rsidR="004E6347">
        <w:rPr>
          <w:rFonts w:ascii="Book Antiqua" w:hAnsi="Book Antiqua"/>
        </w:rPr>
        <w:t xml:space="preserve">I am not bound by the guidance in </w:t>
      </w:r>
      <w:r w:rsidR="004E6347" w:rsidRPr="004E6347">
        <w:rPr>
          <w:rFonts w:ascii="Book Antiqua" w:hAnsi="Book Antiqua"/>
          <w:i/>
        </w:rPr>
        <w:t>Paposhvili</w:t>
      </w:r>
      <w:r w:rsidR="004E6347">
        <w:rPr>
          <w:rFonts w:ascii="Book Antiqua" w:hAnsi="Book Antiqua"/>
        </w:rPr>
        <w:t>, but even if it is properly applied</w:t>
      </w:r>
      <w:r w:rsidR="00BA1068">
        <w:rPr>
          <w:rFonts w:ascii="Book Antiqua" w:hAnsi="Book Antiqua"/>
        </w:rPr>
        <w:t xml:space="preserve"> to this case</w:t>
      </w:r>
      <w:r w:rsidR="004E6347">
        <w:rPr>
          <w:rFonts w:ascii="Book Antiqua" w:hAnsi="Book Antiqua"/>
        </w:rPr>
        <w:t xml:space="preserve">, </w:t>
      </w:r>
      <w:r w:rsidR="00BA1068">
        <w:rPr>
          <w:rFonts w:ascii="Book Antiqua" w:hAnsi="Book Antiqua"/>
        </w:rPr>
        <w:t xml:space="preserve">I find that </w:t>
      </w:r>
      <w:r w:rsidR="004E6347">
        <w:rPr>
          <w:rFonts w:ascii="Book Antiqua" w:hAnsi="Book Antiqua"/>
        </w:rPr>
        <w:t>th</w:t>
      </w:r>
      <w:r w:rsidR="00BA1068">
        <w:rPr>
          <w:rFonts w:ascii="Book Antiqua" w:hAnsi="Book Antiqua"/>
        </w:rPr>
        <w:t xml:space="preserve">is </w:t>
      </w:r>
      <w:r w:rsidR="004E6347">
        <w:rPr>
          <w:rFonts w:ascii="Book Antiqua" w:hAnsi="Book Antiqua"/>
        </w:rPr>
        <w:t>Appellant has failed to adduce evidence capable of belief</w:t>
      </w:r>
      <w:r w:rsidR="00931CA6">
        <w:rPr>
          <w:rFonts w:ascii="Book Antiqua" w:hAnsi="Book Antiqua"/>
        </w:rPr>
        <w:t xml:space="preserve"> or capable of demonstrating that there are substantial grounds for believing that there would be a real risk. </w:t>
      </w:r>
    </w:p>
    <w:p w:rsidR="00537885" w:rsidRDefault="00537885" w:rsidP="000D7340">
      <w:pPr>
        <w:autoSpaceDE w:val="0"/>
        <w:autoSpaceDN w:val="0"/>
        <w:adjustRightInd w:val="0"/>
        <w:ind w:left="567" w:hanging="567"/>
        <w:jc w:val="both"/>
        <w:rPr>
          <w:rFonts w:ascii="Book Antiqua" w:hAnsi="Book Antiqua"/>
        </w:rPr>
      </w:pPr>
    </w:p>
    <w:p w:rsidR="00A22F48" w:rsidRDefault="00F27119" w:rsidP="000D7340">
      <w:pPr>
        <w:autoSpaceDE w:val="0"/>
        <w:autoSpaceDN w:val="0"/>
        <w:adjustRightInd w:val="0"/>
        <w:ind w:left="567" w:hanging="567"/>
        <w:jc w:val="both"/>
        <w:rPr>
          <w:rFonts w:ascii="Book Antiqua" w:hAnsi="Book Antiqua"/>
        </w:rPr>
      </w:pPr>
      <w:r>
        <w:rPr>
          <w:rFonts w:ascii="Book Antiqua" w:hAnsi="Book Antiqua"/>
        </w:rPr>
        <w:lastRenderedPageBreak/>
        <w:t>2</w:t>
      </w:r>
      <w:r w:rsidR="00CB5342">
        <w:rPr>
          <w:rFonts w:ascii="Book Antiqua" w:hAnsi="Book Antiqua"/>
        </w:rPr>
        <w:t>8</w:t>
      </w:r>
      <w:r w:rsidR="004656B2">
        <w:rPr>
          <w:rFonts w:ascii="Book Antiqua" w:hAnsi="Book Antiqua"/>
        </w:rPr>
        <w:t>.</w:t>
      </w:r>
      <w:r w:rsidR="004656B2">
        <w:rPr>
          <w:rFonts w:ascii="Book Antiqua" w:hAnsi="Book Antiqua"/>
        </w:rPr>
        <w:tab/>
      </w:r>
      <w:r w:rsidR="00537885">
        <w:rPr>
          <w:rFonts w:ascii="Book Antiqua" w:hAnsi="Book Antiqua"/>
        </w:rPr>
        <w:t xml:space="preserve">This Appellant’s claim </w:t>
      </w:r>
      <w:r w:rsidR="004656B2">
        <w:rPr>
          <w:rFonts w:ascii="Book Antiqua" w:hAnsi="Book Antiqua"/>
        </w:rPr>
        <w:t xml:space="preserve">was not believed by </w:t>
      </w:r>
      <w:r w:rsidR="00CB01F7">
        <w:rPr>
          <w:rFonts w:ascii="Book Antiqua" w:hAnsi="Book Antiqua"/>
        </w:rPr>
        <w:t xml:space="preserve">the first judge </w:t>
      </w:r>
      <w:r w:rsidR="004656B2">
        <w:rPr>
          <w:rFonts w:ascii="Book Antiqua" w:hAnsi="Book Antiqua"/>
        </w:rPr>
        <w:t>in 2014</w:t>
      </w:r>
      <w:r w:rsidR="00DA36C6">
        <w:rPr>
          <w:rFonts w:ascii="Book Antiqua" w:hAnsi="Book Antiqua"/>
        </w:rPr>
        <w:t xml:space="preserve"> </w:t>
      </w:r>
      <w:r w:rsidR="00CB0302">
        <w:rPr>
          <w:rFonts w:ascii="Book Antiqua" w:hAnsi="Book Antiqua"/>
        </w:rPr>
        <w:t xml:space="preserve">or </w:t>
      </w:r>
      <w:r w:rsidR="00CB01F7">
        <w:rPr>
          <w:rFonts w:ascii="Book Antiqua" w:hAnsi="Book Antiqua"/>
        </w:rPr>
        <w:t>the second judge in 201</w:t>
      </w:r>
      <w:r w:rsidR="000B18D9">
        <w:rPr>
          <w:rFonts w:ascii="Book Antiqua" w:hAnsi="Book Antiqua"/>
        </w:rPr>
        <w:t>7</w:t>
      </w:r>
      <w:r w:rsidR="00CB01F7">
        <w:rPr>
          <w:rFonts w:ascii="Book Antiqua" w:hAnsi="Book Antiqua"/>
        </w:rPr>
        <w:t xml:space="preserve">. The first judge </w:t>
      </w:r>
      <w:r w:rsidR="00BA1068">
        <w:rPr>
          <w:rFonts w:ascii="Book Antiqua" w:hAnsi="Book Antiqua"/>
        </w:rPr>
        <w:t xml:space="preserve">found that there </w:t>
      </w:r>
      <w:r w:rsidR="004656B2">
        <w:rPr>
          <w:rFonts w:ascii="Book Antiqua" w:hAnsi="Book Antiqua"/>
        </w:rPr>
        <w:t xml:space="preserve">was insufficient evidence to establish a real risk that the Taliban would persecute him on return.  He found that the Appellant had been able to </w:t>
      </w:r>
      <w:r w:rsidR="00537885">
        <w:rPr>
          <w:rFonts w:ascii="Book Antiqua" w:hAnsi="Book Antiqua"/>
        </w:rPr>
        <w:t xml:space="preserve">give </w:t>
      </w:r>
      <w:r w:rsidR="004656B2">
        <w:rPr>
          <w:rFonts w:ascii="Book Antiqua" w:hAnsi="Book Antiqua"/>
        </w:rPr>
        <w:t>limited evidence about his reasons for leaving Afghanistan</w:t>
      </w:r>
      <w:r w:rsidR="00537885">
        <w:rPr>
          <w:rFonts w:ascii="Book Antiqua" w:hAnsi="Book Antiqua"/>
        </w:rPr>
        <w:t xml:space="preserve">. He </w:t>
      </w:r>
      <w:r w:rsidR="004656B2">
        <w:rPr>
          <w:rFonts w:ascii="Book Antiqua" w:hAnsi="Book Antiqua"/>
        </w:rPr>
        <w:t>found that he had given his evidence for the most part consistently but the evidence based on him simply being told to do things by his mother and brother-on-law.  The</w:t>
      </w:r>
      <w:r w:rsidR="00CB01F7">
        <w:rPr>
          <w:rFonts w:ascii="Book Antiqua" w:hAnsi="Book Antiqua"/>
        </w:rPr>
        <w:t xml:space="preserve"> first </w:t>
      </w:r>
      <w:r w:rsidR="004656B2">
        <w:rPr>
          <w:rFonts w:ascii="Book Antiqua" w:hAnsi="Book Antiqua"/>
        </w:rPr>
        <w:t>judge recorded that his evidence was vague and that there were discrepancies.  He concluded that taken at its highest the Appellant had not established that he was at risk and in any event</w:t>
      </w:r>
      <w:r w:rsidR="00E2255F">
        <w:rPr>
          <w:rFonts w:ascii="Book Antiqua" w:hAnsi="Book Antiqua"/>
        </w:rPr>
        <w:t>,</w:t>
      </w:r>
      <w:r w:rsidR="004656B2">
        <w:rPr>
          <w:rFonts w:ascii="Book Antiqua" w:hAnsi="Book Antiqua"/>
        </w:rPr>
        <w:t xml:space="preserve"> he could safely relocate to Kabul.</w:t>
      </w:r>
      <w:r w:rsidR="00F34BE2">
        <w:rPr>
          <w:rFonts w:ascii="Book Antiqua" w:hAnsi="Book Antiqua"/>
        </w:rPr>
        <w:t xml:space="preserve"> </w:t>
      </w:r>
      <w:r w:rsidR="00CB01F7">
        <w:rPr>
          <w:rFonts w:ascii="Book Antiqua" w:hAnsi="Book Antiqua"/>
        </w:rPr>
        <w:t xml:space="preserve">The first judge </w:t>
      </w:r>
      <w:r w:rsidR="00ED3EE8">
        <w:rPr>
          <w:rFonts w:ascii="Book Antiqua" w:hAnsi="Book Antiqua"/>
        </w:rPr>
        <w:t>did not believe that the Appellant was not</w:t>
      </w:r>
      <w:r w:rsidR="00EA5F79">
        <w:rPr>
          <w:rFonts w:ascii="Book Antiqua" w:hAnsi="Book Antiqua"/>
        </w:rPr>
        <w:t xml:space="preserve"> able to </w:t>
      </w:r>
      <w:r w:rsidR="00ED3EE8">
        <w:rPr>
          <w:rFonts w:ascii="Book Antiqua" w:hAnsi="Book Antiqua"/>
        </w:rPr>
        <w:t xml:space="preserve">contact with his family. </w:t>
      </w:r>
      <w:r w:rsidR="00A22F48">
        <w:rPr>
          <w:rFonts w:ascii="Book Antiqua" w:hAnsi="Book Antiqua"/>
        </w:rPr>
        <w:t>The Appellant made a further witness statement that was before the second judge which effectively repeated the claim and made an unsupported and assertion that he had not had contact with his family since he came here in 2013. There was no reference to efforts that he has made to contact them. He has not produced a further statement. He relie</w:t>
      </w:r>
      <w:r w:rsidR="00EA5F79">
        <w:rPr>
          <w:rFonts w:ascii="Book Antiqua" w:hAnsi="Book Antiqua"/>
        </w:rPr>
        <w:t xml:space="preserve">d </w:t>
      </w:r>
      <w:r w:rsidR="00A22F48">
        <w:rPr>
          <w:rFonts w:ascii="Book Antiqua" w:hAnsi="Book Antiqua"/>
        </w:rPr>
        <w:t>on letter</w:t>
      </w:r>
      <w:r w:rsidR="00425E98">
        <w:rPr>
          <w:rFonts w:ascii="Book Antiqua" w:hAnsi="Book Antiqua"/>
        </w:rPr>
        <w:t>s</w:t>
      </w:r>
      <w:r w:rsidR="00A22F48">
        <w:rPr>
          <w:rFonts w:ascii="Book Antiqua" w:hAnsi="Book Antiqua"/>
        </w:rPr>
        <w:t xml:space="preserve"> from the Red Cross which predate the hearing before the second judge.</w:t>
      </w:r>
      <w:r w:rsidR="00F34BE2">
        <w:rPr>
          <w:rFonts w:ascii="Book Antiqua" w:hAnsi="Book Antiqua"/>
        </w:rPr>
        <w:t xml:space="preserve"> </w:t>
      </w:r>
      <w:r w:rsidR="00EA5F79">
        <w:rPr>
          <w:rFonts w:ascii="Book Antiqua" w:hAnsi="Book Antiqua"/>
        </w:rPr>
        <w:t xml:space="preserve">At the hearing before me these were adduced for the </w:t>
      </w:r>
      <w:r w:rsidR="00A22F48">
        <w:rPr>
          <w:rFonts w:ascii="Book Antiqua" w:hAnsi="Book Antiqua"/>
        </w:rPr>
        <w:t>first time</w:t>
      </w:r>
      <w:r w:rsidR="00EA5F79">
        <w:rPr>
          <w:rFonts w:ascii="Book Antiqua" w:hAnsi="Book Antiqua"/>
        </w:rPr>
        <w:t xml:space="preserve"> and they had not previously been mentioned. </w:t>
      </w:r>
    </w:p>
    <w:p w:rsidR="00A22F48" w:rsidRDefault="00A22F48" w:rsidP="000D7340">
      <w:pPr>
        <w:autoSpaceDE w:val="0"/>
        <w:autoSpaceDN w:val="0"/>
        <w:adjustRightInd w:val="0"/>
        <w:ind w:left="567" w:hanging="567"/>
        <w:jc w:val="both"/>
        <w:rPr>
          <w:rFonts w:ascii="Book Antiqua" w:hAnsi="Book Antiqua"/>
        </w:rPr>
      </w:pPr>
    </w:p>
    <w:p w:rsidR="00ED3EE8" w:rsidRDefault="00CB5342" w:rsidP="000D7340">
      <w:pPr>
        <w:autoSpaceDE w:val="0"/>
        <w:autoSpaceDN w:val="0"/>
        <w:adjustRightInd w:val="0"/>
        <w:ind w:left="567" w:hanging="567"/>
        <w:jc w:val="both"/>
        <w:rPr>
          <w:rFonts w:ascii="Book Antiqua" w:hAnsi="Book Antiqua"/>
        </w:rPr>
      </w:pPr>
      <w:r>
        <w:rPr>
          <w:rFonts w:ascii="Book Antiqua" w:hAnsi="Book Antiqua"/>
        </w:rPr>
        <w:t>29</w:t>
      </w:r>
      <w:r w:rsidR="00A1489A">
        <w:rPr>
          <w:rFonts w:ascii="Book Antiqua" w:hAnsi="Book Antiqua"/>
        </w:rPr>
        <w:t>.</w:t>
      </w:r>
      <w:r w:rsidR="00A1489A">
        <w:rPr>
          <w:rFonts w:ascii="Book Antiqua" w:hAnsi="Book Antiqua"/>
        </w:rPr>
        <w:tab/>
        <w:t>T</w:t>
      </w:r>
      <w:r w:rsidR="00ED3EE8">
        <w:rPr>
          <w:rFonts w:ascii="Book Antiqua" w:hAnsi="Book Antiqua"/>
        </w:rPr>
        <w:t>h</w:t>
      </w:r>
      <w:r w:rsidR="00CB01F7">
        <w:rPr>
          <w:rFonts w:ascii="Book Antiqua" w:hAnsi="Book Antiqua"/>
        </w:rPr>
        <w:t>e</w:t>
      </w:r>
      <w:r w:rsidR="00ED3EE8">
        <w:rPr>
          <w:rFonts w:ascii="Book Antiqua" w:hAnsi="Book Antiqua"/>
        </w:rPr>
        <w:t xml:space="preserve"> evidence</w:t>
      </w:r>
      <w:r w:rsidR="00537885">
        <w:rPr>
          <w:rFonts w:ascii="Book Antiqua" w:hAnsi="Book Antiqua"/>
        </w:rPr>
        <w:t xml:space="preserve"> from the British Red Cross </w:t>
      </w:r>
      <w:r w:rsidR="00ED3EE8">
        <w:rPr>
          <w:rFonts w:ascii="Book Antiqua" w:hAnsi="Book Antiqua"/>
        </w:rPr>
        <w:t>was not before</w:t>
      </w:r>
      <w:r w:rsidR="00CB01F7">
        <w:rPr>
          <w:rFonts w:ascii="Book Antiqua" w:hAnsi="Book Antiqua"/>
        </w:rPr>
        <w:t xml:space="preserve"> the first judge. His</w:t>
      </w:r>
      <w:r w:rsidR="00ED3EE8">
        <w:rPr>
          <w:rFonts w:ascii="Book Antiqua" w:hAnsi="Book Antiqua"/>
        </w:rPr>
        <w:t xml:space="preserve"> findings are the starting point in line with the guidance in </w:t>
      </w:r>
      <w:r w:rsidR="00ED3EE8" w:rsidRPr="00537885">
        <w:rPr>
          <w:rFonts w:ascii="Book Antiqua" w:hAnsi="Book Antiqua"/>
          <w:i/>
        </w:rPr>
        <w:t>Devaseelan</w:t>
      </w:r>
      <w:r w:rsidR="00537885" w:rsidRPr="00537885">
        <w:rPr>
          <w:rFonts w:ascii="Book Antiqua" w:hAnsi="Book Antiqua"/>
        </w:rPr>
        <w:t xml:space="preserve"> [2002] UKIAT702</w:t>
      </w:r>
      <w:r w:rsidR="004E6347">
        <w:rPr>
          <w:rFonts w:ascii="Book Antiqua" w:hAnsi="Book Antiqua"/>
        </w:rPr>
        <w:t xml:space="preserve">. </w:t>
      </w:r>
      <w:r w:rsidR="00ED3EE8">
        <w:rPr>
          <w:rFonts w:ascii="Book Antiqua" w:hAnsi="Book Antiqua"/>
        </w:rPr>
        <w:t>There was no challenge to</w:t>
      </w:r>
      <w:r w:rsidR="00CB01F7">
        <w:rPr>
          <w:rFonts w:ascii="Book Antiqua" w:hAnsi="Book Antiqua"/>
        </w:rPr>
        <w:t xml:space="preserve"> his </w:t>
      </w:r>
      <w:r w:rsidR="00ED3EE8">
        <w:rPr>
          <w:rFonts w:ascii="Book Antiqua" w:hAnsi="Book Antiqua"/>
        </w:rPr>
        <w:t>decision as far as I am aware.</w:t>
      </w:r>
    </w:p>
    <w:p w:rsidR="00ED3EE8" w:rsidRDefault="00ED3EE8" w:rsidP="000D7340">
      <w:pPr>
        <w:autoSpaceDE w:val="0"/>
        <w:autoSpaceDN w:val="0"/>
        <w:adjustRightInd w:val="0"/>
        <w:ind w:left="567" w:hanging="567"/>
        <w:jc w:val="both"/>
        <w:rPr>
          <w:rFonts w:ascii="Book Antiqua" w:hAnsi="Book Antiqua"/>
        </w:rPr>
      </w:pPr>
    </w:p>
    <w:p w:rsidR="00537885" w:rsidRDefault="00F27119" w:rsidP="000D7340">
      <w:pPr>
        <w:autoSpaceDE w:val="0"/>
        <w:autoSpaceDN w:val="0"/>
        <w:adjustRightInd w:val="0"/>
        <w:ind w:left="567" w:hanging="567"/>
        <w:jc w:val="both"/>
        <w:rPr>
          <w:rFonts w:ascii="Book Antiqua" w:hAnsi="Book Antiqua"/>
        </w:rPr>
      </w:pPr>
      <w:r>
        <w:rPr>
          <w:rFonts w:ascii="Book Antiqua" w:hAnsi="Book Antiqua"/>
        </w:rPr>
        <w:t>3</w:t>
      </w:r>
      <w:r w:rsidR="00CB5342">
        <w:rPr>
          <w:rFonts w:ascii="Book Antiqua" w:hAnsi="Book Antiqua"/>
        </w:rPr>
        <w:t>0</w:t>
      </w:r>
      <w:r w:rsidR="00537885">
        <w:rPr>
          <w:rFonts w:ascii="Book Antiqua" w:hAnsi="Book Antiqua"/>
        </w:rPr>
        <w:t>.</w:t>
      </w:r>
      <w:r w:rsidR="00ED3EE8">
        <w:rPr>
          <w:rFonts w:ascii="Book Antiqua" w:hAnsi="Book Antiqua"/>
        </w:rPr>
        <w:tab/>
        <w:t xml:space="preserve">The Appellant is in his eighteenth year.  His case was not presented before me on the basis that he would be returning to Afghanistan as an unattended child.  It was accepted at the start of the hearing before me that he was now an adult although Mr Bedford stated that there is some doubt as to this because of </w:t>
      </w:r>
      <w:r w:rsidR="00537885">
        <w:rPr>
          <w:rFonts w:ascii="Book Antiqua" w:hAnsi="Book Antiqua"/>
        </w:rPr>
        <w:t xml:space="preserve">the </w:t>
      </w:r>
      <w:r w:rsidR="00ED3EE8">
        <w:rPr>
          <w:rFonts w:ascii="Book Antiqua" w:hAnsi="Book Antiqua"/>
        </w:rPr>
        <w:t xml:space="preserve">notional date of birth which he gave to the Respondent.  This is an issue </w:t>
      </w:r>
      <w:r w:rsidR="007D2F08">
        <w:rPr>
          <w:rFonts w:ascii="Book Antiqua" w:hAnsi="Book Antiqua"/>
        </w:rPr>
        <w:t xml:space="preserve">that </w:t>
      </w:r>
      <w:r w:rsidR="00ED3EE8">
        <w:rPr>
          <w:rFonts w:ascii="Book Antiqua" w:hAnsi="Book Antiqua"/>
        </w:rPr>
        <w:t xml:space="preserve">has not previously been raised.  </w:t>
      </w:r>
      <w:r w:rsidR="00537885">
        <w:rPr>
          <w:rFonts w:ascii="Book Antiqua" w:hAnsi="Book Antiqua"/>
        </w:rPr>
        <w:t xml:space="preserve">It has not been advanced by the Appellant that he would be returning to Afghanistan as </w:t>
      </w:r>
      <w:r w:rsidR="00EA5F79">
        <w:rPr>
          <w:rFonts w:ascii="Book Antiqua" w:hAnsi="Book Antiqua"/>
        </w:rPr>
        <w:t xml:space="preserve">an </w:t>
      </w:r>
      <w:r w:rsidR="00537885">
        <w:rPr>
          <w:rFonts w:ascii="Book Antiqua" w:hAnsi="Book Antiqua"/>
        </w:rPr>
        <w:t>unattended child. M</w:t>
      </w:r>
      <w:r w:rsidR="00ED3EE8">
        <w:rPr>
          <w:rFonts w:ascii="Book Antiqua" w:hAnsi="Book Antiqua"/>
        </w:rPr>
        <w:t xml:space="preserve">y starting point </w:t>
      </w:r>
      <w:r w:rsidR="00EA5F79">
        <w:rPr>
          <w:rFonts w:ascii="Book Antiqua" w:hAnsi="Book Antiqua"/>
        </w:rPr>
        <w:t>was</w:t>
      </w:r>
      <w:r w:rsidR="00ED3EE8">
        <w:rPr>
          <w:rFonts w:ascii="Book Antiqua" w:hAnsi="Book Antiqua"/>
        </w:rPr>
        <w:t xml:space="preserve"> that the Appellant</w:t>
      </w:r>
      <w:r w:rsidR="00EA5F79">
        <w:rPr>
          <w:rFonts w:ascii="Book Antiqua" w:hAnsi="Book Antiqua"/>
        </w:rPr>
        <w:t xml:space="preserve"> was</w:t>
      </w:r>
      <w:r w:rsidR="00ED3EE8">
        <w:rPr>
          <w:rFonts w:ascii="Book Antiqua" w:hAnsi="Book Antiqua"/>
        </w:rPr>
        <w:t xml:space="preserve"> an adult</w:t>
      </w:r>
      <w:r w:rsidR="00537885">
        <w:rPr>
          <w:rFonts w:ascii="Book Antiqua" w:hAnsi="Book Antiqua"/>
        </w:rPr>
        <w:t>;</w:t>
      </w:r>
      <w:r w:rsidR="00ED3EE8">
        <w:rPr>
          <w:rFonts w:ascii="Book Antiqua" w:hAnsi="Book Antiqua"/>
        </w:rPr>
        <w:t xml:space="preserve"> however</w:t>
      </w:r>
      <w:r w:rsidR="00537885">
        <w:rPr>
          <w:rFonts w:ascii="Book Antiqua" w:hAnsi="Book Antiqua"/>
        </w:rPr>
        <w:t>,</w:t>
      </w:r>
      <w:r w:rsidR="00ED3EE8">
        <w:rPr>
          <w:rFonts w:ascii="Book Antiqua" w:hAnsi="Book Antiqua"/>
        </w:rPr>
        <w:t xml:space="preserve"> I accept that he</w:t>
      </w:r>
      <w:r w:rsidR="00EA5F79">
        <w:rPr>
          <w:rFonts w:ascii="Book Antiqua" w:hAnsi="Book Antiqua"/>
        </w:rPr>
        <w:t xml:space="preserve"> was</w:t>
      </w:r>
      <w:r w:rsidR="00ED3EE8">
        <w:rPr>
          <w:rFonts w:ascii="Book Antiqua" w:hAnsi="Book Antiqua"/>
        </w:rPr>
        <w:t xml:space="preserve"> young</w:t>
      </w:r>
      <w:r w:rsidR="00DA36C6">
        <w:rPr>
          <w:rFonts w:ascii="Book Antiqua" w:hAnsi="Book Antiqua"/>
        </w:rPr>
        <w:t xml:space="preserve"> </w:t>
      </w:r>
      <w:r w:rsidR="00EA5F79">
        <w:rPr>
          <w:rFonts w:ascii="Book Antiqua" w:hAnsi="Book Antiqua"/>
        </w:rPr>
        <w:t xml:space="preserve">and </w:t>
      </w:r>
      <w:r w:rsidR="00CB01F7">
        <w:rPr>
          <w:rFonts w:ascii="Book Antiqua" w:hAnsi="Book Antiqua"/>
        </w:rPr>
        <w:t>this is a material factor</w:t>
      </w:r>
      <w:r w:rsidR="00EA5F79">
        <w:rPr>
          <w:rFonts w:ascii="Book Antiqua" w:hAnsi="Book Antiqua"/>
        </w:rPr>
        <w:t xml:space="preserve">. </w:t>
      </w:r>
      <w:r w:rsidR="00CB01F7">
        <w:rPr>
          <w:rFonts w:ascii="Book Antiqua" w:hAnsi="Book Antiqua"/>
        </w:rPr>
        <w:t xml:space="preserve"> In addition</w:t>
      </w:r>
      <w:r w:rsidR="00666DA3">
        <w:rPr>
          <w:rFonts w:ascii="Book Antiqua" w:hAnsi="Book Antiqua"/>
        </w:rPr>
        <w:t>,</w:t>
      </w:r>
      <w:r w:rsidR="00CB01F7">
        <w:rPr>
          <w:rFonts w:ascii="Book Antiqua" w:hAnsi="Book Antiqua"/>
        </w:rPr>
        <w:t xml:space="preserve"> his </w:t>
      </w:r>
      <w:r w:rsidR="00ED3EE8">
        <w:rPr>
          <w:rFonts w:ascii="Book Antiqua" w:hAnsi="Book Antiqua"/>
        </w:rPr>
        <w:t>age w</w:t>
      </w:r>
      <w:r w:rsidR="00EA5F79">
        <w:rPr>
          <w:rFonts w:ascii="Book Antiqua" w:hAnsi="Book Antiqua"/>
        </w:rPr>
        <w:t>ould have</w:t>
      </w:r>
      <w:r w:rsidR="00DA36C6">
        <w:rPr>
          <w:rFonts w:ascii="Book Antiqua" w:hAnsi="Book Antiqua"/>
        </w:rPr>
        <w:t xml:space="preserve"> impact on </w:t>
      </w:r>
      <w:r w:rsidR="00ED3EE8">
        <w:rPr>
          <w:rFonts w:ascii="Book Antiqua" w:hAnsi="Book Antiqua"/>
        </w:rPr>
        <w:t xml:space="preserve">his ability to give detailed </w:t>
      </w:r>
      <w:r w:rsidR="00CB01F7">
        <w:rPr>
          <w:rFonts w:ascii="Book Antiqua" w:hAnsi="Book Antiqua"/>
        </w:rPr>
        <w:t xml:space="preserve">and </w:t>
      </w:r>
      <w:r w:rsidR="00ED3EE8">
        <w:rPr>
          <w:rFonts w:ascii="Book Antiqua" w:hAnsi="Book Antiqua"/>
        </w:rPr>
        <w:t>consistent evidence</w:t>
      </w:r>
      <w:r w:rsidR="00537885">
        <w:rPr>
          <w:rFonts w:ascii="Book Antiqua" w:hAnsi="Book Antiqua"/>
        </w:rPr>
        <w:t xml:space="preserve"> and his understanding of what </w:t>
      </w:r>
      <w:r w:rsidR="00EA5F79">
        <w:rPr>
          <w:rFonts w:ascii="Book Antiqua" w:hAnsi="Book Antiqua"/>
        </w:rPr>
        <w:t>was</w:t>
      </w:r>
      <w:r w:rsidR="00537885">
        <w:rPr>
          <w:rFonts w:ascii="Book Antiqua" w:hAnsi="Book Antiqua"/>
        </w:rPr>
        <w:t xml:space="preserve"> material in his case w</w:t>
      </w:r>
      <w:r w:rsidR="00EA5F79">
        <w:rPr>
          <w:rFonts w:ascii="Book Antiqua" w:hAnsi="Book Antiqua"/>
        </w:rPr>
        <w:t xml:space="preserve">ould </w:t>
      </w:r>
      <w:r w:rsidR="00537885">
        <w:rPr>
          <w:rFonts w:ascii="Book Antiqua" w:hAnsi="Book Antiqua"/>
        </w:rPr>
        <w:t xml:space="preserve">impact on his ability to cooperate with his solicitors. </w:t>
      </w:r>
      <w:r w:rsidR="00DA36C6">
        <w:rPr>
          <w:rFonts w:ascii="Book Antiqua" w:hAnsi="Book Antiqua"/>
        </w:rPr>
        <w:t xml:space="preserve"> </w:t>
      </w:r>
      <w:r w:rsidR="00537885">
        <w:rPr>
          <w:rFonts w:ascii="Book Antiqua" w:hAnsi="Book Antiqua"/>
        </w:rPr>
        <w:t xml:space="preserve">His age </w:t>
      </w:r>
      <w:r w:rsidR="00EA5F79">
        <w:rPr>
          <w:rFonts w:ascii="Book Antiqua" w:hAnsi="Book Antiqua"/>
        </w:rPr>
        <w:t>was</w:t>
      </w:r>
      <w:r w:rsidR="00537885">
        <w:rPr>
          <w:rFonts w:ascii="Book Antiqua" w:hAnsi="Book Antiqua"/>
        </w:rPr>
        <w:t xml:space="preserve"> likely to have hampered his ability to assist with the </w:t>
      </w:r>
      <w:r w:rsidR="00ED3EE8">
        <w:rPr>
          <w:rFonts w:ascii="Book Antiqua" w:hAnsi="Book Antiqua"/>
        </w:rPr>
        <w:t xml:space="preserve">preparation and presentation of his case </w:t>
      </w:r>
      <w:r w:rsidR="00537885">
        <w:rPr>
          <w:rFonts w:ascii="Book Antiqua" w:hAnsi="Book Antiqua"/>
        </w:rPr>
        <w:t xml:space="preserve">at all stages. </w:t>
      </w:r>
      <w:r w:rsidR="00ED3EE8">
        <w:rPr>
          <w:rFonts w:ascii="Book Antiqua" w:hAnsi="Book Antiqua"/>
        </w:rPr>
        <w:t xml:space="preserve"> However, I have also </w:t>
      </w:r>
      <w:r w:rsidR="00CB5342">
        <w:rPr>
          <w:rFonts w:ascii="Book Antiqua" w:hAnsi="Book Antiqua"/>
        </w:rPr>
        <w:t>considered that</w:t>
      </w:r>
      <w:r w:rsidR="00ED3EE8">
        <w:rPr>
          <w:rFonts w:ascii="Book Antiqua" w:hAnsi="Book Antiqua"/>
        </w:rPr>
        <w:t xml:space="preserve"> the Appellant </w:t>
      </w:r>
      <w:r w:rsidR="00EA5F79">
        <w:rPr>
          <w:rFonts w:ascii="Book Antiqua" w:hAnsi="Book Antiqua"/>
        </w:rPr>
        <w:t xml:space="preserve">has been </w:t>
      </w:r>
      <w:r w:rsidR="00ED3EE8">
        <w:rPr>
          <w:rFonts w:ascii="Book Antiqua" w:hAnsi="Book Antiqua"/>
        </w:rPr>
        <w:t>represented</w:t>
      </w:r>
      <w:r w:rsidR="00EA5F79">
        <w:rPr>
          <w:rFonts w:ascii="Book Antiqua" w:hAnsi="Book Antiqua"/>
        </w:rPr>
        <w:t xml:space="preserve"> throughout these proceedings. </w:t>
      </w:r>
      <w:r w:rsidR="00ED3EE8">
        <w:rPr>
          <w:rFonts w:ascii="Book Antiqua" w:hAnsi="Book Antiqua"/>
        </w:rPr>
        <w:t>It is inexplicable why he attended the hearing before me in 20</w:t>
      </w:r>
      <w:r w:rsidR="00537885">
        <w:rPr>
          <w:rFonts w:ascii="Book Antiqua" w:hAnsi="Book Antiqua"/>
        </w:rPr>
        <w:t xml:space="preserve">18 </w:t>
      </w:r>
      <w:r w:rsidR="00ED3EE8">
        <w:rPr>
          <w:rFonts w:ascii="Book Antiqua" w:hAnsi="Book Antiqua"/>
        </w:rPr>
        <w:t xml:space="preserve">with letters from the Red Cross which he </w:t>
      </w:r>
      <w:r w:rsidR="00425E98">
        <w:rPr>
          <w:rFonts w:ascii="Book Antiqua" w:hAnsi="Book Antiqua"/>
        </w:rPr>
        <w:t>f</w:t>
      </w:r>
      <w:r w:rsidR="00ED3EE8">
        <w:rPr>
          <w:rFonts w:ascii="Book Antiqua" w:hAnsi="Book Antiqua"/>
        </w:rPr>
        <w:t>ailed to disclose</w:t>
      </w:r>
      <w:r w:rsidR="00537885">
        <w:rPr>
          <w:rFonts w:ascii="Book Antiqua" w:hAnsi="Book Antiqua"/>
        </w:rPr>
        <w:t xml:space="preserve"> at an earlier stage</w:t>
      </w:r>
      <w:r w:rsidR="00CB01F7">
        <w:rPr>
          <w:rFonts w:ascii="Book Antiqua" w:hAnsi="Book Antiqua"/>
        </w:rPr>
        <w:t xml:space="preserve"> in the proceedings</w:t>
      </w:r>
      <w:r w:rsidR="00537885">
        <w:rPr>
          <w:rFonts w:ascii="Book Antiqua" w:hAnsi="Book Antiqua"/>
        </w:rPr>
        <w:t xml:space="preserve">. </w:t>
      </w:r>
      <w:r w:rsidR="00ED3EE8">
        <w:rPr>
          <w:rFonts w:ascii="Book Antiqua" w:hAnsi="Book Antiqua"/>
        </w:rPr>
        <w:t xml:space="preserve"> The letters according were in existence at the time of the hearing before</w:t>
      </w:r>
      <w:r w:rsidR="00CB01F7">
        <w:rPr>
          <w:rFonts w:ascii="Book Antiqua" w:hAnsi="Book Antiqua"/>
        </w:rPr>
        <w:t xml:space="preserve"> the second judge. </w:t>
      </w:r>
      <w:r w:rsidR="00ED3EE8">
        <w:rPr>
          <w:rFonts w:ascii="Book Antiqua" w:hAnsi="Book Antiqua"/>
        </w:rPr>
        <w:t>It was clear from the Appellant’s oral evidence</w:t>
      </w:r>
      <w:r w:rsidR="00425E98">
        <w:rPr>
          <w:rFonts w:ascii="Book Antiqua" w:hAnsi="Book Antiqua"/>
        </w:rPr>
        <w:t xml:space="preserve"> before me</w:t>
      </w:r>
      <w:r w:rsidR="00ED3EE8">
        <w:rPr>
          <w:rFonts w:ascii="Book Antiqua" w:hAnsi="Book Antiqua"/>
        </w:rPr>
        <w:t xml:space="preserve"> that he understood the significance of this evidence and that the issue in his appeal very much turned on whether he has family in Afghanistan with whom he </w:t>
      </w:r>
      <w:r w:rsidR="00CB01F7">
        <w:rPr>
          <w:rFonts w:ascii="Book Antiqua" w:hAnsi="Book Antiqua"/>
        </w:rPr>
        <w:t xml:space="preserve">has </w:t>
      </w:r>
      <w:r w:rsidR="00ED3EE8">
        <w:rPr>
          <w:rFonts w:ascii="Book Antiqua" w:hAnsi="Book Antiqua"/>
        </w:rPr>
        <w:t>contact.</w:t>
      </w:r>
      <w:r w:rsidR="00DA36C6">
        <w:rPr>
          <w:rFonts w:ascii="Book Antiqua" w:hAnsi="Book Antiqua"/>
        </w:rPr>
        <w:t xml:space="preserve"> </w:t>
      </w:r>
      <w:r w:rsidR="00ED3EE8">
        <w:rPr>
          <w:rFonts w:ascii="Book Antiqua" w:hAnsi="Book Antiqua"/>
        </w:rPr>
        <w:t xml:space="preserve"> </w:t>
      </w:r>
      <w:r w:rsidR="00DA36C6">
        <w:rPr>
          <w:rFonts w:ascii="Book Antiqua" w:hAnsi="Book Antiqua"/>
        </w:rPr>
        <w:t xml:space="preserve"> </w:t>
      </w:r>
    </w:p>
    <w:p w:rsidR="0084017A" w:rsidRDefault="0084017A" w:rsidP="000D7340">
      <w:pPr>
        <w:autoSpaceDE w:val="0"/>
        <w:autoSpaceDN w:val="0"/>
        <w:adjustRightInd w:val="0"/>
        <w:ind w:left="567" w:hanging="567"/>
        <w:jc w:val="both"/>
        <w:rPr>
          <w:rFonts w:ascii="Book Antiqua" w:hAnsi="Book Antiqua"/>
        </w:rPr>
      </w:pPr>
    </w:p>
    <w:p w:rsidR="000B18D9" w:rsidRDefault="00F27119" w:rsidP="000B18D9">
      <w:pPr>
        <w:autoSpaceDE w:val="0"/>
        <w:autoSpaceDN w:val="0"/>
        <w:adjustRightInd w:val="0"/>
        <w:ind w:left="567" w:hanging="567"/>
        <w:jc w:val="both"/>
        <w:rPr>
          <w:rFonts w:ascii="Book Antiqua" w:hAnsi="Book Antiqua"/>
        </w:rPr>
      </w:pPr>
      <w:r>
        <w:rPr>
          <w:rFonts w:ascii="Book Antiqua" w:hAnsi="Book Antiqua"/>
        </w:rPr>
        <w:t>3</w:t>
      </w:r>
      <w:r w:rsidR="00CB5342">
        <w:rPr>
          <w:rFonts w:ascii="Book Antiqua" w:hAnsi="Book Antiqua"/>
        </w:rPr>
        <w:t>1</w:t>
      </w:r>
      <w:r w:rsidR="00A1489A">
        <w:rPr>
          <w:rFonts w:ascii="Book Antiqua" w:hAnsi="Book Antiqua"/>
        </w:rPr>
        <w:t>.</w:t>
      </w:r>
      <w:r w:rsidR="00A1489A">
        <w:rPr>
          <w:rFonts w:ascii="Book Antiqua" w:hAnsi="Book Antiqua"/>
        </w:rPr>
        <w:tab/>
      </w:r>
      <w:r w:rsidR="00EA5F79">
        <w:rPr>
          <w:rFonts w:ascii="Book Antiqua" w:hAnsi="Book Antiqua"/>
        </w:rPr>
        <w:t>The</w:t>
      </w:r>
      <w:r w:rsidR="00ED3EE8">
        <w:rPr>
          <w:rFonts w:ascii="Book Antiqua" w:hAnsi="Book Antiqua"/>
        </w:rPr>
        <w:t xml:space="preserve"> Appellant’s witness statement </w:t>
      </w:r>
      <w:r w:rsidR="007D2F08">
        <w:rPr>
          <w:rFonts w:ascii="Book Antiqua" w:hAnsi="Book Antiqua"/>
        </w:rPr>
        <w:t>before</w:t>
      </w:r>
      <w:r w:rsidR="00CB01F7">
        <w:rPr>
          <w:rFonts w:ascii="Book Antiqua" w:hAnsi="Book Antiqua"/>
        </w:rPr>
        <w:t xml:space="preserve"> the second judge </w:t>
      </w:r>
      <w:r w:rsidR="00ED3EE8">
        <w:rPr>
          <w:rFonts w:ascii="Book Antiqua" w:hAnsi="Book Antiqua"/>
        </w:rPr>
        <w:t>was skeletal</w:t>
      </w:r>
      <w:r w:rsidR="000B18D9">
        <w:rPr>
          <w:rFonts w:ascii="Book Antiqua" w:hAnsi="Book Antiqua"/>
        </w:rPr>
        <w:t xml:space="preserve">. </w:t>
      </w:r>
      <w:r w:rsidR="00ED3EE8">
        <w:rPr>
          <w:rFonts w:ascii="Book Antiqua" w:hAnsi="Book Antiqua"/>
        </w:rPr>
        <w:t xml:space="preserve">  He did not rely on a further witness statement in relation to the hearing before me.  He failed to give evidence in any</w:t>
      </w:r>
      <w:r w:rsidR="00537885">
        <w:rPr>
          <w:rFonts w:ascii="Book Antiqua" w:hAnsi="Book Antiqua"/>
        </w:rPr>
        <w:t xml:space="preserve"> meaningful </w:t>
      </w:r>
      <w:r w:rsidR="00ED3EE8">
        <w:rPr>
          <w:rFonts w:ascii="Book Antiqua" w:hAnsi="Book Antiqua"/>
        </w:rPr>
        <w:t xml:space="preserve">detail relating to the efforts that he has made in order to contact his family members in Afghanistan and in the UK.  </w:t>
      </w:r>
      <w:r w:rsidR="00CB01F7">
        <w:rPr>
          <w:rFonts w:ascii="Book Antiqua" w:hAnsi="Book Antiqua"/>
        </w:rPr>
        <w:t xml:space="preserve">His evidence was that </w:t>
      </w:r>
      <w:r w:rsidR="00CB01F7">
        <w:rPr>
          <w:rFonts w:ascii="Book Antiqua" w:hAnsi="Book Antiqua"/>
        </w:rPr>
        <w:lastRenderedPageBreak/>
        <w:t xml:space="preserve">he was not asked by his solicitors to give another statement. This </w:t>
      </w:r>
      <w:r w:rsidR="00EA5F79">
        <w:rPr>
          <w:rFonts w:ascii="Book Antiqua" w:hAnsi="Book Antiqua"/>
        </w:rPr>
        <w:t>was</w:t>
      </w:r>
      <w:r w:rsidR="00CB01F7">
        <w:rPr>
          <w:rFonts w:ascii="Book Antiqua" w:hAnsi="Book Antiqua"/>
        </w:rPr>
        <w:t xml:space="preserve"> not supported</w:t>
      </w:r>
      <w:r w:rsidR="00DA36C6">
        <w:rPr>
          <w:rFonts w:ascii="Book Antiqua" w:hAnsi="Book Antiqua"/>
        </w:rPr>
        <w:t>.</w:t>
      </w:r>
      <w:r w:rsidR="00CB01F7">
        <w:rPr>
          <w:rFonts w:ascii="Book Antiqua" w:hAnsi="Book Antiqua"/>
        </w:rPr>
        <w:t xml:space="preserve"> </w:t>
      </w:r>
      <w:r w:rsidR="00ED3EE8">
        <w:rPr>
          <w:rFonts w:ascii="Book Antiqua" w:hAnsi="Book Antiqua"/>
        </w:rPr>
        <w:t xml:space="preserve">Taking into account the Appellant’s age and considering </w:t>
      </w:r>
      <w:r w:rsidR="00537885">
        <w:rPr>
          <w:rFonts w:ascii="Book Antiqua" w:hAnsi="Book Antiqua"/>
        </w:rPr>
        <w:t xml:space="preserve">his </w:t>
      </w:r>
      <w:r w:rsidR="00ED3EE8">
        <w:rPr>
          <w:rFonts w:ascii="Book Antiqua" w:hAnsi="Book Antiqua"/>
        </w:rPr>
        <w:t>evidence before me</w:t>
      </w:r>
      <w:r w:rsidR="00537885">
        <w:rPr>
          <w:rFonts w:ascii="Book Antiqua" w:hAnsi="Book Antiqua"/>
        </w:rPr>
        <w:t xml:space="preserve"> and </w:t>
      </w:r>
      <w:r w:rsidR="000B18D9">
        <w:rPr>
          <w:rFonts w:ascii="Book Antiqua" w:hAnsi="Book Antiqua"/>
        </w:rPr>
        <w:t xml:space="preserve">the </w:t>
      </w:r>
      <w:r w:rsidR="00CB01F7">
        <w:rPr>
          <w:rFonts w:ascii="Book Antiqua" w:hAnsi="Book Antiqua"/>
        </w:rPr>
        <w:t xml:space="preserve">previous findings, </w:t>
      </w:r>
      <w:r w:rsidR="00647D16">
        <w:rPr>
          <w:rFonts w:ascii="Book Antiqua" w:hAnsi="Book Antiqua"/>
        </w:rPr>
        <w:t>I conclude that I do not find</w:t>
      </w:r>
      <w:r w:rsidR="00537885">
        <w:rPr>
          <w:rFonts w:ascii="Book Antiqua" w:hAnsi="Book Antiqua"/>
        </w:rPr>
        <w:t xml:space="preserve"> him to be </w:t>
      </w:r>
      <w:r w:rsidR="00647D16">
        <w:rPr>
          <w:rFonts w:ascii="Book Antiqua" w:hAnsi="Book Antiqua"/>
        </w:rPr>
        <w:t>credible witness.</w:t>
      </w:r>
      <w:r w:rsidR="00DA36C6">
        <w:rPr>
          <w:rFonts w:ascii="Book Antiqua" w:hAnsi="Book Antiqua"/>
        </w:rPr>
        <w:t xml:space="preserve"> </w:t>
      </w:r>
      <w:r w:rsidR="000B18D9">
        <w:rPr>
          <w:rFonts w:ascii="Book Antiqua" w:hAnsi="Book Antiqua"/>
        </w:rPr>
        <w:t>I conclude that the Appellant has not established that he does not have family in Afghanistan and that he</w:t>
      </w:r>
      <w:r w:rsidR="00EA5F79">
        <w:rPr>
          <w:rFonts w:ascii="Book Antiqua" w:hAnsi="Book Antiqua"/>
        </w:rPr>
        <w:t xml:space="preserve"> has </w:t>
      </w:r>
      <w:r w:rsidR="000B18D9">
        <w:rPr>
          <w:rFonts w:ascii="Book Antiqua" w:hAnsi="Book Antiqua"/>
        </w:rPr>
        <w:t>not</w:t>
      </w:r>
      <w:r w:rsidR="00EA5F79">
        <w:rPr>
          <w:rFonts w:ascii="Book Antiqua" w:hAnsi="Book Antiqua"/>
        </w:rPr>
        <w:t xml:space="preserve"> had contact with them since his arrival here. </w:t>
      </w:r>
      <w:r w:rsidR="000B18D9">
        <w:rPr>
          <w:rFonts w:ascii="Book Antiqua" w:hAnsi="Book Antiqua"/>
        </w:rPr>
        <w:t xml:space="preserve">The letters from the Red Cross in the context of the evidence as a whole are not reliable. </w:t>
      </w:r>
      <w:r w:rsidR="00C401FF">
        <w:rPr>
          <w:rFonts w:ascii="Book Antiqua" w:hAnsi="Book Antiqua"/>
        </w:rPr>
        <w:t xml:space="preserve"> I find that the Appellant understood the significance of th</w:t>
      </w:r>
      <w:r w:rsidR="00EA5F79">
        <w:rPr>
          <w:rFonts w:ascii="Book Antiqua" w:hAnsi="Book Antiqua"/>
        </w:rPr>
        <w:t xml:space="preserve">is </w:t>
      </w:r>
      <w:r w:rsidR="00C401FF">
        <w:rPr>
          <w:rFonts w:ascii="Book Antiqua" w:hAnsi="Book Antiqua"/>
        </w:rPr>
        <w:t xml:space="preserve">evidence. He has had ample opportunity but failed to advance a credible explanation for having not disclosed the letters at an earlier stage in the proceedings.  </w:t>
      </w:r>
      <w:r w:rsidR="000B18D9">
        <w:rPr>
          <w:rFonts w:ascii="Book Antiqua" w:hAnsi="Book Antiqua"/>
        </w:rPr>
        <w:t xml:space="preserve">The Appellant has not given an account which is capable of raising a sufficiently credible case under Article 3.  In this case the Appellant cannot be said to have made a generally coherent and credible account of events which is consistent with information from reliable and objective sources.  </w:t>
      </w:r>
    </w:p>
    <w:p w:rsidR="00647D16" w:rsidRDefault="00647D16" w:rsidP="000D7340">
      <w:pPr>
        <w:autoSpaceDE w:val="0"/>
        <w:autoSpaceDN w:val="0"/>
        <w:adjustRightInd w:val="0"/>
        <w:ind w:left="567" w:hanging="567"/>
        <w:jc w:val="both"/>
        <w:rPr>
          <w:rFonts w:ascii="Book Antiqua" w:hAnsi="Book Antiqua"/>
        </w:rPr>
      </w:pPr>
    </w:p>
    <w:p w:rsidR="00201309" w:rsidRDefault="00F27119" w:rsidP="00201309">
      <w:pPr>
        <w:autoSpaceDE w:val="0"/>
        <w:autoSpaceDN w:val="0"/>
        <w:adjustRightInd w:val="0"/>
        <w:ind w:left="567" w:hanging="567"/>
        <w:jc w:val="both"/>
        <w:rPr>
          <w:rFonts w:ascii="Book Antiqua" w:hAnsi="Book Antiqua"/>
        </w:rPr>
      </w:pPr>
      <w:r>
        <w:rPr>
          <w:rFonts w:ascii="Book Antiqua" w:hAnsi="Book Antiqua"/>
        </w:rPr>
        <w:t>3</w:t>
      </w:r>
      <w:r w:rsidR="00CB5342">
        <w:rPr>
          <w:rFonts w:ascii="Book Antiqua" w:hAnsi="Book Antiqua"/>
        </w:rPr>
        <w:t>2</w:t>
      </w:r>
      <w:r w:rsidR="00647D16">
        <w:rPr>
          <w:rFonts w:ascii="Book Antiqua" w:hAnsi="Book Antiqua"/>
        </w:rPr>
        <w:t>.</w:t>
      </w:r>
      <w:r w:rsidR="00647D16">
        <w:rPr>
          <w:rFonts w:ascii="Book Antiqua" w:hAnsi="Book Antiqua"/>
        </w:rPr>
        <w:tab/>
        <w:t>The Respondent’s tracing efforts were limited; however</w:t>
      </w:r>
      <w:r w:rsidR="004F5AF4">
        <w:rPr>
          <w:rFonts w:ascii="Book Antiqua" w:hAnsi="Book Antiqua"/>
        </w:rPr>
        <w:t>,</w:t>
      </w:r>
      <w:r w:rsidR="00647D16">
        <w:rPr>
          <w:rFonts w:ascii="Book Antiqua" w:hAnsi="Book Antiqua"/>
        </w:rPr>
        <w:t xml:space="preserve"> this must be considered in the context of the very limited information that the Appellant </w:t>
      </w:r>
      <w:r w:rsidR="00EA5F79">
        <w:rPr>
          <w:rFonts w:ascii="Book Antiqua" w:hAnsi="Book Antiqua"/>
        </w:rPr>
        <w:t>provided</w:t>
      </w:r>
      <w:r w:rsidR="00647D16">
        <w:rPr>
          <w:rFonts w:ascii="Book Antiqua" w:hAnsi="Book Antiqua"/>
        </w:rPr>
        <w:t xml:space="preserve">.  </w:t>
      </w:r>
      <w:r w:rsidR="00E024BE">
        <w:rPr>
          <w:rFonts w:ascii="Book Antiqua" w:hAnsi="Book Antiqua"/>
        </w:rPr>
        <w:t xml:space="preserve">I accept that the </w:t>
      </w:r>
      <w:r w:rsidR="004E6347">
        <w:rPr>
          <w:rFonts w:ascii="Book Antiqua" w:hAnsi="Book Antiqua"/>
        </w:rPr>
        <w:t xml:space="preserve">Appellant did not return the </w:t>
      </w:r>
      <w:r w:rsidR="00647D16">
        <w:rPr>
          <w:rFonts w:ascii="Book Antiqua" w:hAnsi="Book Antiqua"/>
        </w:rPr>
        <w:t>pro</w:t>
      </w:r>
      <w:r w:rsidR="004E6347">
        <w:rPr>
          <w:rFonts w:ascii="Book Antiqua" w:hAnsi="Book Antiqua"/>
        </w:rPr>
        <w:t>-</w:t>
      </w:r>
      <w:r w:rsidR="00647D16">
        <w:rPr>
          <w:rFonts w:ascii="Book Antiqua" w:hAnsi="Book Antiqua"/>
        </w:rPr>
        <w:t>forma</w:t>
      </w:r>
      <w:r w:rsidR="004E6347">
        <w:rPr>
          <w:rFonts w:ascii="Book Antiqua" w:hAnsi="Book Antiqua"/>
        </w:rPr>
        <w:t>. He did not give evidence on this matter</w:t>
      </w:r>
      <w:r w:rsidR="00E024BE">
        <w:rPr>
          <w:rFonts w:ascii="Book Antiqua" w:hAnsi="Book Antiqua"/>
        </w:rPr>
        <w:t xml:space="preserve"> which was raised in the decision letter. </w:t>
      </w:r>
      <w:r w:rsidR="00647D16">
        <w:rPr>
          <w:rFonts w:ascii="Book Antiqua" w:hAnsi="Book Antiqua"/>
        </w:rPr>
        <w:t xml:space="preserve"> The Appellant has not provided the Respondent with any further information which would assist them to trace his family in Afghanistan.</w:t>
      </w:r>
      <w:r w:rsidR="00201309">
        <w:rPr>
          <w:rFonts w:ascii="Book Antiqua" w:hAnsi="Book Antiqua"/>
        </w:rPr>
        <w:t xml:space="preserve"> I have </w:t>
      </w:r>
      <w:r w:rsidR="00425E98">
        <w:rPr>
          <w:rFonts w:ascii="Book Antiqua" w:hAnsi="Book Antiqua"/>
        </w:rPr>
        <w:t xml:space="preserve">had regard to </w:t>
      </w:r>
      <w:r w:rsidR="00201309" w:rsidRPr="00C931B5">
        <w:rPr>
          <w:rFonts w:ascii="Book Antiqua" w:hAnsi="Book Antiqua"/>
          <w:u w:val="single"/>
        </w:rPr>
        <w:t>EU (Afghanistan) and Ors v Secretary of State for the Home Department</w:t>
      </w:r>
      <w:r w:rsidR="00201309">
        <w:rPr>
          <w:rFonts w:ascii="Book Antiqua" w:hAnsi="Book Antiqua"/>
        </w:rPr>
        <w:t xml:space="preserve"> [2013] EWCA Civ 32 at paragraph 10 which reads as follows:-</w:t>
      </w:r>
    </w:p>
    <w:p w:rsidR="00EA5F79" w:rsidRDefault="00EA5F79" w:rsidP="00201309">
      <w:pPr>
        <w:autoSpaceDE w:val="0"/>
        <w:autoSpaceDN w:val="0"/>
        <w:adjustRightInd w:val="0"/>
        <w:ind w:left="567" w:hanging="567"/>
        <w:jc w:val="both"/>
        <w:rPr>
          <w:rFonts w:ascii="Book Antiqua" w:hAnsi="Book Antiqua"/>
        </w:rPr>
      </w:pPr>
    </w:p>
    <w:p w:rsidR="00201309" w:rsidRPr="00784501" w:rsidRDefault="00201309" w:rsidP="00201309">
      <w:pPr>
        <w:autoSpaceDE w:val="0"/>
        <w:autoSpaceDN w:val="0"/>
        <w:adjustRightInd w:val="0"/>
        <w:ind w:left="1134"/>
        <w:jc w:val="both"/>
        <w:rPr>
          <w:rFonts w:ascii="Book Antiqua" w:hAnsi="Book Antiqua"/>
          <w:sz w:val="20"/>
          <w:szCs w:val="20"/>
        </w:rPr>
      </w:pPr>
      <w:r>
        <w:rPr>
          <w:rFonts w:ascii="Book Antiqua" w:hAnsi="Book Antiqua"/>
        </w:rPr>
        <w:t>“</w:t>
      </w:r>
      <w:r w:rsidRPr="00784501">
        <w:rPr>
          <w:rFonts w:ascii="Book Antiqua" w:hAnsi="Book Antiqua"/>
          <w:sz w:val="20"/>
          <w:szCs w:val="20"/>
        </w:rPr>
        <w:t>Lastly, I should mention a point made by the Secretary of State which I consider to</w:t>
      </w:r>
      <w:r w:rsidR="00F34BE2">
        <w:rPr>
          <w:rFonts w:ascii="Book Antiqua" w:hAnsi="Book Antiqua"/>
          <w:sz w:val="20"/>
          <w:szCs w:val="20"/>
        </w:rPr>
        <w:t xml:space="preserve"> </w:t>
      </w:r>
      <w:r w:rsidRPr="00784501">
        <w:rPr>
          <w:rFonts w:ascii="Book Antiqua" w:hAnsi="Book Antiqua"/>
          <w:sz w:val="20"/>
          <w:szCs w:val="20"/>
        </w:rPr>
        <w:t xml:space="preserve">have substance.  Unaccompanied children who arrive in this country from Afghanistan have done so as a result of someone, presumably their families, paying for their fare and/or for a so-called agent to arrange their journey to this country.  The costs incurred by the family will have been considerable, relative to the wealth of the average Afghan family.  The motivation for their incurring that cost may be that their child faces a risk if he or she remains with them in Afghanistan, or it may simply be that they believe that their child will have a better life in this country.  Either way, they are unlikely to be happy to co-operate with an agent of the Secretary of State for the return of their child to Afghanistan, which would mean the waste of their </w:t>
      </w:r>
      <w:r w:rsidR="00805E3D">
        <w:rPr>
          <w:rFonts w:ascii="Book Antiqua" w:hAnsi="Book Antiqua"/>
          <w:sz w:val="20"/>
          <w:szCs w:val="20"/>
        </w:rPr>
        <w:t>I</w:t>
      </w:r>
      <w:r w:rsidRPr="00784501">
        <w:rPr>
          <w:rFonts w:ascii="Book Antiqua" w:hAnsi="Book Antiqua"/>
          <w:sz w:val="20"/>
          <w:szCs w:val="20"/>
        </w:rPr>
        <w:t>nvestment in his or her journey here.”</w:t>
      </w:r>
    </w:p>
    <w:p w:rsidR="004E6347" w:rsidRDefault="004E6347" w:rsidP="000D7340">
      <w:pPr>
        <w:autoSpaceDE w:val="0"/>
        <w:autoSpaceDN w:val="0"/>
        <w:adjustRightInd w:val="0"/>
        <w:ind w:left="567" w:hanging="567"/>
        <w:jc w:val="both"/>
        <w:rPr>
          <w:rFonts w:ascii="Book Antiqua" w:hAnsi="Book Antiqua"/>
        </w:rPr>
      </w:pPr>
    </w:p>
    <w:p w:rsidR="00E024BE" w:rsidRDefault="00F27119" w:rsidP="000D7340">
      <w:pPr>
        <w:autoSpaceDE w:val="0"/>
        <w:autoSpaceDN w:val="0"/>
        <w:adjustRightInd w:val="0"/>
        <w:ind w:left="567" w:hanging="567"/>
        <w:jc w:val="both"/>
        <w:rPr>
          <w:rFonts w:ascii="Book Antiqua" w:hAnsi="Book Antiqua"/>
        </w:rPr>
      </w:pPr>
      <w:r>
        <w:rPr>
          <w:rFonts w:ascii="Book Antiqua" w:hAnsi="Book Antiqua"/>
        </w:rPr>
        <w:t>3</w:t>
      </w:r>
      <w:r w:rsidR="00CB5342">
        <w:rPr>
          <w:rFonts w:ascii="Book Antiqua" w:hAnsi="Book Antiqua"/>
        </w:rPr>
        <w:t>3</w:t>
      </w:r>
      <w:r w:rsidR="00A1489A">
        <w:rPr>
          <w:rFonts w:ascii="Book Antiqua" w:hAnsi="Book Antiqua"/>
        </w:rPr>
        <w:t>.</w:t>
      </w:r>
      <w:r w:rsidR="00A1489A">
        <w:rPr>
          <w:rFonts w:ascii="Book Antiqua" w:hAnsi="Book Antiqua"/>
        </w:rPr>
        <w:tab/>
        <w:t>A</w:t>
      </w:r>
      <w:r w:rsidR="00425E98">
        <w:rPr>
          <w:rFonts w:ascii="Book Antiqua" w:hAnsi="Book Antiqua"/>
        </w:rPr>
        <w:t xml:space="preserve">ccording to Mr Bedford the test applied by a decision maker to determine whether an application is </w:t>
      </w:r>
      <w:r w:rsidR="00EA5F79">
        <w:rPr>
          <w:rFonts w:ascii="Book Antiqua" w:hAnsi="Book Antiqua"/>
        </w:rPr>
        <w:t>certified</w:t>
      </w:r>
      <w:r w:rsidR="00DA36C6">
        <w:rPr>
          <w:rFonts w:ascii="Book Antiqua" w:hAnsi="Book Antiqua"/>
        </w:rPr>
        <w:t xml:space="preserve"> </w:t>
      </w:r>
      <w:r w:rsidR="00666DA3">
        <w:rPr>
          <w:rFonts w:ascii="Book Antiqua" w:hAnsi="Book Antiqua"/>
        </w:rPr>
        <w:t>under s.</w:t>
      </w:r>
      <w:r w:rsidR="00647D16">
        <w:rPr>
          <w:rFonts w:ascii="Book Antiqua" w:hAnsi="Book Antiqua"/>
        </w:rPr>
        <w:t>94 of the 2002 Act</w:t>
      </w:r>
      <w:r w:rsidR="00666DA3">
        <w:rPr>
          <w:rFonts w:ascii="Book Antiqua" w:hAnsi="Book Antiqua"/>
        </w:rPr>
        <w:t xml:space="preserve"> namely whether a claim is clearly unfounded namely whether it has a prospect of success </w:t>
      </w:r>
      <w:r w:rsidR="00425E98">
        <w:rPr>
          <w:rFonts w:ascii="Book Antiqua" w:hAnsi="Book Antiqua"/>
        </w:rPr>
        <w:t xml:space="preserve">is </w:t>
      </w:r>
      <w:r w:rsidR="00647D16">
        <w:rPr>
          <w:rFonts w:ascii="Book Antiqua" w:hAnsi="Book Antiqua"/>
        </w:rPr>
        <w:t xml:space="preserve">synonymous with the test </w:t>
      </w:r>
      <w:r w:rsidR="00425E98">
        <w:rPr>
          <w:rFonts w:ascii="Book Antiqua" w:hAnsi="Book Antiqua"/>
        </w:rPr>
        <w:t>set out by the</w:t>
      </w:r>
      <w:r w:rsidR="00DA36C6">
        <w:rPr>
          <w:rFonts w:ascii="Book Antiqua" w:hAnsi="Book Antiqua"/>
        </w:rPr>
        <w:t xml:space="preserve"> </w:t>
      </w:r>
      <w:r w:rsidR="00647D16">
        <w:rPr>
          <w:rFonts w:ascii="Book Antiqua" w:hAnsi="Book Antiqua"/>
        </w:rPr>
        <w:t>Grand Chamber</w:t>
      </w:r>
      <w:r w:rsidR="00425E98">
        <w:rPr>
          <w:rFonts w:ascii="Book Antiqua" w:hAnsi="Book Antiqua"/>
        </w:rPr>
        <w:t xml:space="preserve"> in </w:t>
      </w:r>
      <w:r w:rsidR="00425E98" w:rsidRPr="00425E98">
        <w:rPr>
          <w:rFonts w:ascii="Book Antiqua" w:hAnsi="Book Antiqua"/>
          <w:i/>
        </w:rPr>
        <w:t>Paposhvili</w:t>
      </w:r>
      <w:r w:rsidR="00425E98">
        <w:rPr>
          <w:rFonts w:ascii="Book Antiqua" w:hAnsi="Book Antiqua"/>
          <w:i/>
        </w:rPr>
        <w:t>,</w:t>
      </w:r>
      <w:r w:rsidR="00425E98">
        <w:rPr>
          <w:rFonts w:ascii="Book Antiqua" w:hAnsi="Book Antiqua"/>
        </w:rPr>
        <w:t xml:space="preserve"> namely whether the Appellant has</w:t>
      </w:r>
      <w:r w:rsidR="00DA36C6">
        <w:rPr>
          <w:rFonts w:ascii="Book Antiqua" w:hAnsi="Book Antiqua"/>
        </w:rPr>
        <w:t xml:space="preserve"> </w:t>
      </w:r>
      <w:r w:rsidR="00425E98">
        <w:rPr>
          <w:rFonts w:ascii="Book Antiqua" w:hAnsi="Book Antiqua"/>
        </w:rPr>
        <w:t>adduced evidence capable of belief. It follows that if an application has not been certified as clearly unfounded it is arguable and therefore there is no addition</w:t>
      </w:r>
      <w:r w:rsidR="00E2255F">
        <w:rPr>
          <w:rFonts w:ascii="Book Antiqua" w:hAnsi="Book Antiqua"/>
        </w:rPr>
        <w:t>al</w:t>
      </w:r>
      <w:r w:rsidR="00425E98">
        <w:rPr>
          <w:rFonts w:ascii="Book Antiqua" w:hAnsi="Book Antiqua"/>
        </w:rPr>
        <w:t xml:space="preserve"> burden on the Appellant in this case.  </w:t>
      </w:r>
      <w:r w:rsidR="00E2255F">
        <w:rPr>
          <w:rFonts w:ascii="Book Antiqua" w:hAnsi="Book Antiqua"/>
        </w:rPr>
        <w:t xml:space="preserve">I find that this argument has no merit.  </w:t>
      </w:r>
      <w:r w:rsidR="00647D16">
        <w:rPr>
          <w:rFonts w:ascii="Book Antiqua" w:hAnsi="Book Antiqua"/>
        </w:rPr>
        <w:t xml:space="preserve">The </w:t>
      </w:r>
      <w:r w:rsidR="00666DA3">
        <w:rPr>
          <w:rFonts w:ascii="Book Antiqua" w:hAnsi="Book Antiqua"/>
        </w:rPr>
        <w:t>test under s.94 is not a burden/standard of proof</w:t>
      </w:r>
      <w:r w:rsidR="00F62745">
        <w:rPr>
          <w:rFonts w:ascii="Book Antiqua" w:hAnsi="Book Antiqua"/>
        </w:rPr>
        <w:t>.</w:t>
      </w:r>
      <w:r w:rsidR="00E2255F">
        <w:rPr>
          <w:rFonts w:ascii="Book Antiqua" w:hAnsi="Book Antiqua"/>
        </w:rPr>
        <w:t xml:space="preserve"> It is a filter to be applied on the evidence before the decision maker who does not assume a judicial role</w:t>
      </w:r>
      <w:r w:rsidR="00F62745">
        <w:rPr>
          <w:rFonts w:ascii="Book Antiqua" w:hAnsi="Book Antiqua"/>
        </w:rPr>
        <w:t xml:space="preserve">. </w:t>
      </w:r>
      <w:r w:rsidR="00E2255F">
        <w:rPr>
          <w:rFonts w:ascii="Book Antiqua" w:hAnsi="Book Antiqua"/>
        </w:rPr>
        <w:t>The filter cannot be substituted for the test that I</w:t>
      </w:r>
      <w:r w:rsidR="00F62745">
        <w:rPr>
          <w:rFonts w:ascii="Book Antiqua" w:hAnsi="Book Antiqua"/>
        </w:rPr>
        <w:t xml:space="preserve"> must </w:t>
      </w:r>
      <w:r w:rsidR="00E2255F">
        <w:rPr>
          <w:rFonts w:ascii="Book Antiqua" w:hAnsi="Book Antiqua"/>
        </w:rPr>
        <w:t>apply on the evidence that is now available to me</w:t>
      </w:r>
      <w:r w:rsidR="00F62745">
        <w:rPr>
          <w:rFonts w:ascii="Book Antiqua" w:hAnsi="Book Antiqua"/>
        </w:rPr>
        <w:t xml:space="preserve"> following a judicial hearing. The filter is a </w:t>
      </w:r>
      <w:r w:rsidR="00666DA3">
        <w:rPr>
          <w:rFonts w:ascii="Book Antiqua" w:hAnsi="Book Antiqua"/>
        </w:rPr>
        <w:t>much lower test</w:t>
      </w:r>
      <w:r w:rsidR="003A0118">
        <w:rPr>
          <w:rFonts w:ascii="Book Antiqua" w:hAnsi="Book Antiqua"/>
        </w:rPr>
        <w:t xml:space="preserve">. There are </w:t>
      </w:r>
      <w:r w:rsidR="00666DA3">
        <w:rPr>
          <w:rFonts w:ascii="Book Antiqua" w:hAnsi="Book Antiqua"/>
        </w:rPr>
        <w:t xml:space="preserve">many reasons why a claim may not be certified. In this case the Appellant was a minor </w:t>
      </w:r>
      <w:r w:rsidR="00647D16">
        <w:rPr>
          <w:rFonts w:ascii="Book Antiqua" w:hAnsi="Book Antiqua"/>
        </w:rPr>
        <w:t xml:space="preserve">at the time </w:t>
      </w:r>
      <w:r w:rsidR="00F62745">
        <w:rPr>
          <w:rFonts w:ascii="Book Antiqua" w:hAnsi="Book Antiqua"/>
        </w:rPr>
        <w:t xml:space="preserve">that </w:t>
      </w:r>
      <w:r w:rsidR="00647D16">
        <w:rPr>
          <w:rFonts w:ascii="Book Antiqua" w:hAnsi="Book Antiqua"/>
        </w:rPr>
        <w:t>he made an asylum claim.  This was a factor when determining whether or not to certify his claim</w:t>
      </w:r>
      <w:r w:rsidR="004E6347">
        <w:rPr>
          <w:rFonts w:ascii="Book Antiqua" w:hAnsi="Book Antiqua"/>
        </w:rPr>
        <w:t>.</w:t>
      </w:r>
      <w:r w:rsidR="00F34BE2">
        <w:rPr>
          <w:rFonts w:ascii="Book Antiqua" w:hAnsi="Book Antiqua"/>
        </w:rPr>
        <w:t xml:space="preserve"> </w:t>
      </w:r>
      <w:r w:rsidR="00E024BE">
        <w:rPr>
          <w:rFonts w:ascii="Book Antiqua" w:hAnsi="Book Antiqua"/>
        </w:rPr>
        <w:t>There</w:t>
      </w:r>
      <w:r w:rsidR="00647D16">
        <w:rPr>
          <w:rFonts w:ascii="Book Antiqua" w:hAnsi="Book Antiqua"/>
        </w:rPr>
        <w:t xml:space="preserve"> would be nothing to gain in certifying his claim and preventing him from pursuing an in-country appeal whil</w:t>
      </w:r>
      <w:r w:rsidR="004E6347">
        <w:rPr>
          <w:rFonts w:ascii="Book Antiqua" w:hAnsi="Book Antiqua"/>
        </w:rPr>
        <w:t xml:space="preserve">e at the same time granting him </w:t>
      </w:r>
      <w:r w:rsidR="00647D16">
        <w:rPr>
          <w:rFonts w:ascii="Book Antiqua" w:hAnsi="Book Antiqua"/>
        </w:rPr>
        <w:t>discretionary leave</w:t>
      </w:r>
      <w:r w:rsidR="00F62745">
        <w:rPr>
          <w:rFonts w:ascii="Book Antiqua" w:hAnsi="Book Antiqua"/>
        </w:rPr>
        <w:t xml:space="preserve"> to remain</w:t>
      </w:r>
      <w:r w:rsidR="00647D16">
        <w:rPr>
          <w:rFonts w:ascii="Book Antiqua" w:hAnsi="Book Antiqua"/>
        </w:rPr>
        <w:t>.</w:t>
      </w:r>
    </w:p>
    <w:p w:rsidR="00087707" w:rsidRDefault="00087707" w:rsidP="000D7340">
      <w:pPr>
        <w:autoSpaceDE w:val="0"/>
        <w:autoSpaceDN w:val="0"/>
        <w:adjustRightInd w:val="0"/>
        <w:ind w:left="567" w:hanging="567"/>
        <w:jc w:val="both"/>
        <w:rPr>
          <w:rFonts w:ascii="Book Antiqua" w:hAnsi="Book Antiqua"/>
        </w:rPr>
      </w:pPr>
    </w:p>
    <w:p w:rsidR="0084017A" w:rsidRDefault="00F27119" w:rsidP="000D7340">
      <w:pPr>
        <w:autoSpaceDE w:val="0"/>
        <w:autoSpaceDN w:val="0"/>
        <w:adjustRightInd w:val="0"/>
        <w:ind w:left="567" w:hanging="567"/>
        <w:jc w:val="both"/>
        <w:rPr>
          <w:rFonts w:ascii="Book Antiqua" w:hAnsi="Book Antiqua"/>
        </w:rPr>
      </w:pPr>
      <w:r>
        <w:rPr>
          <w:rFonts w:ascii="Book Antiqua" w:hAnsi="Book Antiqua"/>
        </w:rPr>
        <w:t>3</w:t>
      </w:r>
      <w:r w:rsidR="00CB5342">
        <w:rPr>
          <w:rFonts w:ascii="Book Antiqua" w:hAnsi="Book Antiqua"/>
        </w:rPr>
        <w:t>4</w:t>
      </w:r>
      <w:r w:rsidR="00647D16">
        <w:rPr>
          <w:rFonts w:ascii="Book Antiqua" w:hAnsi="Book Antiqua"/>
        </w:rPr>
        <w:t>.</w:t>
      </w:r>
      <w:r w:rsidR="00647D16">
        <w:rPr>
          <w:rFonts w:ascii="Book Antiqua" w:hAnsi="Book Antiqua"/>
        </w:rPr>
        <w:tab/>
      </w:r>
      <w:r w:rsidR="004E6347">
        <w:rPr>
          <w:rFonts w:ascii="Book Antiqua" w:hAnsi="Book Antiqua"/>
        </w:rPr>
        <w:t xml:space="preserve">I do </w:t>
      </w:r>
      <w:r w:rsidR="00647D16">
        <w:rPr>
          <w:rFonts w:ascii="Book Antiqua" w:hAnsi="Book Antiqua"/>
        </w:rPr>
        <w:t>not accept</w:t>
      </w:r>
      <w:r w:rsidR="00DA36C6">
        <w:rPr>
          <w:rFonts w:ascii="Book Antiqua" w:hAnsi="Book Antiqua"/>
        </w:rPr>
        <w:t xml:space="preserve"> </w:t>
      </w:r>
      <w:r w:rsidR="00647D16">
        <w:rPr>
          <w:rFonts w:ascii="Book Antiqua" w:hAnsi="Book Antiqua"/>
        </w:rPr>
        <w:t xml:space="preserve">the Appellant’s </w:t>
      </w:r>
      <w:r w:rsidR="00087707">
        <w:rPr>
          <w:rFonts w:ascii="Book Antiqua" w:hAnsi="Book Antiqua"/>
        </w:rPr>
        <w:t xml:space="preserve">evidence that he </w:t>
      </w:r>
      <w:r w:rsidR="00647D16">
        <w:rPr>
          <w:rFonts w:ascii="Book Antiqua" w:hAnsi="Book Antiqua"/>
        </w:rPr>
        <w:t>is not in contact with his family.  It is not necessary in the circumstances for me to make any assumptions about what will happen to him on return to Afghanistan</w:t>
      </w:r>
      <w:r w:rsidR="000B18D9">
        <w:rPr>
          <w:rFonts w:ascii="Book Antiqua" w:hAnsi="Book Antiqua"/>
        </w:rPr>
        <w:t xml:space="preserve"> and effectively create an alternative case</w:t>
      </w:r>
      <w:r w:rsidR="00647D16">
        <w:rPr>
          <w:rFonts w:ascii="Book Antiqua" w:hAnsi="Book Antiqua"/>
        </w:rPr>
        <w:t>.  He has not raised an Article 3 claim which is capable of belief.</w:t>
      </w:r>
      <w:r w:rsidR="00DA36C6">
        <w:rPr>
          <w:rFonts w:ascii="Book Antiqua" w:hAnsi="Book Antiqua"/>
        </w:rPr>
        <w:t xml:space="preserve"> </w:t>
      </w:r>
      <w:r w:rsidR="00672E79">
        <w:rPr>
          <w:rFonts w:ascii="Book Antiqua" w:hAnsi="Book Antiqua"/>
        </w:rPr>
        <w:t xml:space="preserve">Any potential </w:t>
      </w:r>
      <w:r w:rsidR="00896F72">
        <w:rPr>
          <w:rFonts w:ascii="Book Antiqua" w:hAnsi="Book Antiqua"/>
        </w:rPr>
        <w:t xml:space="preserve">for </w:t>
      </w:r>
      <w:r w:rsidR="00672E79">
        <w:rPr>
          <w:rFonts w:ascii="Book Antiqua" w:hAnsi="Book Antiqua"/>
        </w:rPr>
        <w:t>risk to him would arise from</w:t>
      </w:r>
      <w:r w:rsidR="002731FF">
        <w:rPr>
          <w:rFonts w:ascii="Book Antiqua" w:hAnsi="Book Antiqua"/>
        </w:rPr>
        <w:t xml:space="preserve"> </w:t>
      </w:r>
      <w:r w:rsidR="00896F72">
        <w:rPr>
          <w:rFonts w:ascii="Book Antiqua" w:hAnsi="Book Antiqua"/>
        </w:rPr>
        <w:t>a lack of family support/network</w:t>
      </w:r>
      <w:r w:rsidR="000B18D9">
        <w:rPr>
          <w:rFonts w:ascii="Book Antiqua" w:hAnsi="Book Antiqua"/>
        </w:rPr>
        <w:t>.</w:t>
      </w:r>
      <w:r w:rsidR="00896F72">
        <w:rPr>
          <w:rFonts w:ascii="Book Antiqua" w:hAnsi="Book Antiqua"/>
        </w:rPr>
        <w:t xml:space="preserve"> However, his evidence does not establish that this would be the case for him.</w:t>
      </w:r>
      <w:r w:rsidR="002731FF">
        <w:rPr>
          <w:rFonts w:ascii="Book Antiqua" w:hAnsi="Book Antiqua"/>
        </w:rPr>
        <w:t xml:space="preserve"> </w:t>
      </w:r>
      <w:r w:rsidR="000B18D9">
        <w:rPr>
          <w:rFonts w:ascii="Book Antiqua" w:hAnsi="Book Antiqua"/>
        </w:rPr>
        <w:t xml:space="preserve">I find that the </w:t>
      </w:r>
      <w:r w:rsidR="0084017A">
        <w:rPr>
          <w:rFonts w:ascii="Book Antiqua" w:hAnsi="Book Antiqua"/>
        </w:rPr>
        <w:t>Appellant can return to Kabul and it would be safe and reasonable for him to do so.</w:t>
      </w:r>
      <w:r w:rsidR="00805E3D">
        <w:rPr>
          <w:rFonts w:ascii="Book Antiqua" w:hAnsi="Book Antiqua"/>
        </w:rPr>
        <w:t xml:space="preserve"> I </w:t>
      </w:r>
      <w:r w:rsidR="00E024BE">
        <w:rPr>
          <w:rFonts w:ascii="Book Antiqua" w:hAnsi="Book Antiqua"/>
        </w:rPr>
        <w:t xml:space="preserve">have </w:t>
      </w:r>
      <w:r w:rsidR="00087707">
        <w:rPr>
          <w:rFonts w:ascii="Book Antiqua" w:hAnsi="Book Antiqua"/>
        </w:rPr>
        <w:t xml:space="preserve">applied the </w:t>
      </w:r>
      <w:r w:rsidR="00805E3D">
        <w:rPr>
          <w:rFonts w:ascii="Book Antiqua" w:hAnsi="Book Antiqua"/>
        </w:rPr>
        <w:t xml:space="preserve">guidance in </w:t>
      </w:r>
      <w:r w:rsidR="00805E3D" w:rsidRPr="00805E3D">
        <w:rPr>
          <w:rFonts w:ascii="Book Antiqua" w:hAnsi="Book Antiqua"/>
          <w:i/>
        </w:rPr>
        <w:t>AS</w:t>
      </w:r>
      <w:r w:rsidR="00805E3D">
        <w:rPr>
          <w:rStyle w:val="FootnoteReference"/>
          <w:rFonts w:ascii="Book Antiqua" w:hAnsi="Book Antiqua"/>
        </w:rPr>
        <w:footnoteReference w:id="3"/>
      </w:r>
      <w:r w:rsidR="00805E3D">
        <w:rPr>
          <w:rFonts w:ascii="Book Antiqua" w:hAnsi="Book Antiqua"/>
        </w:rPr>
        <w:t xml:space="preserve">. </w:t>
      </w:r>
      <w:r w:rsidR="0084017A">
        <w:rPr>
          <w:rFonts w:ascii="Book Antiqua" w:hAnsi="Book Antiqua"/>
        </w:rPr>
        <w:t xml:space="preserve"> Had </w:t>
      </w:r>
      <w:r w:rsidR="00087707">
        <w:rPr>
          <w:rFonts w:ascii="Book Antiqua" w:hAnsi="Book Antiqua"/>
        </w:rPr>
        <w:t xml:space="preserve">I accepted his evidence </w:t>
      </w:r>
      <w:r w:rsidR="00896F72">
        <w:rPr>
          <w:rFonts w:ascii="Book Antiqua" w:hAnsi="Book Antiqua"/>
        </w:rPr>
        <w:t>that he d</w:t>
      </w:r>
      <w:r w:rsidR="00087707">
        <w:rPr>
          <w:rFonts w:ascii="Book Antiqua" w:hAnsi="Book Antiqua"/>
        </w:rPr>
        <w:t xml:space="preserve">id not </w:t>
      </w:r>
      <w:r w:rsidR="00672E79">
        <w:rPr>
          <w:rFonts w:ascii="Book Antiqua" w:hAnsi="Book Antiqua"/>
        </w:rPr>
        <w:t>have family in Afghanistan</w:t>
      </w:r>
      <w:r w:rsidR="00087707">
        <w:rPr>
          <w:rFonts w:ascii="Book Antiqua" w:hAnsi="Book Antiqua"/>
        </w:rPr>
        <w:t xml:space="preserve">, </w:t>
      </w:r>
      <w:r w:rsidR="003A7926">
        <w:rPr>
          <w:rFonts w:ascii="Book Antiqua" w:hAnsi="Book Antiqua"/>
        </w:rPr>
        <w:t xml:space="preserve">I </w:t>
      </w:r>
      <w:r w:rsidR="00896F72">
        <w:rPr>
          <w:rFonts w:ascii="Book Antiqua" w:hAnsi="Book Antiqua"/>
        </w:rPr>
        <w:t>may h</w:t>
      </w:r>
      <w:r w:rsidR="003A7926">
        <w:rPr>
          <w:rFonts w:ascii="Book Antiqua" w:hAnsi="Book Antiqua"/>
        </w:rPr>
        <w:t>ave reached a</w:t>
      </w:r>
      <w:r w:rsidR="00805E3D">
        <w:rPr>
          <w:rFonts w:ascii="Book Antiqua" w:hAnsi="Book Antiqua"/>
        </w:rPr>
        <w:t xml:space="preserve"> different</w:t>
      </w:r>
      <w:r w:rsidR="003A7926">
        <w:rPr>
          <w:rFonts w:ascii="Book Antiqua" w:hAnsi="Book Antiqua"/>
        </w:rPr>
        <w:t xml:space="preserve"> conclusion in </w:t>
      </w:r>
      <w:r w:rsidR="0084017A">
        <w:rPr>
          <w:rFonts w:ascii="Book Antiqua" w:hAnsi="Book Antiqua"/>
        </w:rPr>
        <w:t>the light of his age and circumst</w:t>
      </w:r>
      <w:r w:rsidR="00672E79">
        <w:rPr>
          <w:rFonts w:ascii="Book Antiqua" w:hAnsi="Book Antiqua"/>
        </w:rPr>
        <w:t>a</w:t>
      </w:r>
      <w:r w:rsidR="0084017A">
        <w:rPr>
          <w:rFonts w:ascii="Book Antiqua" w:hAnsi="Book Antiqua"/>
        </w:rPr>
        <w:t>nces</w:t>
      </w:r>
      <w:r w:rsidR="003A7926">
        <w:rPr>
          <w:rFonts w:ascii="Book Antiqua" w:hAnsi="Book Antiqua"/>
        </w:rPr>
        <w:t xml:space="preserve">. </w:t>
      </w:r>
      <w:r w:rsidR="0084017A">
        <w:rPr>
          <w:rFonts w:ascii="Book Antiqua" w:hAnsi="Book Antiqua"/>
        </w:rPr>
        <w:t xml:space="preserve"> I </w:t>
      </w:r>
      <w:r w:rsidR="00896F72">
        <w:rPr>
          <w:rFonts w:ascii="Book Antiqua" w:hAnsi="Book Antiqua"/>
        </w:rPr>
        <w:t xml:space="preserve">may </w:t>
      </w:r>
      <w:r w:rsidR="0084017A">
        <w:rPr>
          <w:rFonts w:ascii="Book Antiqua" w:hAnsi="Book Antiqua"/>
        </w:rPr>
        <w:t>have concluded that return to Kabul would breach the UK’s obligations under Article 3</w:t>
      </w:r>
      <w:r w:rsidR="00087707">
        <w:rPr>
          <w:rFonts w:ascii="Book Antiqua" w:hAnsi="Book Antiqua"/>
        </w:rPr>
        <w:t xml:space="preserve"> on the basis that he would be returning without any support network having left at such a young age.</w:t>
      </w:r>
      <w:r w:rsidR="002731FF">
        <w:rPr>
          <w:rFonts w:ascii="Book Antiqua" w:hAnsi="Book Antiqua"/>
        </w:rPr>
        <w:t xml:space="preserve"> </w:t>
      </w:r>
      <w:r w:rsidR="0084017A">
        <w:rPr>
          <w:rFonts w:ascii="Book Antiqua" w:hAnsi="Book Antiqua"/>
        </w:rPr>
        <w:t>Mr Bedford address</w:t>
      </w:r>
      <w:r w:rsidR="003A7926">
        <w:rPr>
          <w:rFonts w:ascii="Book Antiqua" w:hAnsi="Book Antiqua"/>
        </w:rPr>
        <w:t>ed</w:t>
      </w:r>
      <w:r w:rsidR="0084017A">
        <w:rPr>
          <w:rFonts w:ascii="Book Antiqua" w:hAnsi="Book Antiqua"/>
        </w:rPr>
        <w:t xml:space="preserve"> me </w:t>
      </w:r>
      <w:r w:rsidR="00805E3D">
        <w:rPr>
          <w:rFonts w:ascii="Book Antiqua" w:hAnsi="Book Antiqua"/>
        </w:rPr>
        <w:t xml:space="preserve">on </w:t>
      </w:r>
      <w:r w:rsidR="0084017A" w:rsidRPr="0084017A">
        <w:rPr>
          <w:rFonts w:ascii="Book Antiqua" w:hAnsi="Book Antiqua"/>
          <w:i/>
        </w:rPr>
        <w:t>AS</w:t>
      </w:r>
      <w:r w:rsidR="00805E3D">
        <w:rPr>
          <w:rFonts w:ascii="Book Antiqua" w:hAnsi="Book Antiqua"/>
          <w:i/>
        </w:rPr>
        <w:t xml:space="preserve">, </w:t>
      </w:r>
      <w:r w:rsidR="003A7926" w:rsidRPr="00805E3D">
        <w:rPr>
          <w:rFonts w:ascii="Book Antiqua" w:hAnsi="Book Antiqua"/>
        </w:rPr>
        <w:t>relying specifically on [230] and [231</w:t>
      </w:r>
      <w:r w:rsidR="00805E3D">
        <w:rPr>
          <w:rFonts w:ascii="Book Antiqua" w:hAnsi="Book Antiqua"/>
        </w:rPr>
        <w:t>]</w:t>
      </w:r>
      <w:r w:rsidR="003A7926">
        <w:rPr>
          <w:rStyle w:val="FootnoteReference"/>
          <w:rFonts w:ascii="Book Antiqua" w:hAnsi="Book Antiqua"/>
          <w:i/>
        </w:rPr>
        <w:footnoteReference w:id="4"/>
      </w:r>
      <w:r w:rsidR="0084017A">
        <w:rPr>
          <w:rFonts w:ascii="Book Antiqua" w:hAnsi="Book Antiqua"/>
          <w:i/>
        </w:rPr>
        <w:t>.</w:t>
      </w:r>
      <w:r w:rsidR="002731FF">
        <w:rPr>
          <w:rFonts w:ascii="Book Antiqua" w:hAnsi="Book Antiqua"/>
          <w:i/>
        </w:rPr>
        <w:t xml:space="preserve"> </w:t>
      </w:r>
      <w:r w:rsidR="00896F72" w:rsidRPr="00896F72">
        <w:rPr>
          <w:rFonts w:ascii="Book Antiqua" w:hAnsi="Book Antiqua"/>
        </w:rPr>
        <w:t xml:space="preserve">I remind myself that the issue in this appeal is </w:t>
      </w:r>
      <w:r w:rsidR="00896F72" w:rsidRPr="00896F72">
        <w:rPr>
          <w:rFonts w:ascii="Book Antiqua" w:hAnsi="Book Antiqua"/>
        </w:rPr>
        <w:lastRenderedPageBreak/>
        <w:t>not whether the Appellant could reasonably and safely relocate because he is not at risk in his home area.</w:t>
      </w:r>
      <w:r w:rsidR="002731FF">
        <w:rPr>
          <w:rFonts w:ascii="Book Antiqua" w:hAnsi="Book Antiqua"/>
        </w:rPr>
        <w:t xml:space="preserve"> </w:t>
      </w:r>
      <w:r w:rsidR="0084017A">
        <w:rPr>
          <w:rFonts w:ascii="Book Antiqua" w:hAnsi="Book Antiqua"/>
        </w:rPr>
        <w:t>The problem</w:t>
      </w:r>
      <w:r w:rsidR="00672E79">
        <w:rPr>
          <w:rFonts w:ascii="Book Antiqua" w:hAnsi="Book Antiqua"/>
        </w:rPr>
        <w:t xml:space="preserve"> with the Appellant’s case as advanced</w:t>
      </w:r>
      <w:r w:rsidR="002731FF">
        <w:rPr>
          <w:rFonts w:ascii="Book Antiqua" w:hAnsi="Book Antiqua"/>
        </w:rPr>
        <w:t xml:space="preserve"> </w:t>
      </w:r>
      <w:r w:rsidR="00672E79">
        <w:rPr>
          <w:rFonts w:ascii="Book Antiqua" w:hAnsi="Book Antiqua"/>
        </w:rPr>
        <w:t xml:space="preserve">is that it </w:t>
      </w:r>
      <w:r w:rsidR="00805E3D">
        <w:rPr>
          <w:rFonts w:ascii="Book Antiqua" w:hAnsi="Book Antiqua"/>
        </w:rPr>
        <w:t xml:space="preserve">rests on his </w:t>
      </w:r>
      <w:r w:rsidR="0084017A">
        <w:rPr>
          <w:rFonts w:ascii="Book Antiqua" w:hAnsi="Book Antiqua"/>
        </w:rPr>
        <w:t xml:space="preserve">claim to have had no contact with his family and no support network in Kabul, but he has not </w:t>
      </w:r>
      <w:r w:rsidR="003A7926">
        <w:rPr>
          <w:rFonts w:ascii="Book Antiqua" w:hAnsi="Book Antiqua"/>
        </w:rPr>
        <w:t xml:space="preserve">discharged the burden of proof </w:t>
      </w:r>
      <w:r w:rsidR="00805E3D">
        <w:rPr>
          <w:rFonts w:ascii="Book Antiqua" w:hAnsi="Book Antiqua"/>
        </w:rPr>
        <w:t>(</w:t>
      </w:r>
      <w:r w:rsidR="003A7926">
        <w:rPr>
          <w:rFonts w:ascii="Book Antiqua" w:hAnsi="Book Antiqua"/>
        </w:rPr>
        <w:t xml:space="preserve">applying </w:t>
      </w:r>
      <w:r w:rsidR="003A7926" w:rsidRPr="003A7926">
        <w:rPr>
          <w:rFonts w:ascii="Book Antiqua" w:hAnsi="Book Antiqua"/>
          <w:i/>
        </w:rPr>
        <w:t>N</w:t>
      </w:r>
      <w:r w:rsidR="003A7926">
        <w:rPr>
          <w:rFonts w:ascii="Book Antiqua" w:hAnsi="Book Antiqua"/>
        </w:rPr>
        <w:t xml:space="preserve"> or the guidance in </w:t>
      </w:r>
      <w:r w:rsidR="003A7926" w:rsidRPr="003A7926">
        <w:rPr>
          <w:rFonts w:ascii="Book Antiqua" w:hAnsi="Book Antiqua"/>
          <w:i/>
        </w:rPr>
        <w:t>Paposhvili</w:t>
      </w:r>
      <w:r w:rsidR="00805E3D">
        <w:rPr>
          <w:rFonts w:ascii="Book Antiqua" w:hAnsi="Book Antiqua"/>
          <w:i/>
        </w:rPr>
        <w:t>)</w:t>
      </w:r>
      <w:r w:rsidR="003A7926">
        <w:rPr>
          <w:rFonts w:ascii="Book Antiqua" w:hAnsi="Book Antiqua"/>
        </w:rPr>
        <w:t xml:space="preserve">. </w:t>
      </w:r>
      <w:r w:rsidR="00201309">
        <w:rPr>
          <w:rFonts w:ascii="Book Antiqua" w:hAnsi="Book Antiqua"/>
        </w:rPr>
        <w:t xml:space="preserve"> I am unable to make findings about the nature and quality of the support network available to him</w:t>
      </w:r>
      <w:r w:rsidR="003A7926">
        <w:rPr>
          <w:rFonts w:ascii="Book Antiqua" w:hAnsi="Book Antiqua"/>
        </w:rPr>
        <w:t xml:space="preserve"> in Kabul. </w:t>
      </w:r>
      <w:r w:rsidR="0084017A">
        <w:rPr>
          <w:rFonts w:ascii="Book Antiqua" w:hAnsi="Book Antiqua"/>
        </w:rPr>
        <w:t>He may return to his home area</w:t>
      </w:r>
      <w:r w:rsidR="00672E79">
        <w:rPr>
          <w:rFonts w:ascii="Book Antiqua" w:hAnsi="Book Antiqua"/>
        </w:rPr>
        <w:t xml:space="preserve"> rather than stay in Kabul</w:t>
      </w:r>
      <w:r w:rsidR="00896F72">
        <w:rPr>
          <w:rFonts w:ascii="Book Antiqua" w:hAnsi="Book Antiqua"/>
        </w:rPr>
        <w:t>,</w:t>
      </w:r>
      <w:r w:rsidR="00672E79">
        <w:rPr>
          <w:rFonts w:ascii="Book Antiqua" w:hAnsi="Book Antiqua"/>
        </w:rPr>
        <w:t xml:space="preserve"> if he has family there,</w:t>
      </w:r>
      <w:r w:rsidR="0084017A">
        <w:rPr>
          <w:rFonts w:ascii="Book Antiqua" w:hAnsi="Book Antiqua"/>
        </w:rPr>
        <w:t xml:space="preserve"> but I cannot speculate</w:t>
      </w:r>
      <w:r w:rsidR="003A0118">
        <w:rPr>
          <w:rFonts w:ascii="Book Antiqua" w:hAnsi="Book Antiqua"/>
        </w:rPr>
        <w:t xml:space="preserve"> about that</w:t>
      </w:r>
      <w:r w:rsidR="0084017A">
        <w:rPr>
          <w:rFonts w:ascii="Book Antiqua" w:hAnsi="Book Antiqua"/>
        </w:rPr>
        <w:t xml:space="preserve">.  </w:t>
      </w:r>
      <w:r w:rsidR="00672E79">
        <w:rPr>
          <w:rFonts w:ascii="Book Antiqua" w:hAnsi="Book Antiqua"/>
        </w:rPr>
        <w:t xml:space="preserve">I do not find that he has established that there is any compulsion to return to his home area. </w:t>
      </w:r>
      <w:r w:rsidR="003A0118">
        <w:rPr>
          <w:rFonts w:ascii="Book Antiqua" w:hAnsi="Book Antiqua"/>
        </w:rPr>
        <w:t xml:space="preserve">I find that he could safely relocate to Kabul. </w:t>
      </w:r>
      <w:r w:rsidR="00DC1723">
        <w:rPr>
          <w:rFonts w:ascii="Book Antiqua" w:hAnsi="Book Antiqua"/>
        </w:rPr>
        <w:t>The evidence d</w:t>
      </w:r>
      <w:r w:rsidR="007E1999">
        <w:rPr>
          <w:rFonts w:ascii="Book Antiqua" w:hAnsi="Book Antiqua"/>
        </w:rPr>
        <w:t xml:space="preserve">id </w:t>
      </w:r>
      <w:r w:rsidR="00DC1723">
        <w:rPr>
          <w:rFonts w:ascii="Book Antiqua" w:hAnsi="Book Antiqua"/>
        </w:rPr>
        <w:t>not disclose</w:t>
      </w:r>
      <w:r w:rsidR="00672E79">
        <w:rPr>
          <w:rFonts w:ascii="Book Antiqua" w:hAnsi="Book Antiqua"/>
        </w:rPr>
        <w:t xml:space="preserve"> that the Appellant has</w:t>
      </w:r>
      <w:r w:rsidR="00896F72">
        <w:rPr>
          <w:rFonts w:ascii="Book Antiqua" w:hAnsi="Book Antiqua"/>
        </w:rPr>
        <w:t xml:space="preserve"> any</w:t>
      </w:r>
      <w:r w:rsidR="002731FF">
        <w:rPr>
          <w:rFonts w:ascii="Book Antiqua" w:hAnsi="Book Antiqua"/>
        </w:rPr>
        <w:t xml:space="preserve"> </w:t>
      </w:r>
      <w:r w:rsidR="00DC1723">
        <w:rPr>
          <w:rFonts w:ascii="Book Antiqua" w:hAnsi="Book Antiqua"/>
        </w:rPr>
        <w:t>particular</w:t>
      </w:r>
      <w:r w:rsidR="002731FF">
        <w:rPr>
          <w:rFonts w:ascii="Book Antiqua" w:hAnsi="Book Antiqua"/>
        </w:rPr>
        <w:t xml:space="preserve"> </w:t>
      </w:r>
      <w:r w:rsidR="00DC1723">
        <w:rPr>
          <w:rFonts w:ascii="Book Antiqua" w:hAnsi="Book Antiqua"/>
        </w:rPr>
        <w:t xml:space="preserve">vulnerabilities. There </w:t>
      </w:r>
      <w:r w:rsidR="007E1999">
        <w:rPr>
          <w:rFonts w:ascii="Book Antiqua" w:hAnsi="Book Antiqua"/>
        </w:rPr>
        <w:t>was</w:t>
      </w:r>
      <w:r w:rsidR="00DC1723">
        <w:rPr>
          <w:rFonts w:ascii="Book Antiqua" w:hAnsi="Book Antiqua"/>
        </w:rPr>
        <w:t xml:space="preserve"> no </w:t>
      </w:r>
      <w:r w:rsidR="003A0118">
        <w:rPr>
          <w:rFonts w:ascii="Book Antiqua" w:hAnsi="Book Antiqua"/>
        </w:rPr>
        <w:t xml:space="preserve">meaningful </w:t>
      </w:r>
      <w:r w:rsidR="00DA36C6">
        <w:rPr>
          <w:rFonts w:ascii="Book Antiqua" w:hAnsi="Book Antiqua"/>
        </w:rPr>
        <w:t>e</w:t>
      </w:r>
      <w:r w:rsidR="00DC1723">
        <w:rPr>
          <w:rFonts w:ascii="Book Antiqua" w:hAnsi="Book Antiqua"/>
        </w:rPr>
        <w:t>vidence from support workers or social workers</w:t>
      </w:r>
      <w:r w:rsidR="00672E79">
        <w:rPr>
          <w:rFonts w:ascii="Book Antiqua" w:hAnsi="Book Antiqua"/>
        </w:rPr>
        <w:t xml:space="preserve"> to which the Appellant referred to in evidence. </w:t>
      </w:r>
      <w:r w:rsidR="003A7926">
        <w:rPr>
          <w:rFonts w:ascii="Book Antiqua" w:hAnsi="Book Antiqua"/>
        </w:rPr>
        <w:t xml:space="preserve">Any </w:t>
      </w:r>
      <w:r w:rsidR="00672E79">
        <w:rPr>
          <w:rFonts w:ascii="Book Antiqua" w:hAnsi="Book Antiqua"/>
        </w:rPr>
        <w:t xml:space="preserve">potential </w:t>
      </w:r>
      <w:r w:rsidR="003A7926">
        <w:rPr>
          <w:rFonts w:ascii="Book Antiqua" w:hAnsi="Book Antiqua"/>
        </w:rPr>
        <w:t xml:space="preserve">problems that would arise as a result of his age, difficulties in finding employment and cultural integration would not render relocation </w:t>
      </w:r>
      <w:r w:rsidR="00896F72">
        <w:rPr>
          <w:rFonts w:ascii="Book Antiqua" w:hAnsi="Book Antiqua"/>
        </w:rPr>
        <w:t xml:space="preserve">unsafe </w:t>
      </w:r>
      <w:r w:rsidR="003A0118">
        <w:rPr>
          <w:rFonts w:ascii="Book Antiqua" w:hAnsi="Book Antiqua"/>
        </w:rPr>
        <w:t>(</w:t>
      </w:r>
      <w:r w:rsidR="00896F72">
        <w:rPr>
          <w:rFonts w:ascii="Book Antiqua" w:hAnsi="Book Antiqua"/>
        </w:rPr>
        <w:t xml:space="preserve">or </w:t>
      </w:r>
      <w:r w:rsidR="003A7926">
        <w:rPr>
          <w:rFonts w:ascii="Book Antiqua" w:hAnsi="Book Antiqua"/>
        </w:rPr>
        <w:t>unreasonable</w:t>
      </w:r>
      <w:r w:rsidR="003A0118">
        <w:rPr>
          <w:rFonts w:ascii="Book Antiqua" w:hAnsi="Book Antiqua"/>
        </w:rPr>
        <w:t>)</w:t>
      </w:r>
      <w:r w:rsidR="00672E79">
        <w:rPr>
          <w:rFonts w:ascii="Book Antiqua" w:hAnsi="Book Antiqua"/>
        </w:rPr>
        <w:t xml:space="preserve"> because he has </w:t>
      </w:r>
      <w:r w:rsidR="003A7926">
        <w:rPr>
          <w:rFonts w:ascii="Book Antiqua" w:hAnsi="Book Antiqua"/>
        </w:rPr>
        <w:t xml:space="preserve">not established that he does not have a support network available to him which would counter these concerns. </w:t>
      </w:r>
    </w:p>
    <w:p w:rsidR="003A7926" w:rsidRDefault="003A7926" w:rsidP="000D7340">
      <w:pPr>
        <w:autoSpaceDE w:val="0"/>
        <w:autoSpaceDN w:val="0"/>
        <w:adjustRightInd w:val="0"/>
        <w:ind w:left="567" w:hanging="567"/>
        <w:jc w:val="both"/>
        <w:rPr>
          <w:rFonts w:ascii="Book Antiqua" w:hAnsi="Book Antiqua"/>
        </w:rPr>
      </w:pPr>
    </w:p>
    <w:p w:rsidR="004F5AF4" w:rsidRDefault="00F27119" w:rsidP="000D7340">
      <w:pPr>
        <w:autoSpaceDE w:val="0"/>
        <w:autoSpaceDN w:val="0"/>
        <w:adjustRightInd w:val="0"/>
        <w:ind w:left="567" w:hanging="567"/>
        <w:jc w:val="both"/>
        <w:rPr>
          <w:rFonts w:ascii="Book Antiqua" w:hAnsi="Book Antiqua"/>
        </w:rPr>
      </w:pPr>
      <w:r>
        <w:rPr>
          <w:rFonts w:ascii="Book Antiqua" w:hAnsi="Book Antiqua"/>
        </w:rPr>
        <w:t>3</w:t>
      </w:r>
      <w:r w:rsidR="00CB5342">
        <w:rPr>
          <w:rFonts w:ascii="Book Antiqua" w:hAnsi="Book Antiqua"/>
        </w:rPr>
        <w:t>5</w:t>
      </w:r>
      <w:r w:rsidR="004F5AF4">
        <w:rPr>
          <w:rFonts w:ascii="Book Antiqua" w:hAnsi="Book Antiqua"/>
        </w:rPr>
        <w:t>.</w:t>
      </w:r>
      <w:r w:rsidR="004F5AF4">
        <w:rPr>
          <w:rFonts w:ascii="Book Antiqua" w:hAnsi="Book Antiqua"/>
        </w:rPr>
        <w:tab/>
        <w:t xml:space="preserve">The Appellant has been here for a number of years.  He came to the UK when he was a young child (aged 13).  </w:t>
      </w:r>
      <w:r w:rsidR="00896F72">
        <w:rPr>
          <w:rFonts w:ascii="Book Antiqua" w:hAnsi="Book Antiqua"/>
        </w:rPr>
        <w:t>H</w:t>
      </w:r>
      <w:r w:rsidR="004F5AF4">
        <w:rPr>
          <w:rFonts w:ascii="Book Antiqua" w:hAnsi="Book Antiqua"/>
        </w:rPr>
        <w:t xml:space="preserve">e has not advanced a case under Article 8.  </w:t>
      </w:r>
      <w:r w:rsidR="00F62745">
        <w:rPr>
          <w:rFonts w:ascii="Book Antiqua" w:hAnsi="Book Antiqua"/>
        </w:rPr>
        <w:t xml:space="preserve">I was not </w:t>
      </w:r>
      <w:r w:rsidR="00F62745">
        <w:rPr>
          <w:rFonts w:ascii="Book Antiqua" w:hAnsi="Book Antiqua"/>
        </w:rPr>
        <w:lastRenderedPageBreak/>
        <w:t xml:space="preserve">addressed in relation to Article 8. </w:t>
      </w:r>
      <w:r w:rsidR="004F5AF4">
        <w:rPr>
          <w:rFonts w:ascii="Book Antiqua" w:hAnsi="Book Antiqua"/>
        </w:rPr>
        <w:t>On the</w:t>
      </w:r>
      <w:r w:rsidR="00805E3D">
        <w:rPr>
          <w:rFonts w:ascii="Book Antiqua" w:hAnsi="Book Antiqua"/>
        </w:rPr>
        <w:t xml:space="preserve"> very limited </w:t>
      </w:r>
      <w:r w:rsidR="004F5AF4">
        <w:rPr>
          <w:rFonts w:ascii="Book Antiqua" w:hAnsi="Book Antiqua"/>
        </w:rPr>
        <w:t xml:space="preserve">evidence before me </w:t>
      </w:r>
      <w:r w:rsidR="00805E3D">
        <w:rPr>
          <w:rFonts w:ascii="Book Antiqua" w:hAnsi="Book Antiqua"/>
        </w:rPr>
        <w:t xml:space="preserve">he cannot </w:t>
      </w:r>
      <w:r w:rsidR="004F5AF4">
        <w:rPr>
          <w:rFonts w:ascii="Book Antiqua" w:hAnsi="Book Antiqua"/>
        </w:rPr>
        <w:t>meet the requirements of the Immigration Rules.  There</w:t>
      </w:r>
      <w:r w:rsidR="007E1999">
        <w:rPr>
          <w:rFonts w:ascii="Book Antiqua" w:hAnsi="Book Antiqua"/>
        </w:rPr>
        <w:t xml:space="preserve"> was </w:t>
      </w:r>
      <w:r w:rsidR="004F5AF4">
        <w:rPr>
          <w:rFonts w:ascii="Book Antiqua" w:hAnsi="Book Antiqua"/>
        </w:rPr>
        <w:t xml:space="preserve">very little evidence before me of a significant private life which would engage Article 8.  On the basis that he has been here since he was 13, I conclude that he has a private life.  He gave evidence about </w:t>
      </w:r>
      <w:r w:rsidR="00CB0302">
        <w:rPr>
          <w:rFonts w:ascii="Book Antiqua" w:hAnsi="Book Antiqua"/>
        </w:rPr>
        <w:t>his course of study.</w:t>
      </w:r>
      <w:r w:rsidR="004F5AF4">
        <w:rPr>
          <w:rFonts w:ascii="Book Antiqua" w:hAnsi="Book Antiqua"/>
        </w:rPr>
        <w:t xml:space="preserve"> However</w:t>
      </w:r>
      <w:r w:rsidR="00534842">
        <w:rPr>
          <w:rFonts w:ascii="Book Antiqua" w:hAnsi="Book Antiqua"/>
        </w:rPr>
        <w:t>,</w:t>
      </w:r>
      <w:r w:rsidR="004F5AF4">
        <w:rPr>
          <w:rFonts w:ascii="Book Antiqua" w:hAnsi="Book Antiqua"/>
        </w:rPr>
        <w:t xml:space="preserve"> the inevitable conclusion</w:t>
      </w:r>
      <w:r w:rsidR="00896F72">
        <w:rPr>
          <w:rFonts w:ascii="Book Antiqua" w:hAnsi="Book Antiqua"/>
        </w:rPr>
        <w:t>,</w:t>
      </w:r>
      <w:r w:rsidR="002731FF">
        <w:rPr>
          <w:rFonts w:ascii="Book Antiqua" w:hAnsi="Book Antiqua"/>
        </w:rPr>
        <w:t xml:space="preserve"> </w:t>
      </w:r>
      <w:r w:rsidR="00896F72">
        <w:rPr>
          <w:rFonts w:ascii="Book Antiqua" w:hAnsi="Book Antiqua"/>
        </w:rPr>
        <w:t>on the evidence before me,</w:t>
      </w:r>
      <w:r w:rsidR="002731FF">
        <w:rPr>
          <w:rFonts w:ascii="Book Antiqua" w:hAnsi="Book Antiqua"/>
        </w:rPr>
        <w:t xml:space="preserve"> </w:t>
      </w:r>
      <w:r w:rsidR="004F5AF4">
        <w:rPr>
          <w:rFonts w:ascii="Book Antiqua" w:hAnsi="Book Antiqua"/>
        </w:rPr>
        <w:t xml:space="preserve">is that the </w:t>
      </w:r>
      <w:r w:rsidR="00896F72">
        <w:rPr>
          <w:rFonts w:ascii="Book Antiqua" w:hAnsi="Book Antiqua"/>
        </w:rPr>
        <w:t xml:space="preserve">interference with his private life is proportionate.  </w:t>
      </w:r>
    </w:p>
    <w:p w:rsidR="00896F72" w:rsidRDefault="00896F72" w:rsidP="000D7340">
      <w:pPr>
        <w:autoSpaceDE w:val="0"/>
        <w:autoSpaceDN w:val="0"/>
        <w:adjustRightInd w:val="0"/>
        <w:ind w:left="567" w:hanging="567"/>
        <w:jc w:val="both"/>
        <w:rPr>
          <w:rFonts w:ascii="Book Antiqua" w:hAnsi="Book Antiqua"/>
        </w:rPr>
      </w:pPr>
    </w:p>
    <w:p w:rsidR="00C7558F" w:rsidRPr="00C7558F" w:rsidRDefault="00F27119" w:rsidP="004F5AF4">
      <w:pPr>
        <w:autoSpaceDE w:val="0"/>
        <w:autoSpaceDN w:val="0"/>
        <w:adjustRightInd w:val="0"/>
        <w:ind w:left="567" w:hanging="567"/>
        <w:jc w:val="both"/>
        <w:rPr>
          <w:rFonts w:ascii="Book Antiqua" w:hAnsi="Book Antiqua" w:cs="Arial"/>
        </w:rPr>
      </w:pPr>
      <w:r>
        <w:rPr>
          <w:rFonts w:ascii="Book Antiqua" w:hAnsi="Book Antiqua"/>
        </w:rPr>
        <w:t>3</w:t>
      </w:r>
      <w:r w:rsidR="00CB5342">
        <w:rPr>
          <w:rFonts w:ascii="Book Antiqua" w:hAnsi="Book Antiqua"/>
        </w:rPr>
        <w:t>6</w:t>
      </w:r>
      <w:r w:rsidR="004F5AF4">
        <w:rPr>
          <w:rFonts w:ascii="Book Antiqua" w:hAnsi="Book Antiqua"/>
        </w:rPr>
        <w:t>.</w:t>
      </w:r>
      <w:r w:rsidR="004F5AF4">
        <w:rPr>
          <w:rFonts w:ascii="Book Antiqua" w:hAnsi="Book Antiqua"/>
        </w:rPr>
        <w:tab/>
      </w:r>
      <w:r w:rsidR="0084017A">
        <w:rPr>
          <w:rFonts w:ascii="Book Antiqua" w:hAnsi="Book Antiqua"/>
        </w:rPr>
        <w:t>It may be that the Appellant</w:t>
      </w:r>
      <w:r w:rsidR="007E1999">
        <w:rPr>
          <w:rFonts w:ascii="Book Antiqua" w:hAnsi="Book Antiqua"/>
        </w:rPr>
        <w:t xml:space="preserve"> was </w:t>
      </w:r>
      <w:r w:rsidR="0084017A">
        <w:rPr>
          <w:rFonts w:ascii="Book Antiqua" w:hAnsi="Book Antiqua"/>
        </w:rPr>
        <w:t xml:space="preserve">poorly </w:t>
      </w:r>
      <w:r w:rsidR="007E1999">
        <w:rPr>
          <w:rFonts w:ascii="Book Antiqua" w:hAnsi="Book Antiqua"/>
        </w:rPr>
        <w:t xml:space="preserve">served </w:t>
      </w:r>
      <w:r w:rsidR="0084017A">
        <w:rPr>
          <w:rFonts w:ascii="Book Antiqua" w:hAnsi="Book Antiqua"/>
        </w:rPr>
        <w:t>by his solicitors in the light of the service of potentially significant evidence at the eleventh hour, the failure to advance a case under Article 8</w:t>
      </w:r>
      <w:r w:rsidR="00087707">
        <w:rPr>
          <w:rFonts w:ascii="Book Antiqua" w:hAnsi="Book Antiqua"/>
        </w:rPr>
        <w:t xml:space="preserve"> and</w:t>
      </w:r>
      <w:r w:rsidR="002731FF">
        <w:rPr>
          <w:rFonts w:ascii="Book Antiqua" w:hAnsi="Book Antiqua"/>
        </w:rPr>
        <w:t xml:space="preserve"> </w:t>
      </w:r>
      <w:r w:rsidR="00087707">
        <w:rPr>
          <w:rFonts w:ascii="Book Antiqua" w:hAnsi="Book Antiqua"/>
        </w:rPr>
        <w:t xml:space="preserve">the </w:t>
      </w:r>
      <w:r w:rsidR="00805E3D">
        <w:rPr>
          <w:rFonts w:ascii="Book Antiqua" w:hAnsi="Book Antiqua"/>
        </w:rPr>
        <w:t xml:space="preserve">failure to </w:t>
      </w:r>
      <w:r w:rsidR="0084017A">
        <w:rPr>
          <w:rFonts w:ascii="Book Antiqua" w:hAnsi="Book Antiqua"/>
        </w:rPr>
        <w:t xml:space="preserve">produce </w:t>
      </w:r>
      <w:r w:rsidR="00DC1723">
        <w:rPr>
          <w:rFonts w:ascii="Book Antiqua" w:hAnsi="Book Antiqua"/>
        </w:rPr>
        <w:t>at any stage</w:t>
      </w:r>
      <w:r w:rsidR="00087707">
        <w:rPr>
          <w:rFonts w:ascii="Book Antiqua" w:hAnsi="Book Antiqua"/>
        </w:rPr>
        <w:t xml:space="preserve"> a</w:t>
      </w:r>
      <w:r w:rsidR="002731FF">
        <w:rPr>
          <w:rFonts w:ascii="Book Antiqua" w:hAnsi="Book Antiqua"/>
        </w:rPr>
        <w:t xml:space="preserve"> </w:t>
      </w:r>
      <w:r w:rsidR="0084017A">
        <w:rPr>
          <w:rFonts w:ascii="Book Antiqua" w:hAnsi="Book Antiqua"/>
        </w:rPr>
        <w:t xml:space="preserve">witness statement properly engaging with the issue in relation to </w:t>
      </w:r>
      <w:r w:rsidR="00805E3D">
        <w:rPr>
          <w:rFonts w:ascii="Book Antiqua" w:hAnsi="Book Antiqua"/>
        </w:rPr>
        <w:t xml:space="preserve">his family </w:t>
      </w:r>
      <w:r w:rsidR="0084017A">
        <w:rPr>
          <w:rFonts w:ascii="Book Antiqua" w:hAnsi="Book Antiqua"/>
        </w:rPr>
        <w:t>an</w:t>
      </w:r>
      <w:r w:rsidR="00805E3D">
        <w:rPr>
          <w:rFonts w:ascii="Book Antiqua" w:hAnsi="Book Antiqua"/>
        </w:rPr>
        <w:t>d</w:t>
      </w:r>
      <w:r w:rsidR="0084017A">
        <w:rPr>
          <w:rFonts w:ascii="Book Antiqua" w:hAnsi="Book Antiqua"/>
        </w:rPr>
        <w:t xml:space="preserve"> effort</w:t>
      </w:r>
      <w:r w:rsidR="00DC1723">
        <w:rPr>
          <w:rFonts w:ascii="Book Antiqua" w:hAnsi="Book Antiqua"/>
        </w:rPr>
        <w:t>s</w:t>
      </w:r>
      <w:r w:rsidR="0084017A">
        <w:rPr>
          <w:rFonts w:ascii="Book Antiqua" w:hAnsi="Book Antiqua"/>
        </w:rPr>
        <w:t xml:space="preserve"> that he has made to contact them.</w:t>
      </w:r>
      <w:r w:rsidR="002731FF">
        <w:rPr>
          <w:rFonts w:ascii="Book Antiqua" w:hAnsi="Book Antiqua"/>
        </w:rPr>
        <w:t xml:space="preserve"> </w:t>
      </w:r>
      <w:r w:rsidR="007E1999">
        <w:rPr>
          <w:rFonts w:ascii="Book Antiqua" w:hAnsi="Book Antiqua"/>
        </w:rPr>
        <w:t xml:space="preserve">It may be the case that </w:t>
      </w:r>
      <w:r w:rsidR="00087707">
        <w:rPr>
          <w:rFonts w:ascii="Book Antiqua" w:hAnsi="Book Antiqua"/>
        </w:rPr>
        <w:t>he</w:t>
      </w:r>
      <w:r w:rsidR="002731FF">
        <w:rPr>
          <w:rFonts w:ascii="Book Antiqua" w:hAnsi="Book Antiqua"/>
        </w:rPr>
        <w:t xml:space="preserve"> </w:t>
      </w:r>
      <w:r w:rsidR="007E1999">
        <w:rPr>
          <w:rFonts w:ascii="Book Antiqua" w:hAnsi="Book Antiqua"/>
        </w:rPr>
        <w:t xml:space="preserve">has </w:t>
      </w:r>
      <w:r w:rsidR="00201309">
        <w:rPr>
          <w:rFonts w:ascii="Book Antiqua" w:hAnsi="Book Antiqua"/>
        </w:rPr>
        <w:t xml:space="preserve">failed to cooperate with </w:t>
      </w:r>
      <w:r w:rsidR="00805E3D">
        <w:rPr>
          <w:rFonts w:ascii="Book Antiqua" w:hAnsi="Book Antiqua"/>
        </w:rPr>
        <w:t xml:space="preserve">his solicitors. </w:t>
      </w:r>
      <w:r w:rsidR="00201309">
        <w:rPr>
          <w:rFonts w:ascii="Book Antiqua" w:hAnsi="Book Antiqua"/>
        </w:rPr>
        <w:t xml:space="preserve">It is not for me to speculate. </w:t>
      </w:r>
      <w:r w:rsidR="00CB0302">
        <w:rPr>
          <w:rFonts w:ascii="Book Antiqua" w:hAnsi="Book Antiqua"/>
        </w:rPr>
        <w:t xml:space="preserve">If it is the former the Appellant </w:t>
      </w:r>
      <w:r w:rsidR="00672E79">
        <w:rPr>
          <w:rFonts w:ascii="Book Antiqua" w:hAnsi="Book Antiqua"/>
        </w:rPr>
        <w:t>may be able to obtain evidence on the issue relating to the efforts he has made to trace his family</w:t>
      </w:r>
      <w:r w:rsidR="00087707">
        <w:rPr>
          <w:rFonts w:ascii="Book Antiqua" w:hAnsi="Book Antiqua"/>
        </w:rPr>
        <w:t xml:space="preserve"> to support the Red Cross letters that he </w:t>
      </w:r>
      <w:r w:rsidR="007E1999">
        <w:rPr>
          <w:rFonts w:ascii="Book Antiqua" w:hAnsi="Book Antiqua"/>
        </w:rPr>
        <w:t xml:space="preserve">relied on at the hearing before me and which were submitted at the last minute </w:t>
      </w:r>
      <w:r w:rsidR="00087707">
        <w:rPr>
          <w:rFonts w:ascii="Book Antiqua" w:hAnsi="Book Antiqua"/>
        </w:rPr>
        <w:t>to</w:t>
      </w:r>
      <w:r w:rsidR="007E1999">
        <w:rPr>
          <w:rFonts w:ascii="Book Antiqua" w:hAnsi="Book Antiqua"/>
        </w:rPr>
        <w:t xml:space="preserve"> support a </w:t>
      </w:r>
      <w:r w:rsidR="00672E79">
        <w:rPr>
          <w:rFonts w:ascii="Book Antiqua" w:hAnsi="Book Antiqua"/>
        </w:rPr>
        <w:t xml:space="preserve">fresh claim. However, the </w:t>
      </w:r>
      <w:r w:rsidR="004F5AF4">
        <w:rPr>
          <w:rFonts w:ascii="Book Antiqua" w:hAnsi="Book Antiqua"/>
        </w:rPr>
        <w:t xml:space="preserve">inevitable outcome of this appeal is that </w:t>
      </w:r>
      <w:r w:rsidR="00087707">
        <w:rPr>
          <w:rFonts w:ascii="Book Antiqua" w:hAnsi="Book Antiqua"/>
        </w:rPr>
        <w:t xml:space="preserve">it </w:t>
      </w:r>
      <w:r w:rsidR="004F5AF4">
        <w:rPr>
          <w:rFonts w:ascii="Book Antiqua" w:hAnsi="Book Antiqua"/>
        </w:rPr>
        <w:t>is dismissed on Article 3 grounds</w:t>
      </w:r>
      <w:r w:rsidR="007E1999">
        <w:rPr>
          <w:rFonts w:ascii="Book Antiqua" w:hAnsi="Book Antiqua"/>
        </w:rPr>
        <w:t xml:space="preserve">. </w:t>
      </w:r>
    </w:p>
    <w:p w:rsidR="00C7558F" w:rsidRPr="00C7558F" w:rsidRDefault="00C7558F" w:rsidP="00C7558F">
      <w:pPr>
        <w:jc w:val="both"/>
        <w:rPr>
          <w:rFonts w:ascii="Book Antiqua" w:hAnsi="Book Antiqua" w:cs="Arial"/>
        </w:rPr>
      </w:pPr>
    </w:p>
    <w:p w:rsidR="00C7558F" w:rsidRPr="00C7558F" w:rsidRDefault="00C7558F" w:rsidP="00C7558F">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rsidR="00C7558F" w:rsidRPr="00C7558F" w:rsidRDefault="00C7558F" w:rsidP="00C7558F">
      <w:pPr>
        <w:jc w:val="both"/>
        <w:rPr>
          <w:rFonts w:ascii="Book Antiqua" w:hAnsi="Book Antiqua" w:cs="Arial"/>
        </w:rPr>
      </w:pPr>
    </w:p>
    <w:p w:rsidR="00C7558F" w:rsidRPr="000704BB" w:rsidRDefault="00C7558F" w:rsidP="006D3965">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rsidR="001F2716" w:rsidRPr="000704BB" w:rsidRDefault="001F2716" w:rsidP="00780F86">
      <w:pPr>
        <w:ind w:left="540" w:hanging="540"/>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00CB5342" w:rsidRPr="00CB5342">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F34BE2">
        <w:rPr>
          <w:rFonts w:ascii="Book Antiqua" w:hAnsi="Book Antiqua" w:cs="Arial"/>
        </w:rPr>
        <w:t xml:space="preserve"> </w:t>
      </w:r>
      <w:r w:rsidR="00CB5342">
        <w:rPr>
          <w:rFonts w:ascii="Book Antiqua" w:hAnsi="Book Antiqua" w:cs="Arial"/>
        </w:rPr>
        <w:t>31 July 2018</w:t>
      </w:r>
    </w:p>
    <w:p w:rsidR="006D6955" w:rsidRDefault="006D6955" w:rsidP="00780F86">
      <w:pPr>
        <w:ind w:left="540" w:hanging="540"/>
        <w:jc w:val="both"/>
        <w:rPr>
          <w:rFonts w:ascii="Book Antiqua" w:hAnsi="Book Antiqua" w:cs="Arial"/>
        </w:rPr>
      </w:pPr>
    </w:p>
    <w:p w:rsidR="00B95326" w:rsidRPr="000704BB" w:rsidRDefault="00DD1A53" w:rsidP="00F660B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B95326" w:rsidRPr="000704BB"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CCB" w:rsidRDefault="001B4CCB">
      <w:r>
        <w:separator/>
      </w:r>
    </w:p>
  </w:endnote>
  <w:endnote w:type="continuationSeparator" w:id="0">
    <w:p w:rsidR="001B4CCB" w:rsidRDefault="001B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A6" w:rsidRPr="000704BB" w:rsidRDefault="004A4839"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931CA6"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660E2E">
      <w:rPr>
        <w:rStyle w:val="PageNumber"/>
        <w:rFonts w:ascii="Book Antiqua" w:hAnsi="Book Antiqua" w:cs="Arial"/>
        <w:noProof/>
        <w:sz w:val="16"/>
        <w:szCs w:val="16"/>
      </w:rPr>
      <w:t>19</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A6" w:rsidRPr="000704BB" w:rsidRDefault="00931CA6"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CCB" w:rsidRDefault="001B4CCB">
      <w:r>
        <w:separator/>
      </w:r>
    </w:p>
  </w:footnote>
  <w:footnote w:type="continuationSeparator" w:id="0">
    <w:p w:rsidR="001B4CCB" w:rsidRDefault="001B4CCB">
      <w:r>
        <w:continuationSeparator/>
      </w:r>
    </w:p>
  </w:footnote>
  <w:footnote w:id="1">
    <w:p w:rsidR="00931CA6" w:rsidRPr="00BA1068" w:rsidRDefault="00931CA6" w:rsidP="001860F1">
      <w:pPr>
        <w:autoSpaceDE w:val="0"/>
        <w:autoSpaceDN w:val="0"/>
        <w:adjustRightInd w:val="0"/>
        <w:ind w:left="567" w:hanging="567"/>
        <w:jc w:val="both"/>
        <w:rPr>
          <w:rFonts w:ascii="Book Antiqua" w:hAnsi="Book Antiqua"/>
          <w:sz w:val="16"/>
          <w:szCs w:val="16"/>
        </w:rPr>
      </w:pPr>
      <w:r>
        <w:rPr>
          <w:rStyle w:val="FootnoteReference"/>
        </w:rPr>
        <w:footnoteRef/>
      </w:r>
      <w:r w:rsidRPr="00BA1068">
        <w:rPr>
          <w:rFonts w:ascii="Book Antiqua" w:hAnsi="Book Antiqua"/>
          <w:sz w:val="16"/>
          <w:szCs w:val="16"/>
        </w:rPr>
        <w:t>The Respondent in the Reasons for Refusal Letter in relation to the issue of tracing stated as follows:</w:t>
      </w:r>
    </w:p>
    <w:p w:rsidR="00931CA6" w:rsidRDefault="00931CA6" w:rsidP="001860F1">
      <w:pPr>
        <w:autoSpaceDE w:val="0"/>
        <w:autoSpaceDN w:val="0"/>
        <w:adjustRightInd w:val="0"/>
        <w:ind w:left="567" w:hanging="567"/>
        <w:jc w:val="both"/>
        <w:rPr>
          <w:rFonts w:ascii="Book Antiqua" w:hAnsi="Book Antiqua"/>
        </w:rPr>
      </w:pPr>
    </w:p>
    <w:p w:rsidR="00931CA6" w:rsidRPr="001860F1" w:rsidRDefault="00931CA6" w:rsidP="001860F1">
      <w:pPr>
        <w:autoSpaceDE w:val="0"/>
        <w:autoSpaceDN w:val="0"/>
        <w:adjustRightInd w:val="0"/>
        <w:ind w:left="1701" w:hanging="567"/>
        <w:jc w:val="both"/>
        <w:rPr>
          <w:rFonts w:ascii="Book Antiqua" w:hAnsi="Book Antiqua"/>
          <w:sz w:val="16"/>
          <w:szCs w:val="16"/>
        </w:rPr>
      </w:pPr>
      <w:r w:rsidRPr="001860F1">
        <w:rPr>
          <w:rFonts w:ascii="Book Antiqua" w:hAnsi="Book Antiqua"/>
          <w:sz w:val="16"/>
          <w:szCs w:val="16"/>
        </w:rPr>
        <w:t>“34.</w:t>
      </w:r>
      <w:r w:rsidRPr="001860F1">
        <w:rPr>
          <w:rFonts w:ascii="Book Antiqua" w:hAnsi="Book Antiqua"/>
          <w:sz w:val="16"/>
          <w:szCs w:val="16"/>
        </w:rPr>
        <w:tab/>
        <w:t xml:space="preserve">In accordance with Regulation 6(1) of the 2005 Regulations the UK Border Agency has endeavoured to trace your family using information you provided in your screening interview, witness statement and Asylum Interview Record.  The following steps have been taken and the results summarised as follows: </w:t>
      </w:r>
    </w:p>
    <w:p w:rsidR="00931CA6" w:rsidRPr="001860F1" w:rsidRDefault="00931CA6" w:rsidP="001860F1">
      <w:pPr>
        <w:autoSpaceDE w:val="0"/>
        <w:autoSpaceDN w:val="0"/>
        <w:adjustRightInd w:val="0"/>
        <w:ind w:left="1701" w:hanging="567"/>
        <w:jc w:val="both"/>
        <w:rPr>
          <w:rFonts w:ascii="Book Antiqua" w:hAnsi="Book Antiqua"/>
          <w:sz w:val="16"/>
          <w:szCs w:val="16"/>
        </w:rPr>
      </w:pPr>
    </w:p>
    <w:tbl>
      <w:tblPr>
        <w:tblStyle w:val="TableGrid"/>
        <w:tblW w:w="0" w:type="auto"/>
        <w:tblInd w:w="1701" w:type="dxa"/>
        <w:tblLook w:val="04A0" w:firstRow="1" w:lastRow="0" w:firstColumn="1" w:lastColumn="0" w:noHBand="0" w:noVBand="1"/>
      </w:tblPr>
      <w:tblGrid>
        <w:gridCol w:w="3823"/>
        <w:gridCol w:w="4104"/>
      </w:tblGrid>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Action</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Results</w:t>
            </w:r>
          </w:p>
          <w:p w:rsidR="00931CA6" w:rsidRPr="001860F1" w:rsidRDefault="00931CA6" w:rsidP="001860F1">
            <w:pPr>
              <w:autoSpaceDE w:val="0"/>
              <w:autoSpaceDN w:val="0"/>
              <w:adjustRightInd w:val="0"/>
              <w:jc w:val="both"/>
              <w:rPr>
                <w:rFonts w:ascii="Book Antiqua" w:hAnsi="Book Antiqua"/>
                <w:sz w:val="16"/>
                <w:szCs w:val="16"/>
              </w:rPr>
            </w:pP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(a) Obtain and check information and documentation via the FCO in the country of return.</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 xml:space="preserve">The following statement was issued on 27 November 2012: </w:t>
            </w:r>
          </w:p>
          <w:p w:rsidR="00931CA6" w:rsidRPr="001860F1" w:rsidRDefault="00931CA6" w:rsidP="001860F1">
            <w:pPr>
              <w:autoSpaceDE w:val="0"/>
              <w:autoSpaceDN w:val="0"/>
              <w:adjustRightInd w:val="0"/>
              <w:jc w:val="both"/>
              <w:rPr>
                <w:rFonts w:ascii="Book Antiqua" w:hAnsi="Book Antiqua"/>
                <w:sz w:val="16"/>
                <w:szCs w:val="16"/>
              </w:rPr>
            </w:pPr>
          </w:p>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“The British Embassy in Kabul does not currently have the facility to carry out tracing of the families of unaccompanied asylum seeking children from Afghanistan”.</w:t>
            </w:r>
          </w:p>
          <w:p w:rsidR="00931CA6" w:rsidRPr="001860F1" w:rsidRDefault="00931CA6" w:rsidP="001860F1">
            <w:pPr>
              <w:autoSpaceDE w:val="0"/>
              <w:autoSpaceDN w:val="0"/>
              <w:adjustRightInd w:val="0"/>
              <w:jc w:val="both"/>
              <w:rPr>
                <w:rFonts w:ascii="Book Antiqua" w:hAnsi="Book Antiqua"/>
                <w:sz w:val="16"/>
                <w:szCs w:val="16"/>
              </w:rPr>
            </w:pP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(b) Search UK immigration databases (e.g. for previous applications by family members).</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 xml:space="preserve">No results have been found on Home Office databases from the information you have provided.  </w:t>
            </w:r>
          </w:p>
          <w:p w:rsidR="00931CA6" w:rsidRPr="001860F1" w:rsidRDefault="00931CA6" w:rsidP="001860F1">
            <w:pPr>
              <w:autoSpaceDE w:val="0"/>
              <w:autoSpaceDN w:val="0"/>
              <w:adjustRightInd w:val="0"/>
              <w:jc w:val="both"/>
              <w:rPr>
                <w:rFonts w:ascii="Book Antiqua" w:hAnsi="Book Antiqua"/>
                <w:sz w:val="16"/>
                <w:szCs w:val="16"/>
              </w:rPr>
            </w:pP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(c) Search over C’s databases (e.g. for family members who have previously applied for a visa to come to the UK).</w:t>
            </w:r>
          </w:p>
          <w:p w:rsidR="00931CA6" w:rsidRPr="001860F1" w:rsidRDefault="00931CA6" w:rsidP="001860F1">
            <w:pPr>
              <w:autoSpaceDE w:val="0"/>
              <w:autoSpaceDN w:val="0"/>
              <w:adjustRightInd w:val="0"/>
              <w:jc w:val="both"/>
              <w:rPr>
                <w:rFonts w:ascii="Book Antiqua" w:hAnsi="Book Antiqua"/>
                <w:sz w:val="16"/>
                <w:szCs w:val="16"/>
              </w:rPr>
            </w:pP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No results have been found from the information you have provided.</w:t>
            </w: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(d) Submit an information request to other European countries where there is evidence the child or their family may have resided there.</w:t>
            </w:r>
          </w:p>
          <w:p w:rsidR="00931CA6" w:rsidRPr="001860F1" w:rsidRDefault="00931CA6" w:rsidP="001860F1">
            <w:pPr>
              <w:autoSpaceDE w:val="0"/>
              <w:autoSpaceDN w:val="0"/>
              <w:adjustRightInd w:val="0"/>
              <w:jc w:val="both"/>
              <w:rPr>
                <w:rFonts w:ascii="Book Antiqua" w:hAnsi="Book Antiqua"/>
                <w:sz w:val="16"/>
                <w:szCs w:val="16"/>
              </w:rPr>
            </w:pP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No information submitted.</w:t>
            </w: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(e) Direct contact with family members in the country of return.</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You claim not to have contact with family in Afghanistan.</w:t>
            </w: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(f) Request additional information from the local authority responsible for your care.</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Best interest proforma was sent to your social worker on 14 January 2014 however it has not been returned.</w:t>
            </w:r>
          </w:p>
          <w:p w:rsidR="00931CA6" w:rsidRPr="001860F1" w:rsidRDefault="00931CA6" w:rsidP="001860F1">
            <w:pPr>
              <w:autoSpaceDE w:val="0"/>
              <w:autoSpaceDN w:val="0"/>
              <w:adjustRightInd w:val="0"/>
              <w:jc w:val="both"/>
              <w:rPr>
                <w:rFonts w:ascii="Book Antiqua" w:hAnsi="Book Antiqua"/>
                <w:sz w:val="16"/>
                <w:szCs w:val="16"/>
              </w:rPr>
            </w:pP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(g) Internet/social media search.</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 xml:space="preserve">No results found from search engines.  </w:t>
            </w:r>
          </w:p>
          <w:p w:rsidR="00931CA6" w:rsidRPr="001860F1" w:rsidRDefault="00931CA6" w:rsidP="001860F1">
            <w:pPr>
              <w:autoSpaceDE w:val="0"/>
              <w:autoSpaceDN w:val="0"/>
              <w:adjustRightInd w:val="0"/>
              <w:jc w:val="both"/>
              <w:rPr>
                <w:rFonts w:ascii="Book Antiqua" w:hAnsi="Book Antiqua"/>
                <w:sz w:val="16"/>
                <w:szCs w:val="16"/>
              </w:rPr>
            </w:pP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(h) Make enquiries with UK-based relatives.</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You state you have a paternal cousin in the UK however from the limited information you have provided, this person could not be found on the Home Office database.</w:t>
            </w:r>
          </w:p>
          <w:p w:rsidR="00931CA6" w:rsidRPr="001860F1" w:rsidRDefault="00931CA6" w:rsidP="001860F1">
            <w:pPr>
              <w:autoSpaceDE w:val="0"/>
              <w:autoSpaceDN w:val="0"/>
              <w:adjustRightInd w:val="0"/>
              <w:jc w:val="both"/>
              <w:rPr>
                <w:rFonts w:ascii="Book Antiqua" w:hAnsi="Book Antiqua"/>
                <w:sz w:val="16"/>
                <w:szCs w:val="16"/>
              </w:rPr>
            </w:pPr>
          </w:p>
        </w:tc>
      </w:tr>
      <w:tr w:rsidR="00931CA6" w:rsidRPr="001860F1" w:rsidTr="001860F1">
        <w:tc>
          <w:tcPr>
            <w:tcW w:w="3823"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(i) Search/trace in the (illegible) non-governmental or private organisation.</w:t>
            </w:r>
          </w:p>
        </w:tc>
        <w:tc>
          <w:tcPr>
            <w:tcW w:w="4104" w:type="dxa"/>
          </w:tcPr>
          <w:p w:rsidR="00931CA6" w:rsidRPr="001860F1" w:rsidRDefault="00931CA6" w:rsidP="001860F1">
            <w:pPr>
              <w:autoSpaceDE w:val="0"/>
              <w:autoSpaceDN w:val="0"/>
              <w:adjustRightInd w:val="0"/>
              <w:jc w:val="both"/>
              <w:rPr>
                <w:rFonts w:ascii="Book Antiqua" w:hAnsi="Book Antiqua"/>
                <w:sz w:val="16"/>
                <w:szCs w:val="16"/>
              </w:rPr>
            </w:pPr>
            <w:r w:rsidRPr="001860F1">
              <w:rPr>
                <w:rFonts w:ascii="Book Antiqua" w:hAnsi="Book Antiqua"/>
                <w:sz w:val="16"/>
                <w:szCs w:val="16"/>
              </w:rPr>
              <w:t>The Home Office does not currently have any arrangements or contracts in Afghanistan who are authorised to undertake family tracing.</w:t>
            </w:r>
          </w:p>
        </w:tc>
      </w:tr>
    </w:tbl>
    <w:p w:rsidR="00931CA6" w:rsidRPr="001860F1" w:rsidRDefault="00931CA6" w:rsidP="001860F1">
      <w:pPr>
        <w:autoSpaceDE w:val="0"/>
        <w:autoSpaceDN w:val="0"/>
        <w:adjustRightInd w:val="0"/>
        <w:ind w:left="1701" w:hanging="567"/>
        <w:jc w:val="both"/>
        <w:rPr>
          <w:rFonts w:ascii="Book Antiqua" w:hAnsi="Book Antiqua"/>
          <w:sz w:val="16"/>
          <w:szCs w:val="16"/>
        </w:rPr>
      </w:pPr>
    </w:p>
    <w:p w:rsidR="00931CA6" w:rsidRPr="001860F1" w:rsidRDefault="00931CA6" w:rsidP="001860F1">
      <w:pPr>
        <w:autoSpaceDE w:val="0"/>
        <w:autoSpaceDN w:val="0"/>
        <w:adjustRightInd w:val="0"/>
        <w:ind w:left="1134" w:hanging="567"/>
        <w:jc w:val="both"/>
        <w:rPr>
          <w:rFonts w:ascii="Book Antiqua" w:hAnsi="Book Antiqua"/>
          <w:sz w:val="16"/>
          <w:szCs w:val="16"/>
        </w:rPr>
      </w:pPr>
      <w:r w:rsidRPr="001860F1">
        <w:rPr>
          <w:rFonts w:ascii="Book Antiqua" w:hAnsi="Book Antiqua"/>
          <w:sz w:val="16"/>
          <w:szCs w:val="16"/>
        </w:rPr>
        <w:t>35.</w:t>
      </w:r>
      <w:r w:rsidRPr="001860F1">
        <w:rPr>
          <w:rFonts w:ascii="Book Antiqua" w:hAnsi="Book Antiqua"/>
          <w:sz w:val="16"/>
          <w:szCs w:val="16"/>
        </w:rPr>
        <w:tab/>
        <w:t xml:space="preserve">Regulation 6 of the Asylum Seekers (Reception Conditions) Regulations 2005 places an obligation on the Secretary of State to endeavour to trace the members of the minor’s family as soon as possible after the minor makes his claim for asylum.  The following steps have been taken in order to obtain sufficient information from you to enable the Secretary of State to endeavour to trace your family; you have been asked questions regarding your family in your screening interview (SI), witness statement (WS) and your asylum interview (IAR).  </w:t>
      </w:r>
    </w:p>
    <w:p w:rsidR="00931CA6" w:rsidRPr="001860F1" w:rsidRDefault="00931CA6" w:rsidP="001860F1">
      <w:pPr>
        <w:autoSpaceDE w:val="0"/>
        <w:autoSpaceDN w:val="0"/>
        <w:adjustRightInd w:val="0"/>
        <w:ind w:left="1134" w:hanging="567"/>
        <w:jc w:val="both"/>
        <w:rPr>
          <w:rFonts w:ascii="Book Antiqua" w:hAnsi="Book Antiqua"/>
          <w:sz w:val="16"/>
          <w:szCs w:val="16"/>
        </w:rPr>
      </w:pPr>
    </w:p>
    <w:p w:rsidR="00931CA6" w:rsidRPr="001860F1" w:rsidRDefault="00931CA6" w:rsidP="001860F1">
      <w:pPr>
        <w:autoSpaceDE w:val="0"/>
        <w:autoSpaceDN w:val="0"/>
        <w:adjustRightInd w:val="0"/>
        <w:ind w:left="1134" w:hanging="567"/>
        <w:jc w:val="both"/>
        <w:rPr>
          <w:rFonts w:ascii="Book Antiqua" w:hAnsi="Book Antiqua"/>
          <w:sz w:val="16"/>
          <w:szCs w:val="16"/>
        </w:rPr>
      </w:pPr>
      <w:r w:rsidRPr="001860F1">
        <w:rPr>
          <w:rFonts w:ascii="Book Antiqua" w:hAnsi="Book Antiqua"/>
          <w:sz w:val="16"/>
          <w:szCs w:val="16"/>
        </w:rPr>
        <w:t>36.</w:t>
      </w:r>
      <w:r w:rsidRPr="001860F1">
        <w:rPr>
          <w:rFonts w:ascii="Book Antiqua" w:hAnsi="Book Antiqua"/>
          <w:sz w:val="16"/>
          <w:szCs w:val="16"/>
        </w:rPr>
        <w:tab/>
        <w:t xml:space="preserve">As summarised above, actions have been taken to endeavour to trace your family.  However, at this time it has not been possible to obtain information to either re-establish contact, confirm your family’s current location and circumstances, or to obtain information relevant to an assessment of whether there is a prospect of reuniting you safely with your family in the event of return.  </w:t>
      </w:r>
    </w:p>
    <w:p w:rsidR="00931CA6" w:rsidRPr="001860F1" w:rsidRDefault="00931CA6" w:rsidP="001860F1">
      <w:pPr>
        <w:autoSpaceDE w:val="0"/>
        <w:autoSpaceDN w:val="0"/>
        <w:adjustRightInd w:val="0"/>
        <w:ind w:left="1134" w:hanging="567"/>
        <w:jc w:val="both"/>
        <w:rPr>
          <w:rFonts w:ascii="Book Antiqua" w:hAnsi="Book Antiqua"/>
          <w:sz w:val="16"/>
          <w:szCs w:val="16"/>
        </w:rPr>
      </w:pPr>
    </w:p>
    <w:p w:rsidR="00931CA6" w:rsidRPr="001860F1" w:rsidRDefault="00931CA6" w:rsidP="001860F1">
      <w:pPr>
        <w:autoSpaceDE w:val="0"/>
        <w:autoSpaceDN w:val="0"/>
        <w:adjustRightInd w:val="0"/>
        <w:ind w:left="1134" w:hanging="567"/>
        <w:jc w:val="both"/>
        <w:rPr>
          <w:rFonts w:ascii="Book Antiqua" w:hAnsi="Book Antiqua"/>
          <w:sz w:val="16"/>
          <w:szCs w:val="16"/>
        </w:rPr>
      </w:pPr>
      <w:r w:rsidRPr="001860F1">
        <w:rPr>
          <w:rFonts w:ascii="Book Antiqua" w:hAnsi="Book Antiqua"/>
          <w:sz w:val="16"/>
          <w:szCs w:val="16"/>
        </w:rPr>
        <w:t>37.</w:t>
      </w:r>
      <w:r w:rsidRPr="001860F1">
        <w:rPr>
          <w:rFonts w:ascii="Book Antiqua" w:hAnsi="Book Antiqua"/>
          <w:sz w:val="16"/>
          <w:szCs w:val="16"/>
        </w:rPr>
        <w:tab/>
        <w:t>The Secretary of State’s failure to trace your family cannot be interpreted as evidence that there are no adequate reception facilities …”.</w:t>
      </w:r>
    </w:p>
    <w:p w:rsidR="00931CA6" w:rsidRPr="001860F1" w:rsidRDefault="00931CA6" w:rsidP="001860F1">
      <w:pPr>
        <w:autoSpaceDE w:val="0"/>
        <w:autoSpaceDN w:val="0"/>
        <w:adjustRightInd w:val="0"/>
        <w:jc w:val="both"/>
        <w:rPr>
          <w:rFonts w:ascii="Book Antiqua" w:hAnsi="Book Antiqua"/>
          <w:sz w:val="16"/>
          <w:szCs w:val="16"/>
        </w:rPr>
      </w:pPr>
    </w:p>
    <w:p w:rsidR="00931CA6" w:rsidRPr="001860F1" w:rsidRDefault="00931CA6">
      <w:pPr>
        <w:pStyle w:val="FootnoteText"/>
        <w:rPr>
          <w:rFonts w:ascii="Book Antiqua" w:hAnsi="Book Antiqua"/>
          <w:sz w:val="24"/>
          <w:szCs w:val="24"/>
        </w:rPr>
      </w:pPr>
    </w:p>
  </w:footnote>
  <w:footnote w:id="2">
    <w:p w:rsidR="00931CA6" w:rsidRPr="001860F1" w:rsidRDefault="00931CA6" w:rsidP="00271F8A">
      <w:pPr>
        <w:autoSpaceDE w:val="0"/>
        <w:autoSpaceDN w:val="0"/>
        <w:adjustRightInd w:val="0"/>
        <w:ind w:left="1701" w:hanging="567"/>
        <w:jc w:val="both"/>
        <w:rPr>
          <w:rFonts w:ascii="Book Antiqua" w:hAnsi="Book Antiqua"/>
          <w:sz w:val="16"/>
          <w:szCs w:val="16"/>
        </w:rPr>
      </w:pPr>
      <w:r>
        <w:rPr>
          <w:rStyle w:val="FootnoteReference"/>
        </w:rPr>
        <w:footnoteRef/>
      </w:r>
      <w:r w:rsidRPr="001860F1">
        <w:rPr>
          <w:rFonts w:ascii="Book Antiqua" w:hAnsi="Book Antiqua"/>
          <w:sz w:val="16"/>
          <w:szCs w:val="16"/>
        </w:rPr>
        <w:t>‘</w:t>
      </w:r>
      <w:r w:rsidRPr="001860F1">
        <w:rPr>
          <w:rFonts w:ascii="Book Antiqua" w:hAnsi="Book Antiqua"/>
          <w:b/>
          <w:sz w:val="16"/>
          <w:szCs w:val="16"/>
        </w:rPr>
        <w:t xml:space="preserve">II. </w:t>
      </w:r>
      <w:r w:rsidRPr="001860F1">
        <w:rPr>
          <w:rFonts w:ascii="Book Antiqua" w:hAnsi="Book Antiqua"/>
          <w:b/>
          <w:sz w:val="16"/>
          <w:szCs w:val="16"/>
        </w:rPr>
        <w:tab/>
        <w:t>Burden of Proof</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 xml:space="preserve">5. </w:t>
      </w:r>
      <w:r w:rsidRPr="001860F1">
        <w:rPr>
          <w:rFonts w:ascii="Book Antiqua" w:hAnsi="Book Antiqua"/>
          <w:sz w:val="16"/>
          <w:szCs w:val="16"/>
        </w:rPr>
        <w:tab/>
        <w:t>Facts in support of refugee claims are established by adducing proof or evidence of the alleged facts.  Evidence may be oral or documentary.  Duty to produce evidence in order affirmatively to prove such alleged facts, is termed ‘burden of proof’.</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6.</w:t>
      </w:r>
      <w:r w:rsidRPr="001860F1">
        <w:rPr>
          <w:rFonts w:ascii="Book Antiqua" w:hAnsi="Book Antiqua"/>
          <w:sz w:val="16"/>
          <w:szCs w:val="16"/>
        </w:rPr>
        <w:tab/>
        <w:t>According to general legal principles of the law of evidence, the burden of proof lies on the person who makes the assertion.  Thus, in refugee claims, it is the applicant who has the burden of establishing the veracity of his/her allegations and the accuracy of the facts on which the refugee claim is based.  The burden of proof is discharged by the applicant rendering a truthful account of facts relevant to the claim so that, based on the facts, a proper decision may be reached.  In view of the particularities of a refugee situation, the Adjudicator shares the duty to ascertain and evaluate all the relevant facts.  This is achieved, to a large extent, by the Adjudicator being familiar with the objective situation in the country of origin concerned, being aware of relevant matters of common knowledge, guiding the applicant and providing the relevant information adequately verifying facts alleged which can be substantiated.</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b/>
          <w:sz w:val="16"/>
          <w:szCs w:val="16"/>
        </w:rPr>
      </w:pPr>
      <w:r w:rsidRPr="001860F1">
        <w:rPr>
          <w:rFonts w:ascii="Book Antiqua" w:hAnsi="Book Antiqua"/>
          <w:b/>
          <w:sz w:val="16"/>
          <w:szCs w:val="16"/>
        </w:rPr>
        <w:t xml:space="preserve">III.  </w:t>
      </w:r>
      <w:r w:rsidRPr="001860F1">
        <w:rPr>
          <w:rFonts w:ascii="Book Antiqua" w:hAnsi="Book Antiqua"/>
          <w:b/>
          <w:sz w:val="16"/>
          <w:szCs w:val="16"/>
        </w:rPr>
        <w:tab/>
        <w:t>Standard of Proof – General Framework and Definitional</w:t>
      </w:r>
      <w:r w:rsidR="002731FF">
        <w:rPr>
          <w:rFonts w:ascii="Book Antiqua" w:hAnsi="Book Antiqua"/>
          <w:b/>
          <w:sz w:val="16"/>
          <w:szCs w:val="16"/>
        </w:rPr>
        <w:t xml:space="preserve"> </w:t>
      </w:r>
      <w:r w:rsidRPr="001860F1">
        <w:rPr>
          <w:rFonts w:ascii="Book Antiqua" w:hAnsi="Book Antiqua"/>
          <w:b/>
          <w:sz w:val="16"/>
          <w:szCs w:val="16"/>
        </w:rPr>
        <w:t>Issues</w:t>
      </w:r>
    </w:p>
    <w:p w:rsidR="00931CA6" w:rsidRPr="001860F1" w:rsidRDefault="00931CA6" w:rsidP="00271F8A">
      <w:pPr>
        <w:autoSpaceDE w:val="0"/>
        <w:autoSpaceDN w:val="0"/>
        <w:adjustRightInd w:val="0"/>
        <w:ind w:left="2268"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7.</w:t>
      </w:r>
      <w:r w:rsidRPr="001860F1">
        <w:rPr>
          <w:rFonts w:ascii="Book Antiqua" w:hAnsi="Book Antiqua"/>
          <w:sz w:val="16"/>
          <w:szCs w:val="16"/>
        </w:rPr>
        <w:tab/>
        <w:t>In the context of the applicant’s responsibility to prove facts in support of his/her claim, the terms ‘standard of proof’ means the threshold to be met by the applicant in persuading the Adjudicator as to the truth of his/her factual assertion.  Facts which need to be ‘proved’ are those which concern the background and personal experiences of the applicant which purportedly have given rise to a fear of persecution and the resultant unwillingness to avail himself/herself of the protection of the country of origin.</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8.</w:t>
      </w:r>
      <w:r w:rsidRPr="001860F1">
        <w:rPr>
          <w:rFonts w:ascii="Book Antiqua" w:hAnsi="Book Antiqua"/>
          <w:sz w:val="16"/>
          <w:szCs w:val="16"/>
        </w:rPr>
        <w:tab/>
        <w:t>In common law countries, the law of evidence relating to criminal prosecutions requires cases to be proved ‘beyond reasonable doubt’.  In civil claims, the law does not require this high standard; rather the Adjudicator has to decide the case on the ‘balance of probabilities’.  Similarly in refugee claims, there is no necessity for the Adjudicator to have been fully convinced of the truth of each and every factual assertion made by the applicant.  The Adjudicator needs to decide if, based on the evidence provided as well as the veracity of the applicant’s statements, it is likely that the claim of that applicant is credible.</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9.</w:t>
      </w:r>
      <w:r w:rsidRPr="001860F1">
        <w:rPr>
          <w:rFonts w:ascii="Book Antiqua" w:hAnsi="Book Antiqua"/>
          <w:sz w:val="16"/>
          <w:szCs w:val="16"/>
        </w:rPr>
        <w:tab/>
        <w:t>Obviously the applicant has the duty to tell the truth.  In saying this though, consideration should also be given to the fact that, due to the applicant’s traumatic experiences, he/she may not speak freely; or that due to time lapse or the intensity of past events, the applicant may not be able to remember all factual details or to recount them accurately or may confuse them; thus he/she may well be vague or inaccurate in providing detailed facts.  Inability to remember or provide all dates or minor details, as well as minor inconsistencies, in substantial vagueness or incorrect statements which are not material may be taken into account in the final assessment on credibility, but should not be used as decisive factors.</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10.</w:t>
      </w:r>
      <w:r w:rsidRPr="001860F1">
        <w:rPr>
          <w:rFonts w:ascii="Book Antiqua" w:hAnsi="Book Antiqua"/>
          <w:sz w:val="16"/>
          <w:szCs w:val="16"/>
        </w:rPr>
        <w:tab/>
        <w:t>As regards supportive evidence, where there is corroborative evidence supporting the statements of the applicant, this would reinforce the veracity of the statements made.  On the other hand, given the special situation of asylum seekers, they should not be required to produce all necessary evidence.  In particular, it should be recognised that, often, asylum seekers would have fled without their personal documents.  Failure to produce documentary evidence to substantiate oral statements should, therefore not prevent the claim from being accepted if such statements are consistent with known facts and the general credibility of the applicant is good.</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11.</w:t>
      </w:r>
      <w:r w:rsidRPr="001860F1">
        <w:rPr>
          <w:rFonts w:ascii="Book Antiqua" w:hAnsi="Book Antiqua"/>
          <w:sz w:val="16"/>
          <w:szCs w:val="16"/>
        </w:rPr>
        <w:tab/>
        <w:t>In assessing the overall credibility of the applicant’s claim, the Adjudicator should take into account such factors as the reasonableness of the facts alleged, the overall consistency and coherence of the applicant’s story, corroborative evidence adduced by the applicant in support of his/her statements, consistency with common knowledge or generally known facts, and the known situation in the country of origin.  Credibility is established where the applicant has presented a claim which is coherent and plausible, and not contradicting generally known facts, and therefore is, on balance, capable of being believed.</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12.</w:t>
      </w:r>
      <w:r w:rsidRPr="001860F1">
        <w:rPr>
          <w:rFonts w:ascii="Book Antiqua" w:hAnsi="Book Antiqua"/>
          <w:sz w:val="16"/>
          <w:szCs w:val="16"/>
        </w:rPr>
        <w:tab/>
        <w:t>The term ‘benefit of the doubt’ is used in the context of standard of proof relating to the factual assertions made by the applicant.  Given that in refugee claims, there is no necessity for the applicant to prove all facts to such a standard that the Adjudicator is fully convinced that all factual assertions are true, there would normally be an element of doubt in the mind of the Adjudicator as regards the facts asserted by the applicant.  Where the Adjudicator considers that the applicant’s story is on the whole coherent and plausible, any element of doubt should not prejudice the applicant’s claim; that is, the applicant should be given the ‘benefit of the doubt’.</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b/>
          <w:sz w:val="16"/>
          <w:szCs w:val="16"/>
        </w:rPr>
      </w:pPr>
      <w:r w:rsidRPr="001860F1">
        <w:rPr>
          <w:rFonts w:ascii="Book Antiqua" w:hAnsi="Book Antiqua"/>
          <w:b/>
          <w:sz w:val="16"/>
          <w:szCs w:val="16"/>
        </w:rPr>
        <w:t xml:space="preserve">IV.  </w:t>
      </w:r>
      <w:r w:rsidRPr="001860F1">
        <w:rPr>
          <w:rFonts w:ascii="Book Antiqua" w:hAnsi="Book Antiqua"/>
          <w:b/>
          <w:sz w:val="16"/>
          <w:szCs w:val="16"/>
        </w:rPr>
        <w:tab/>
        <w:t>Standard of Proof in Establishing the Well-Foundedness of the Fear of Persecution</w:t>
      </w:r>
    </w:p>
    <w:p w:rsidR="00931CA6" w:rsidRPr="001860F1" w:rsidRDefault="00931CA6" w:rsidP="00271F8A">
      <w:pPr>
        <w:autoSpaceDE w:val="0"/>
        <w:autoSpaceDN w:val="0"/>
        <w:adjustRightInd w:val="0"/>
        <w:ind w:left="2268" w:hanging="567"/>
        <w:jc w:val="both"/>
        <w:rPr>
          <w:rFonts w:ascii="Book Antiqua" w:hAnsi="Book Antiqua"/>
          <w:sz w:val="16"/>
          <w:szCs w:val="16"/>
        </w:rPr>
      </w:pPr>
    </w:p>
    <w:p w:rsidR="00931CA6"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13.</w:t>
      </w:r>
      <w:r w:rsidRPr="001860F1">
        <w:rPr>
          <w:rFonts w:ascii="Book Antiqua" w:hAnsi="Book Antiqua"/>
          <w:sz w:val="16"/>
          <w:szCs w:val="16"/>
        </w:rPr>
        <w:tab/>
        <w:t>The phrase ‘well-founded fear of being persecuted’ is the key phrase of the refugee definition.  Although the expression ‘well-founded fear’ contains two elements, one subjective (fear) and one objective (well-founded), both elements must be evaluated together.</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14.</w:t>
      </w:r>
      <w:r w:rsidRPr="001860F1">
        <w:rPr>
          <w:rFonts w:ascii="Book Antiqua" w:hAnsi="Book Antiqua"/>
          <w:sz w:val="16"/>
          <w:szCs w:val="16"/>
        </w:rPr>
        <w:tab/>
        <w:t>In this context, the term ‘fear’ means that the person believes or anticipates that he/she will be subject to that persecution.  This is established very largely by what the person presents as his/her state of mind on departure.  Normally, the statement of the applicant will be accepted as significant demonstration of the existence of the fear, assuming there are no facts giving rise to serious credibility doubts on the point.  The applicant must, in addition, demonstrate that the fear alleged is well-founded.</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15.</w:t>
      </w:r>
      <w:r w:rsidRPr="001860F1">
        <w:rPr>
          <w:rFonts w:ascii="Book Antiqua" w:hAnsi="Book Antiqua"/>
          <w:sz w:val="16"/>
          <w:szCs w:val="16"/>
        </w:rPr>
        <w:tab/>
        <w:t>The drafting history of the Convention is instructive on this issue.  One of the categories of refugees referred to in Annex 1 of the IRO Constitution, is that of persons who ‘expressed valid objections to returning’ to their countries, ‘valid objection’ being defined as ‘persecution, or fear, based on reasonable grounds of persecution’.  The IRO manual declared that ‘reasonable grounds’ were to be understood as meaning that the applicant has given ‘a plausible and coherent account of why he fears persecution’.  The Ad HocCommittee on Statelessness and Related Problems adopted the expression ‘well-founded fear of persecution’ rather than adhered to the wording of the IRO Constitution.  In commenting on this phrase, in its final report the Ad Hoc Committee stated that ‘well-founded fear’ means that a person can show ‘good reason’ why he fears persecution.</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b/>
          <w:sz w:val="16"/>
          <w:szCs w:val="16"/>
        </w:rPr>
      </w:pPr>
      <w:r w:rsidRPr="001860F1">
        <w:rPr>
          <w:rFonts w:ascii="Book Antiqua" w:hAnsi="Book Antiqua"/>
          <w:b/>
          <w:sz w:val="16"/>
          <w:szCs w:val="16"/>
        </w:rPr>
        <w:t>Threshold</w:t>
      </w:r>
    </w:p>
    <w:p w:rsidR="00931CA6" w:rsidRPr="001860F1" w:rsidRDefault="00931CA6" w:rsidP="00271F8A">
      <w:pPr>
        <w:autoSpaceDE w:val="0"/>
        <w:autoSpaceDN w:val="0"/>
        <w:adjustRightInd w:val="0"/>
        <w:ind w:left="2268"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784501">
        <w:rPr>
          <w:rFonts w:ascii="Book Antiqua" w:hAnsi="Book Antiqua"/>
          <w:sz w:val="20"/>
          <w:szCs w:val="20"/>
        </w:rPr>
        <w:t>16.</w:t>
      </w:r>
      <w:r w:rsidRPr="00784501">
        <w:rPr>
          <w:rFonts w:ascii="Book Antiqua" w:hAnsi="Book Antiqua"/>
          <w:sz w:val="20"/>
          <w:szCs w:val="20"/>
        </w:rPr>
        <w:tab/>
      </w:r>
      <w:r w:rsidRPr="001860F1">
        <w:rPr>
          <w:rFonts w:ascii="Book Antiqua" w:hAnsi="Book Antiqua"/>
          <w:sz w:val="16"/>
          <w:szCs w:val="16"/>
        </w:rPr>
        <w:t>The handbook states that an applicant’s fear of persecution should be considered well-founded if he ‘can establish, to a reasonable degree, that his continued stay in his country of origin has become intolerable...’.</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17.</w:t>
      </w:r>
      <w:r w:rsidRPr="001860F1">
        <w:rPr>
          <w:rFonts w:ascii="Book Antiqua" w:hAnsi="Book Antiqua"/>
          <w:sz w:val="16"/>
          <w:szCs w:val="16"/>
        </w:rPr>
        <w:tab/>
        <w:t>A substantial body of jurisprudence is developed in common law countries on what standard of proof is to be applied in asylum cases to establish well-foundedness.  This jurisprudence largely supports the view that there is no requirement to prove well-foundedness conclusively beyond doubt, or even that persecution is more probable than not.  To establish well-foundedness, persecution must be proved to be reasonably possible.  Attached as an Annex is an overview of some recent jurisprudence, by country.</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b/>
          <w:sz w:val="16"/>
          <w:szCs w:val="16"/>
        </w:rPr>
      </w:pPr>
      <w:r w:rsidRPr="001860F1">
        <w:rPr>
          <w:rFonts w:ascii="Book Antiqua" w:hAnsi="Book Antiqua"/>
          <w:b/>
          <w:sz w:val="16"/>
          <w:szCs w:val="16"/>
        </w:rPr>
        <w:t>Indicators for Assessing Well-Foundedness of Fear</w:t>
      </w:r>
    </w:p>
    <w:p w:rsidR="00931CA6" w:rsidRPr="001860F1" w:rsidRDefault="00931CA6" w:rsidP="00271F8A">
      <w:pPr>
        <w:autoSpaceDE w:val="0"/>
        <w:autoSpaceDN w:val="0"/>
        <w:adjustRightInd w:val="0"/>
        <w:ind w:left="2268"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18.</w:t>
      </w:r>
      <w:r w:rsidRPr="001860F1">
        <w:rPr>
          <w:rFonts w:ascii="Book Antiqua" w:hAnsi="Book Antiqua"/>
          <w:sz w:val="16"/>
          <w:szCs w:val="16"/>
        </w:rPr>
        <w:tab/>
        <w:t>While by nature, an evaluation of risk of persecution is forward looking and therefore inherently somewhat speculative, such an evaluation should be based on factual considerations which take into account the personal circumstances of the applicant as well as the elements relating to the situation in the country of origin.</w:t>
      </w:r>
    </w:p>
    <w:p w:rsidR="00931CA6" w:rsidRPr="001860F1" w:rsidRDefault="00931CA6" w:rsidP="00271F8A">
      <w:pPr>
        <w:autoSpaceDE w:val="0"/>
        <w:autoSpaceDN w:val="0"/>
        <w:adjustRightInd w:val="0"/>
        <w:ind w:left="2835" w:hanging="567"/>
        <w:jc w:val="both"/>
        <w:rPr>
          <w:rFonts w:ascii="Book Antiqua" w:hAnsi="Book Antiqua"/>
          <w:sz w:val="16"/>
          <w:szCs w:val="16"/>
        </w:rPr>
      </w:pPr>
    </w:p>
    <w:p w:rsidR="00931CA6" w:rsidRPr="001860F1" w:rsidRDefault="00931CA6" w:rsidP="00271F8A">
      <w:pPr>
        <w:autoSpaceDE w:val="0"/>
        <w:autoSpaceDN w:val="0"/>
        <w:adjustRightInd w:val="0"/>
        <w:ind w:left="2835" w:hanging="567"/>
        <w:jc w:val="both"/>
        <w:rPr>
          <w:rFonts w:ascii="Book Antiqua" w:hAnsi="Book Antiqua"/>
          <w:sz w:val="16"/>
          <w:szCs w:val="16"/>
        </w:rPr>
      </w:pPr>
      <w:r w:rsidRPr="001860F1">
        <w:rPr>
          <w:rFonts w:ascii="Book Antiqua" w:hAnsi="Book Antiqua"/>
          <w:sz w:val="16"/>
          <w:szCs w:val="16"/>
        </w:rPr>
        <w:t>19.</w:t>
      </w:r>
      <w:r w:rsidRPr="001860F1">
        <w:rPr>
          <w:rFonts w:ascii="Book Antiqua" w:hAnsi="Book Antiqua"/>
          <w:sz w:val="16"/>
          <w:szCs w:val="16"/>
        </w:rPr>
        <w:tab/>
        <w:t>The applicant’s personal circumstances would include his/her background, experiences, personality and any other personal factors which could expose him/her to persecution.  In particular whether the applicant has previously suffered persecution or other forms of mistreatment and the experiences of relatives and friends of the applicant as well as those persons in the same situation as the applicant are relevant factors to be taken into account.  Relevant elements concerning the situation in the country of origin would include general social and political conditions, the country’s human rights situation and records; the country’s legislation; the persecuting agent’s policies or practices, in particular towards persons who are in a similar situation as the applicant, etc.  While past persecution or mistreatment would weigh heavily in favour of a positive assessment of risk of future persecution, its absence is not a decisive factor.   By the same token the fact of past persecution is not necessarily conclusive of the possibility of renewed persecution, particularly where there has been an important change in the conditions in the country of origin.”</w:t>
      </w:r>
    </w:p>
    <w:p w:rsidR="00931CA6" w:rsidRPr="001860F1" w:rsidRDefault="00931CA6" w:rsidP="00271F8A">
      <w:pPr>
        <w:pStyle w:val="FootnoteText"/>
        <w:rPr>
          <w:sz w:val="16"/>
          <w:szCs w:val="16"/>
        </w:rPr>
      </w:pPr>
    </w:p>
  </w:footnote>
  <w:footnote w:id="3">
    <w:p w:rsidR="00931CA6" w:rsidRPr="003A7926" w:rsidRDefault="00931CA6" w:rsidP="00805E3D">
      <w:pPr>
        <w:autoSpaceDE w:val="0"/>
        <w:autoSpaceDN w:val="0"/>
        <w:adjustRightInd w:val="0"/>
        <w:ind w:left="567" w:hanging="567"/>
        <w:jc w:val="both"/>
        <w:rPr>
          <w:rFonts w:ascii="Book Antiqua" w:hAnsi="Book Antiqua"/>
          <w:sz w:val="16"/>
          <w:szCs w:val="16"/>
        </w:rPr>
      </w:pPr>
      <w:r>
        <w:rPr>
          <w:rStyle w:val="FootnoteReference"/>
        </w:rPr>
        <w:footnoteRef/>
      </w:r>
      <w:r w:rsidRPr="003A7926">
        <w:rPr>
          <w:rFonts w:ascii="Book Antiqua" w:hAnsi="Book Antiqua"/>
          <w:sz w:val="16"/>
          <w:szCs w:val="16"/>
        </w:rPr>
        <w:t>.  The headnote of the decision which represents the main body of the decision reads as follows:-</w:t>
      </w:r>
    </w:p>
    <w:p w:rsidR="00931CA6" w:rsidRPr="003A7926" w:rsidRDefault="00931CA6" w:rsidP="00805E3D">
      <w:pPr>
        <w:autoSpaceDE w:val="0"/>
        <w:autoSpaceDN w:val="0"/>
        <w:adjustRightInd w:val="0"/>
        <w:ind w:left="567" w:hanging="567"/>
        <w:jc w:val="both"/>
        <w:rPr>
          <w:rFonts w:ascii="Book Antiqua" w:hAnsi="Book Antiqua"/>
          <w:sz w:val="16"/>
          <w:szCs w:val="16"/>
        </w:rPr>
      </w:pPr>
    </w:p>
    <w:p w:rsidR="00931CA6" w:rsidRPr="003A7926" w:rsidRDefault="00931CA6" w:rsidP="00805E3D">
      <w:pPr>
        <w:ind w:left="1134"/>
        <w:jc w:val="both"/>
        <w:rPr>
          <w:rFonts w:ascii="Book Antiqua" w:hAnsi="Book Antiqua" w:cs="Arial"/>
          <w:i/>
          <w:sz w:val="16"/>
          <w:szCs w:val="16"/>
        </w:rPr>
      </w:pPr>
      <w:r w:rsidRPr="003A7926">
        <w:rPr>
          <w:rFonts w:ascii="Book Antiqua" w:hAnsi="Book Antiqua"/>
          <w:sz w:val="16"/>
          <w:szCs w:val="16"/>
        </w:rPr>
        <w:t>“</w:t>
      </w:r>
      <w:r w:rsidRPr="003A7926">
        <w:rPr>
          <w:rFonts w:ascii="Book Antiqua" w:hAnsi="Book Antiqua" w:cs="Arial"/>
          <w:i/>
          <w:sz w:val="16"/>
          <w:szCs w:val="16"/>
        </w:rPr>
        <w:t>Risk on return to Kabul from the Taliban</w:t>
      </w:r>
    </w:p>
    <w:p w:rsidR="00931CA6" w:rsidRPr="003A7926" w:rsidRDefault="00931CA6" w:rsidP="00805E3D">
      <w:pPr>
        <w:jc w:val="both"/>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A person who is of lower-level interest for the Taliban (i.e. not a senior government or security services official, or a spy) is not at real risk of persecution from the Taliban in Kabul.</w:t>
      </w:r>
    </w:p>
    <w:p w:rsidR="00931CA6" w:rsidRPr="003A7926" w:rsidRDefault="00931CA6" w:rsidP="00805E3D">
      <w:pPr>
        <w:ind w:left="360"/>
        <w:jc w:val="both"/>
        <w:rPr>
          <w:rFonts w:ascii="Book Antiqua" w:hAnsi="Book Antiqua" w:cs="Arial"/>
          <w:i/>
          <w:sz w:val="16"/>
          <w:szCs w:val="16"/>
        </w:rPr>
      </w:pPr>
    </w:p>
    <w:p w:rsidR="00931CA6" w:rsidRPr="003A7926" w:rsidRDefault="00931CA6" w:rsidP="00805E3D">
      <w:pPr>
        <w:ind w:left="1701" w:hanging="567"/>
        <w:jc w:val="both"/>
        <w:rPr>
          <w:rFonts w:ascii="Book Antiqua" w:hAnsi="Book Antiqua" w:cs="Arial"/>
          <w:i/>
          <w:sz w:val="16"/>
          <w:szCs w:val="16"/>
        </w:rPr>
      </w:pPr>
      <w:r w:rsidRPr="003A7926">
        <w:rPr>
          <w:rFonts w:ascii="Book Antiqua" w:hAnsi="Book Antiqua" w:cs="Arial"/>
          <w:i/>
          <w:sz w:val="16"/>
          <w:szCs w:val="16"/>
        </w:rPr>
        <w:t>Internal relocation to Kabul</w:t>
      </w:r>
    </w:p>
    <w:p w:rsidR="00931CA6" w:rsidRPr="003A7926" w:rsidRDefault="00931CA6" w:rsidP="00805E3D">
      <w:pPr>
        <w:jc w:val="both"/>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931CA6" w:rsidRPr="003A7926" w:rsidRDefault="00931CA6" w:rsidP="00805E3D">
      <w:pPr>
        <w:ind w:left="720"/>
        <w:jc w:val="both"/>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931CA6" w:rsidRPr="003A7926" w:rsidRDefault="00931CA6" w:rsidP="00805E3D">
      <w:pPr>
        <w:ind w:left="720"/>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A person with a support network or specific connections in Kabul is likely to be in a more advantageous position on return, which may counter a particular vulnerability of an individual on return.</w:t>
      </w:r>
    </w:p>
    <w:p w:rsidR="00931CA6" w:rsidRPr="003A7926" w:rsidRDefault="00931CA6" w:rsidP="00805E3D">
      <w:pPr>
        <w:ind w:left="360"/>
        <w:jc w:val="both"/>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931CA6" w:rsidRPr="003A7926" w:rsidRDefault="00931CA6" w:rsidP="00805E3D">
      <w:pPr>
        <w:jc w:val="both"/>
        <w:rPr>
          <w:rFonts w:ascii="Book Antiqua" w:hAnsi="Book Antiqua" w:cs="Arial"/>
          <w:i/>
          <w:sz w:val="16"/>
          <w:szCs w:val="16"/>
        </w:rPr>
      </w:pPr>
    </w:p>
    <w:p w:rsidR="00931CA6" w:rsidRPr="003A7926" w:rsidRDefault="00931CA6" w:rsidP="00805E3D">
      <w:pPr>
        <w:ind w:left="1701" w:hanging="567"/>
        <w:jc w:val="both"/>
        <w:rPr>
          <w:rFonts w:ascii="Book Antiqua" w:hAnsi="Book Antiqua" w:cs="Arial"/>
          <w:i/>
          <w:sz w:val="16"/>
          <w:szCs w:val="16"/>
        </w:rPr>
      </w:pPr>
      <w:r w:rsidRPr="003A7926">
        <w:rPr>
          <w:rFonts w:ascii="Book Antiqua" w:hAnsi="Book Antiqua" w:cs="Arial"/>
          <w:i/>
          <w:sz w:val="16"/>
          <w:szCs w:val="16"/>
        </w:rPr>
        <w:t>Previous Country Guidance</w:t>
      </w:r>
    </w:p>
    <w:p w:rsidR="00931CA6" w:rsidRPr="003A7926" w:rsidRDefault="00931CA6" w:rsidP="00805E3D">
      <w:pPr>
        <w:ind w:left="720"/>
        <w:jc w:val="both"/>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 xml:space="preserve">The country guidance in </w:t>
      </w:r>
      <w:r w:rsidRPr="003A7926">
        <w:rPr>
          <w:rFonts w:ascii="Book Antiqua" w:hAnsi="Book Antiqua" w:cs="Arial"/>
          <w:i/>
          <w:sz w:val="16"/>
          <w:szCs w:val="16"/>
          <w:u w:val="single"/>
        </w:rPr>
        <w:t>AK (Article 15(c)) Afghanistan</w:t>
      </w:r>
      <w:r w:rsidRPr="003A7926">
        <w:rPr>
          <w:rFonts w:ascii="Book Antiqua" w:hAnsi="Book Antiqua" w:cs="Arial"/>
          <w:i/>
          <w:sz w:val="16"/>
          <w:szCs w:val="16"/>
        </w:rPr>
        <w:t xml:space="preserve"> CG [2012] UKUT 163 (IAC) in relation to Article 15(c) of the Qualification Directive remains unaffected by this decision.</w:t>
      </w:r>
    </w:p>
    <w:p w:rsidR="00931CA6" w:rsidRPr="003A7926" w:rsidRDefault="00931CA6" w:rsidP="00805E3D">
      <w:pPr>
        <w:ind w:left="720"/>
        <w:jc w:val="both"/>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 xml:space="preserve">The country guidance in </w:t>
      </w:r>
      <w:r w:rsidRPr="003A7926">
        <w:rPr>
          <w:rFonts w:ascii="Book Antiqua" w:hAnsi="Book Antiqua" w:cs="Arial"/>
          <w:i/>
          <w:sz w:val="16"/>
          <w:szCs w:val="16"/>
          <w:u w:val="single"/>
        </w:rPr>
        <w:t>AK (Article 15(c)) Afghanistan</w:t>
      </w:r>
      <w:r w:rsidRPr="003A7926">
        <w:rPr>
          <w:rFonts w:ascii="Book Antiqua" w:hAnsi="Book Antiqua" w:cs="Arial"/>
          <w:i/>
          <w:sz w:val="16"/>
          <w:szCs w:val="16"/>
        </w:rPr>
        <w:t xml:space="preserve"> CG [2012] UKUT 163 (IAC) in relation to the (un)reasonableness of internal relocation to Kabul (and other potential places of internal relocation) for certain categories of women remains unaffected by this decision.</w:t>
      </w:r>
    </w:p>
    <w:p w:rsidR="00931CA6" w:rsidRPr="003A7926" w:rsidRDefault="00931CA6" w:rsidP="00805E3D">
      <w:pPr>
        <w:ind w:left="720"/>
        <w:jc w:val="both"/>
        <w:rPr>
          <w:rFonts w:ascii="Book Antiqua" w:hAnsi="Book Antiqua" w:cs="Arial"/>
          <w:i/>
          <w:sz w:val="16"/>
          <w:szCs w:val="16"/>
        </w:rPr>
      </w:pPr>
    </w:p>
    <w:p w:rsidR="00931CA6" w:rsidRPr="003A7926" w:rsidRDefault="00931CA6" w:rsidP="00805E3D">
      <w:pPr>
        <w:numPr>
          <w:ilvl w:val="0"/>
          <w:numId w:val="1"/>
        </w:numPr>
        <w:ind w:left="1701" w:hanging="567"/>
        <w:jc w:val="both"/>
        <w:rPr>
          <w:rFonts w:ascii="Book Antiqua" w:hAnsi="Book Antiqua" w:cs="Arial"/>
          <w:i/>
          <w:sz w:val="16"/>
          <w:szCs w:val="16"/>
        </w:rPr>
      </w:pPr>
      <w:r w:rsidRPr="003A7926">
        <w:rPr>
          <w:rFonts w:ascii="Book Antiqua" w:hAnsi="Book Antiqua" w:cs="Arial"/>
          <w:i/>
          <w:sz w:val="16"/>
          <w:szCs w:val="16"/>
        </w:rPr>
        <w:t xml:space="preserve">The country guidance in </w:t>
      </w:r>
      <w:r w:rsidRPr="003A7926">
        <w:rPr>
          <w:rFonts w:ascii="Book Antiqua" w:hAnsi="Book Antiqua" w:cs="Arial"/>
          <w:i/>
          <w:sz w:val="16"/>
          <w:szCs w:val="16"/>
          <w:u w:val="single"/>
        </w:rPr>
        <w:t>AA (unattended children) Afghanistan</w:t>
      </w:r>
      <w:r w:rsidRPr="003A7926">
        <w:rPr>
          <w:rFonts w:ascii="Book Antiqua" w:hAnsi="Book Antiqua" w:cs="Arial"/>
          <w:i/>
          <w:sz w:val="16"/>
          <w:szCs w:val="16"/>
        </w:rPr>
        <w:t xml:space="preserve"> CG [2012] UKUT 00016 (IAC) also remains unaffected by this decision.</w:t>
      </w:r>
      <w:r w:rsidRPr="003A7926">
        <w:rPr>
          <w:rFonts w:ascii="Book Antiqua" w:hAnsi="Book Antiqua" w:cs="Arial"/>
          <w:sz w:val="16"/>
          <w:szCs w:val="16"/>
        </w:rPr>
        <w:t>”</w:t>
      </w:r>
    </w:p>
    <w:p w:rsidR="00931CA6" w:rsidRDefault="00931CA6">
      <w:pPr>
        <w:pStyle w:val="FootnoteText"/>
      </w:pPr>
    </w:p>
  </w:footnote>
  <w:footnote w:id="4">
    <w:p w:rsidR="00931CA6" w:rsidRPr="003A7926" w:rsidRDefault="00931CA6" w:rsidP="003A7926">
      <w:pPr>
        <w:autoSpaceDE w:val="0"/>
        <w:autoSpaceDN w:val="0"/>
        <w:adjustRightInd w:val="0"/>
        <w:ind w:left="567" w:hanging="567"/>
        <w:jc w:val="both"/>
        <w:rPr>
          <w:rFonts w:ascii="Book Antiqua" w:hAnsi="Book Antiqua"/>
          <w:sz w:val="16"/>
          <w:szCs w:val="16"/>
        </w:rPr>
      </w:pPr>
      <w:r>
        <w:rPr>
          <w:rStyle w:val="FootnoteReference"/>
        </w:rPr>
        <w:footnoteRef/>
      </w:r>
    </w:p>
    <w:p w:rsidR="00931CA6" w:rsidRPr="003A7926" w:rsidRDefault="00931CA6" w:rsidP="003A7926">
      <w:pPr>
        <w:autoSpaceDE w:val="0"/>
        <w:autoSpaceDN w:val="0"/>
        <w:adjustRightInd w:val="0"/>
        <w:ind w:left="1985" w:hanging="851"/>
        <w:jc w:val="both"/>
        <w:rPr>
          <w:rFonts w:ascii="Book Antiqua" w:hAnsi="Book Antiqua"/>
          <w:sz w:val="16"/>
          <w:szCs w:val="16"/>
        </w:rPr>
      </w:pPr>
      <w:r w:rsidRPr="003A7926">
        <w:rPr>
          <w:rFonts w:ascii="Book Antiqua" w:hAnsi="Book Antiqua"/>
          <w:sz w:val="16"/>
          <w:szCs w:val="16"/>
        </w:rPr>
        <w:t>“230.</w:t>
      </w:r>
      <w:r w:rsidRPr="003A7926">
        <w:rPr>
          <w:rFonts w:ascii="Book Antiqua" w:hAnsi="Book Antiqua"/>
          <w:sz w:val="16"/>
          <w:szCs w:val="16"/>
        </w:rPr>
        <w:tab/>
        <w:t xml:space="preserve">Our findings above show that it is not generally unsafe or unreasonable for a single healthy man to internally relocate to Kabul.  However, we emphasised that case by case consideration of whether internal relocation is reasonable for a particular person is required by Article 8 of the Qualification Directive and domestic authorities including </w:t>
      </w:r>
      <w:r w:rsidRPr="003A7926">
        <w:rPr>
          <w:rFonts w:ascii="Book Antiqua" w:hAnsi="Book Antiqua"/>
          <w:sz w:val="16"/>
          <w:szCs w:val="16"/>
          <w:u w:val="single"/>
        </w:rPr>
        <w:t>Januzi</w:t>
      </w:r>
      <w:r w:rsidRPr="003A7926">
        <w:rPr>
          <w:rFonts w:ascii="Book Antiqua" w:hAnsi="Book Antiqua"/>
          <w:sz w:val="16"/>
          <w:szCs w:val="16"/>
        </w:rPr>
        <w:t xml:space="preserve"> and </w:t>
      </w:r>
      <w:r w:rsidRPr="003A7926">
        <w:rPr>
          <w:rFonts w:ascii="Book Antiqua" w:hAnsi="Book Antiqua"/>
          <w:sz w:val="16"/>
          <w:szCs w:val="16"/>
          <w:u w:val="single"/>
        </w:rPr>
        <w:t>AH</w:t>
      </w:r>
      <w:r w:rsidRPr="003A7926">
        <w:rPr>
          <w:rFonts w:ascii="Book Antiqua" w:hAnsi="Book Antiqua"/>
          <w:sz w:val="16"/>
          <w:szCs w:val="16"/>
        </w:rPr>
        <w:t xml:space="preserve"> (Sudan).  When doing so, we consider that there are a number of specific factors which may be relevant to bear in mind. These include, individually as well as cumulatively (including consideration that the strength one factor may counteract on balance the weakness of another factor):</w:t>
      </w:r>
    </w:p>
    <w:p w:rsidR="00931CA6" w:rsidRPr="003A7926" w:rsidRDefault="00931CA6" w:rsidP="003A7926">
      <w:pPr>
        <w:autoSpaceDE w:val="0"/>
        <w:autoSpaceDN w:val="0"/>
        <w:adjustRightInd w:val="0"/>
        <w:ind w:left="1985" w:hanging="851"/>
        <w:jc w:val="both"/>
        <w:rPr>
          <w:rFonts w:ascii="Book Antiqua" w:hAnsi="Book Antiqua"/>
          <w:sz w:val="16"/>
          <w:szCs w:val="16"/>
        </w:rPr>
      </w:pPr>
    </w:p>
    <w:p w:rsidR="00931CA6" w:rsidRPr="003A7926" w:rsidRDefault="00931CA6" w:rsidP="003A7926">
      <w:pPr>
        <w:autoSpaceDE w:val="0"/>
        <w:autoSpaceDN w:val="0"/>
        <w:adjustRightInd w:val="0"/>
        <w:ind w:left="2552" w:hanging="567"/>
        <w:jc w:val="both"/>
        <w:rPr>
          <w:rFonts w:ascii="Book Antiqua" w:hAnsi="Book Antiqua"/>
          <w:sz w:val="16"/>
          <w:szCs w:val="16"/>
        </w:rPr>
      </w:pPr>
      <w:r w:rsidRPr="003A7926">
        <w:rPr>
          <w:rFonts w:ascii="Book Antiqua" w:hAnsi="Book Antiqua"/>
          <w:sz w:val="16"/>
          <w:szCs w:val="16"/>
        </w:rPr>
        <w:t>(i)</w:t>
      </w:r>
      <w:r w:rsidRPr="003A7926">
        <w:rPr>
          <w:rFonts w:ascii="Book Antiqua" w:hAnsi="Book Antiqua"/>
          <w:sz w:val="16"/>
          <w:szCs w:val="16"/>
        </w:rPr>
        <w:tab/>
        <w:t>Age, including the age at which the person left Afghanistan.</w:t>
      </w:r>
    </w:p>
    <w:p w:rsidR="00931CA6" w:rsidRPr="003A7926" w:rsidRDefault="00931CA6" w:rsidP="003A7926">
      <w:pPr>
        <w:autoSpaceDE w:val="0"/>
        <w:autoSpaceDN w:val="0"/>
        <w:adjustRightInd w:val="0"/>
        <w:ind w:left="2552" w:hanging="567"/>
        <w:jc w:val="both"/>
        <w:rPr>
          <w:rFonts w:ascii="Book Antiqua" w:hAnsi="Book Antiqua"/>
          <w:sz w:val="16"/>
          <w:szCs w:val="16"/>
        </w:rPr>
      </w:pPr>
    </w:p>
    <w:p w:rsidR="00931CA6" w:rsidRPr="003A7926" w:rsidRDefault="00931CA6" w:rsidP="003A7926">
      <w:pPr>
        <w:autoSpaceDE w:val="0"/>
        <w:autoSpaceDN w:val="0"/>
        <w:adjustRightInd w:val="0"/>
        <w:ind w:left="2552" w:hanging="567"/>
        <w:jc w:val="both"/>
        <w:rPr>
          <w:rFonts w:ascii="Book Antiqua" w:hAnsi="Book Antiqua"/>
          <w:sz w:val="16"/>
          <w:szCs w:val="16"/>
        </w:rPr>
      </w:pPr>
      <w:r w:rsidRPr="003A7926">
        <w:rPr>
          <w:rFonts w:ascii="Book Antiqua" w:hAnsi="Book Antiqua"/>
          <w:sz w:val="16"/>
          <w:szCs w:val="16"/>
        </w:rPr>
        <w:t>(ii)</w:t>
      </w:r>
      <w:r w:rsidRPr="003A7926">
        <w:rPr>
          <w:rFonts w:ascii="Book Antiqua" w:hAnsi="Book Antiqua"/>
          <w:sz w:val="16"/>
          <w:szCs w:val="16"/>
        </w:rPr>
        <w:tab/>
        <w:t>Nature and qualify of connections to Kabul and/or Afghanistan.</w:t>
      </w:r>
    </w:p>
    <w:p w:rsidR="00931CA6" w:rsidRPr="003A7926" w:rsidRDefault="00931CA6" w:rsidP="003A7926">
      <w:pPr>
        <w:autoSpaceDE w:val="0"/>
        <w:autoSpaceDN w:val="0"/>
        <w:adjustRightInd w:val="0"/>
        <w:ind w:left="2552" w:hanging="567"/>
        <w:jc w:val="both"/>
        <w:rPr>
          <w:rFonts w:ascii="Book Antiqua" w:hAnsi="Book Antiqua"/>
          <w:sz w:val="16"/>
          <w:szCs w:val="16"/>
        </w:rPr>
      </w:pPr>
    </w:p>
    <w:p w:rsidR="00931CA6" w:rsidRPr="003A7926" w:rsidRDefault="00931CA6" w:rsidP="003A7926">
      <w:pPr>
        <w:autoSpaceDE w:val="0"/>
        <w:autoSpaceDN w:val="0"/>
        <w:adjustRightInd w:val="0"/>
        <w:ind w:left="2552" w:hanging="567"/>
        <w:jc w:val="both"/>
        <w:rPr>
          <w:rFonts w:ascii="Book Antiqua" w:hAnsi="Book Antiqua"/>
          <w:sz w:val="16"/>
          <w:szCs w:val="16"/>
        </w:rPr>
      </w:pPr>
      <w:r w:rsidRPr="003A7926">
        <w:rPr>
          <w:rFonts w:ascii="Book Antiqua" w:hAnsi="Book Antiqua"/>
          <w:sz w:val="16"/>
          <w:szCs w:val="16"/>
        </w:rPr>
        <w:t>(iii)</w:t>
      </w:r>
      <w:r w:rsidRPr="003A7926">
        <w:rPr>
          <w:rFonts w:ascii="Book Antiqua" w:hAnsi="Book Antiqua"/>
          <w:sz w:val="16"/>
          <w:szCs w:val="16"/>
        </w:rPr>
        <w:tab/>
        <w:t>Physical and mental health.</w:t>
      </w:r>
    </w:p>
    <w:p w:rsidR="00931CA6" w:rsidRPr="003A7926" w:rsidRDefault="00931CA6" w:rsidP="003A7926">
      <w:pPr>
        <w:autoSpaceDE w:val="0"/>
        <w:autoSpaceDN w:val="0"/>
        <w:adjustRightInd w:val="0"/>
        <w:ind w:left="2552" w:hanging="567"/>
        <w:jc w:val="both"/>
        <w:rPr>
          <w:rFonts w:ascii="Book Antiqua" w:hAnsi="Book Antiqua"/>
          <w:sz w:val="16"/>
          <w:szCs w:val="16"/>
        </w:rPr>
      </w:pPr>
    </w:p>
    <w:p w:rsidR="00931CA6" w:rsidRPr="003A7926" w:rsidRDefault="00931CA6" w:rsidP="003A7926">
      <w:pPr>
        <w:autoSpaceDE w:val="0"/>
        <w:autoSpaceDN w:val="0"/>
        <w:adjustRightInd w:val="0"/>
        <w:ind w:left="2552" w:hanging="567"/>
        <w:jc w:val="both"/>
        <w:rPr>
          <w:rFonts w:ascii="Book Antiqua" w:hAnsi="Book Antiqua"/>
          <w:sz w:val="16"/>
          <w:szCs w:val="16"/>
        </w:rPr>
      </w:pPr>
      <w:r w:rsidRPr="003A7926">
        <w:rPr>
          <w:rFonts w:ascii="Book Antiqua" w:hAnsi="Book Antiqua"/>
          <w:sz w:val="16"/>
          <w:szCs w:val="16"/>
        </w:rPr>
        <w:t>(iv)Language, education, location and skills.</w:t>
      </w:r>
    </w:p>
    <w:p w:rsidR="00931CA6" w:rsidRPr="003A7926" w:rsidRDefault="00931CA6" w:rsidP="003A7926">
      <w:pPr>
        <w:autoSpaceDE w:val="0"/>
        <w:autoSpaceDN w:val="0"/>
        <w:adjustRightInd w:val="0"/>
        <w:ind w:left="1701" w:hanging="567"/>
        <w:jc w:val="both"/>
        <w:rPr>
          <w:rFonts w:ascii="Book Antiqua" w:hAnsi="Book Antiqua"/>
          <w:sz w:val="16"/>
          <w:szCs w:val="16"/>
        </w:rPr>
      </w:pPr>
    </w:p>
    <w:p w:rsidR="00931CA6" w:rsidRPr="003A7926" w:rsidRDefault="00931CA6" w:rsidP="003A7926">
      <w:pPr>
        <w:autoSpaceDE w:val="0"/>
        <w:autoSpaceDN w:val="0"/>
        <w:adjustRightInd w:val="0"/>
        <w:ind w:left="1701" w:hanging="567"/>
        <w:jc w:val="both"/>
        <w:rPr>
          <w:rFonts w:ascii="Book Antiqua" w:hAnsi="Book Antiqua"/>
          <w:sz w:val="16"/>
          <w:szCs w:val="16"/>
        </w:rPr>
      </w:pPr>
      <w:r w:rsidRPr="003A7926">
        <w:rPr>
          <w:rFonts w:ascii="Book Antiqua" w:hAnsi="Book Antiqua"/>
          <w:sz w:val="16"/>
          <w:szCs w:val="16"/>
        </w:rPr>
        <w:t>231.</w:t>
      </w:r>
      <w:r w:rsidRPr="003A7926">
        <w:rPr>
          <w:rFonts w:ascii="Book Antiqua" w:hAnsi="Book Antiqua"/>
          <w:sz w:val="16"/>
          <w:szCs w:val="16"/>
        </w:rPr>
        <w:tab/>
        <w:t>We consider age as a relevant factor given that we have not seen any reason or evidential basis to depart from specific guidance given in AA (unattended children) Afghanistan CG [2012] UKUT 00016, which was supported in evidence before us as to greater risk to or vulnerability of minors.  There is no bright line rule at the age of 18 when a person in the United Kingdom is considered to be an adult (there are different views as to becoming an adult and in particular as to achieving manhood in Afghan society which is not specifically linked to age but more to marital status) where such issues fall away overnight but are more likely to gradually diminish.</w:t>
      </w:r>
    </w:p>
    <w:p w:rsidR="00931CA6" w:rsidRPr="003A7926" w:rsidRDefault="00931CA6" w:rsidP="003A7926">
      <w:pPr>
        <w:autoSpaceDE w:val="0"/>
        <w:autoSpaceDN w:val="0"/>
        <w:adjustRightInd w:val="0"/>
        <w:ind w:left="1701" w:hanging="567"/>
        <w:jc w:val="both"/>
        <w:rPr>
          <w:rFonts w:ascii="Book Antiqua" w:hAnsi="Book Antiqua"/>
          <w:sz w:val="16"/>
          <w:szCs w:val="16"/>
        </w:rPr>
      </w:pPr>
    </w:p>
    <w:p w:rsidR="00931CA6" w:rsidRPr="003A7926" w:rsidRDefault="00931CA6" w:rsidP="003A7926">
      <w:pPr>
        <w:autoSpaceDE w:val="0"/>
        <w:autoSpaceDN w:val="0"/>
        <w:adjustRightInd w:val="0"/>
        <w:ind w:left="1701" w:hanging="567"/>
        <w:jc w:val="both"/>
        <w:rPr>
          <w:rFonts w:ascii="Book Antiqua" w:hAnsi="Book Antiqua"/>
          <w:sz w:val="16"/>
          <w:szCs w:val="16"/>
        </w:rPr>
      </w:pPr>
      <w:r w:rsidRPr="003A7926">
        <w:rPr>
          <w:rFonts w:ascii="Book Antiqua" w:hAnsi="Book Antiqua"/>
          <w:sz w:val="16"/>
          <w:szCs w:val="16"/>
        </w:rPr>
        <w:t>232.</w:t>
      </w:r>
      <w:r w:rsidRPr="003A7926">
        <w:rPr>
          <w:rFonts w:ascii="Book Antiqua" w:hAnsi="Book Antiqua"/>
          <w:sz w:val="16"/>
          <w:szCs w:val="16"/>
        </w:rPr>
        <w:tab/>
        <w:t>We also consider the age at which a person left Afghanistan to be relevant as to whether this included their formative years.  It is reasonable to infer that the older a person is when they leave, the more likely they are to be familiar with, for example, employment opportunities and living independently.</w:t>
      </w:r>
    </w:p>
    <w:p w:rsidR="00931CA6" w:rsidRPr="003A7926" w:rsidRDefault="00931CA6" w:rsidP="003A7926">
      <w:pPr>
        <w:autoSpaceDE w:val="0"/>
        <w:autoSpaceDN w:val="0"/>
        <w:adjustRightInd w:val="0"/>
        <w:ind w:left="1701" w:hanging="567"/>
        <w:jc w:val="both"/>
        <w:rPr>
          <w:rFonts w:ascii="Book Antiqua" w:hAnsi="Book Antiqua"/>
          <w:sz w:val="16"/>
          <w:szCs w:val="16"/>
        </w:rPr>
      </w:pPr>
    </w:p>
    <w:p w:rsidR="00931CA6" w:rsidRPr="003A7926" w:rsidRDefault="00931CA6" w:rsidP="003A7926">
      <w:pPr>
        <w:autoSpaceDE w:val="0"/>
        <w:autoSpaceDN w:val="0"/>
        <w:adjustRightInd w:val="0"/>
        <w:ind w:left="1701" w:hanging="567"/>
        <w:jc w:val="both"/>
        <w:rPr>
          <w:rFonts w:ascii="Book Antiqua" w:hAnsi="Book Antiqua"/>
          <w:sz w:val="16"/>
          <w:szCs w:val="16"/>
        </w:rPr>
      </w:pPr>
      <w:r w:rsidRPr="003A7926">
        <w:rPr>
          <w:rFonts w:ascii="Book Antiqua" w:hAnsi="Book Antiqua"/>
          <w:sz w:val="16"/>
          <w:szCs w:val="16"/>
        </w:rPr>
        <w:t>233.</w:t>
      </w:r>
      <w:r w:rsidRPr="003A7926">
        <w:rPr>
          <w:rFonts w:ascii="Book Antiqua" w:hAnsi="Book Antiqua"/>
          <w:sz w:val="16"/>
          <w:szCs w:val="16"/>
        </w:rPr>
        <w:tab/>
        <w:t>Although we find that it is reasonable for a person without a support network or specific connections in Kabul or elsewhere in Afghanistan to return and relocate to Kabul, a person will be in a more advantageous position if they do have such connections depending on where they are, financial resources of such people and their status/connections.  We have in mind that the availability of a support network may counter a particular vulnerability of an individual on return.</w:t>
      </w:r>
    </w:p>
    <w:p w:rsidR="00931CA6" w:rsidRPr="003A7926" w:rsidRDefault="00931CA6" w:rsidP="003A7926">
      <w:pPr>
        <w:autoSpaceDE w:val="0"/>
        <w:autoSpaceDN w:val="0"/>
        <w:adjustRightInd w:val="0"/>
        <w:ind w:left="1701" w:hanging="567"/>
        <w:jc w:val="both"/>
        <w:rPr>
          <w:rFonts w:ascii="Book Antiqua" w:hAnsi="Book Antiqua"/>
          <w:sz w:val="16"/>
          <w:szCs w:val="16"/>
        </w:rPr>
      </w:pPr>
    </w:p>
    <w:p w:rsidR="00931CA6" w:rsidRPr="00784501" w:rsidRDefault="00931CA6" w:rsidP="003A7926">
      <w:pPr>
        <w:autoSpaceDE w:val="0"/>
        <w:autoSpaceDN w:val="0"/>
        <w:adjustRightInd w:val="0"/>
        <w:ind w:left="1701" w:hanging="567"/>
        <w:jc w:val="both"/>
        <w:rPr>
          <w:rFonts w:ascii="Book Antiqua" w:hAnsi="Book Antiqua"/>
          <w:sz w:val="20"/>
          <w:szCs w:val="20"/>
        </w:rPr>
      </w:pPr>
      <w:r w:rsidRPr="003A7926">
        <w:rPr>
          <w:rFonts w:ascii="Book Antiqua" w:hAnsi="Book Antiqua"/>
          <w:sz w:val="16"/>
          <w:szCs w:val="16"/>
        </w:rPr>
        <w:t>234.</w:t>
      </w:r>
      <w:r w:rsidRPr="003A7926">
        <w:rPr>
          <w:rFonts w:ascii="Book Antiqua" w:hAnsi="Book Antiqua"/>
          <w:sz w:val="16"/>
          <w:szCs w:val="16"/>
        </w:rPr>
        <w:tab/>
        <w:t>In our conclusions, we refer throughout to a single male in good health as this is the primary group of people under consideration in this appeal and reflects the position of this particular Appellant.  It is uncontroversial that a person who is in good health or fit</w:t>
      </w:r>
      <w:r w:rsidRPr="00784501">
        <w:rPr>
          <w:rFonts w:ascii="Book Antiqua" w:hAnsi="Book Antiqua"/>
          <w:sz w:val="20"/>
          <w:szCs w:val="20"/>
        </w:rPr>
        <w:t xml:space="preserve"> and able is likely to have better employment prospects, particularly given the availability of low or unskilled jobs involving manual labour in Kabul.  We were not provided with any specific evidence as the likely impact of poor physical or mental health on the safety or reasonableness of internal relocation to Kabul but to consider it reasonable to infer that this could be relevant to the issue and the specific situation of the individual would need to be carefully considered.</w:t>
      </w:r>
    </w:p>
    <w:p w:rsidR="00931CA6" w:rsidRPr="00784501" w:rsidRDefault="00931CA6" w:rsidP="003A7926">
      <w:pPr>
        <w:autoSpaceDE w:val="0"/>
        <w:autoSpaceDN w:val="0"/>
        <w:adjustRightInd w:val="0"/>
        <w:ind w:left="1701" w:hanging="567"/>
        <w:jc w:val="both"/>
        <w:rPr>
          <w:rFonts w:ascii="Book Antiqua" w:hAnsi="Book Antiqua"/>
          <w:sz w:val="20"/>
          <w:szCs w:val="20"/>
        </w:rPr>
      </w:pPr>
    </w:p>
    <w:p w:rsidR="00931CA6" w:rsidRPr="00784501" w:rsidRDefault="00931CA6" w:rsidP="003A7926">
      <w:pPr>
        <w:autoSpaceDE w:val="0"/>
        <w:autoSpaceDN w:val="0"/>
        <w:adjustRightInd w:val="0"/>
        <w:ind w:left="1701" w:hanging="567"/>
        <w:jc w:val="both"/>
        <w:rPr>
          <w:rFonts w:ascii="Book Antiqua" w:hAnsi="Book Antiqua"/>
          <w:sz w:val="20"/>
          <w:szCs w:val="20"/>
        </w:rPr>
      </w:pPr>
      <w:r w:rsidRPr="00784501">
        <w:rPr>
          <w:rFonts w:ascii="Book Antiqua" w:hAnsi="Book Antiqua"/>
          <w:sz w:val="20"/>
          <w:szCs w:val="20"/>
        </w:rPr>
        <w:t>235.</w:t>
      </w:r>
      <w:r w:rsidRPr="00784501">
        <w:rPr>
          <w:rFonts w:ascii="Book Antiqua" w:hAnsi="Book Antiqua"/>
          <w:sz w:val="20"/>
          <w:szCs w:val="20"/>
        </w:rPr>
        <w:tab/>
        <w:t>Finally, it is also reasonable to infer that a person who speaks the local language in Kabul would be in a stronger position than a person who does not, and that educational and vocational skills would also strengthen a person’s ability to support himself in Kabul with better employment prospects.”</w:t>
      </w:r>
    </w:p>
    <w:p w:rsidR="00931CA6" w:rsidRDefault="00931CA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A6" w:rsidRPr="000704BB" w:rsidRDefault="00931CA6"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160CCF">
      <w:rPr>
        <w:rFonts w:ascii="Book Antiqua" w:hAnsi="Book Antiqua" w:cs="Arial"/>
        <w:sz w:val="16"/>
        <w:szCs w:val="16"/>
      </w:rPr>
      <w:t>PA/02560/2017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A6EC9"/>
    <w:multiLevelType w:val="hybridMultilevel"/>
    <w:tmpl w:val="25E41A2A"/>
    <w:lvl w:ilvl="0" w:tplc="FDE00E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DC"/>
    <w:rsid w:val="00000621"/>
    <w:rsid w:val="000029BB"/>
    <w:rsid w:val="000036C2"/>
    <w:rsid w:val="00010842"/>
    <w:rsid w:val="00010F1A"/>
    <w:rsid w:val="00033D3D"/>
    <w:rsid w:val="0003512C"/>
    <w:rsid w:val="00051088"/>
    <w:rsid w:val="00061AFB"/>
    <w:rsid w:val="00062F02"/>
    <w:rsid w:val="000641CA"/>
    <w:rsid w:val="000704BB"/>
    <w:rsid w:val="00071A7E"/>
    <w:rsid w:val="00072485"/>
    <w:rsid w:val="000746C0"/>
    <w:rsid w:val="00074D1D"/>
    <w:rsid w:val="00077433"/>
    <w:rsid w:val="00087707"/>
    <w:rsid w:val="00092580"/>
    <w:rsid w:val="00093D4D"/>
    <w:rsid w:val="000A46ED"/>
    <w:rsid w:val="000A55D0"/>
    <w:rsid w:val="000B086E"/>
    <w:rsid w:val="000B0ABD"/>
    <w:rsid w:val="000B18D9"/>
    <w:rsid w:val="000B2E8D"/>
    <w:rsid w:val="000B6967"/>
    <w:rsid w:val="000D442E"/>
    <w:rsid w:val="000D4793"/>
    <w:rsid w:val="000D5D94"/>
    <w:rsid w:val="000D7340"/>
    <w:rsid w:val="000E6D20"/>
    <w:rsid w:val="000F1A0E"/>
    <w:rsid w:val="000F2C04"/>
    <w:rsid w:val="001037B9"/>
    <w:rsid w:val="00111C3A"/>
    <w:rsid w:val="001165A7"/>
    <w:rsid w:val="00120B26"/>
    <w:rsid w:val="00123389"/>
    <w:rsid w:val="001276C7"/>
    <w:rsid w:val="001405B1"/>
    <w:rsid w:val="00140CCC"/>
    <w:rsid w:val="0014162A"/>
    <w:rsid w:val="00150C5F"/>
    <w:rsid w:val="0015508C"/>
    <w:rsid w:val="00160CCF"/>
    <w:rsid w:val="00167D3A"/>
    <w:rsid w:val="001860F1"/>
    <w:rsid w:val="00190911"/>
    <w:rsid w:val="00196530"/>
    <w:rsid w:val="001A08CA"/>
    <w:rsid w:val="001A1C83"/>
    <w:rsid w:val="001A3082"/>
    <w:rsid w:val="001B1031"/>
    <w:rsid w:val="001B186A"/>
    <w:rsid w:val="001B252B"/>
    <w:rsid w:val="001B2F75"/>
    <w:rsid w:val="001B4CCB"/>
    <w:rsid w:val="001C2811"/>
    <w:rsid w:val="001C2D96"/>
    <w:rsid w:val="001C51E5"/>
    <w:rsid w:val="001C5B44"/>
    <w:rsid w:val="001D250C"/>
    <w:rsid w:val="001E77EB"/>
    <w:rsid w:val="001F2716"/>
    <w:rsid w:val="001F4FB6"/>
    <w:rsid w:val="00201309"/>
    <w:rsid w:val="00203FB0"/>
    <w:rsid w:val="00207617"/>
    <w:rsid w:val="00214921"/>
    <w:rsid w:val="00227ED7"/>
    <w:rsid w:val="0023134B"/>
    <w:rsid w:val="002342EC"/>
    <w:rsid w:val="002666E5"/>
    <w:rsid w:val="00271F8A"/>
    <w:rsid w:val="002731FF"/>
    <w:rsid w:val="0028269C"/>
    <w:rsid w:val="00283659"/>
    <w:rsid w:val="002860EA"/>
    <w:rsid w:val="002A77DC"/>
    <w:rsid w:val="002B274C"/>
    <w:rsid w:val="002C5FFA"/>
    <w:rsid w:val="002C6BD4"/>
    <w:rsid w:val="002D3FEF"/>
    <w:rsid w:val="002D4EB4"/>
    <w:rsid w:val="002D5599"/>
    <w:rsid w:val="002D68BF"/>
    <w:rsid w:val="002E0890"/>
    <w:rsid w:val="002E5A58"/>
    <w:rsid w:val="002F6B98"/>
    <w:rsid w:val="00302D2E"/>
    <w:rsid w:val="00317C24"/>
    <w:rsid w:val="00336CBF"/>
    <w:rsid w:val="00343FE3"/>
    <w:rsid w:val="00350C8F"/>
    <w:rsid w:val="003546C8"/>
    <w:rsid w:val="00365479"/>
    <w:rsid w:val="00365F5E"/>
    <w:rsid w:val="00371951"/>
    <w:rsid w:val="0037637E"/>
    <w:rsid w:val="00393C20"/>
    <w:rsid w:val="003A0118"/>
    <w:rsid w:val="003A7926"/>
    <w:rsid w:val="003A7CF2"/>
    <w:rsid w:val="003C5CE5"/>
    <w:rsid w:val="003E267B"/>
    <w:rsid w:val="003E7CD1"/>
    <w:rsid w:val="00402B9E"/>
    <w:rsid w:val="00420712"/>
    <w:rsid w:val="004249CB"/>
    <w:rsid w:val="00425E98"/>
    <w:rsid w:val="004319AE"/>
    <w:rsid w:val="00431A49"/>
    <w:rsid w:val="004359A7"/>
    <w:rsid w:val="0044127D"/>
    <w:rsid w:val="004448DB"/>
    <w:rsid w:val="00446C9A"/>
    <w:rsid w:val="00452F2B"/>
    <w:rsid w:val="00454E77"/>
    <w:rsid w:val="004656B2"/>
    <w:rsid w:val="004762F2"/>
    <w:rsid w:val="00477193"/>
    <w:rsid w:val="004A1848"/>
    <w:rsid w:val="004A1BD0"/>
    <w:rsid w:val="004A4839"/>
    <w:rsid w:val="004A6F4A"/>
    <w:rsid w:val="004E0F3D"/>
    <w:rsid w:val="004E4717"/>
    <w:rsid w:val="004E6347"/>
    <w:rsid w:val="004F5AF4"/>
    <w:rsid w:val="00500942"/>
    <w:rsid w:val="00506A92"/>
    <w:rsid w:val="00507FEC"/>
    <w:rsid w:val="00510F0E"/>
    <w:rsid w:val="00534842"/>
    <w:rsid w:val="00537885"/>
    <w:rsid w:val="005479E1"/>
    <w:rsid w:val="00553E0A"/>
    <w:rsid w:val="005570FD"/>
    <w:rsid w:val="005575EA"/>
    <w:rsid w:val="00563EB8"/>
    <w:rsid w:val="00570A1D"/>
    <w:rsid w:val="005717B3"/>
    <w:rsid w:val="0057790C"/>
    <w:rsid w:val="00582447"/>
    <w:rsid w:val="005839F9"/>
    <w:rsid w:val="00593795"/>
    <w:rsid w:val="005A75FF"/>
    <w:rsid w:val="005D10AB"/>
    <w:rsid w:val="005E4953"/>
    <w:rsid w:val="005E4E00"/>
    <w:rsid w:val="005F66EA"/>
    <w:rsid w:val="00601D8F"/>
    <w:rsid w:val="0060434F"/>
    <w:rsid w:val="00607964"/>
    <w:rsid w:val="006179E9"/>
    <w:rsid w:val="00643BFC"/>
    <w:rsid w:val="00645A79"/>
    <w:rsid w:val="00647D16"/>
    <w:rsid w:val="00652D2C"/>
    <w:rsid w:val="00653E97"/>
    <w:rsid w:val="00656CD0"/>
    <w:rsid w:val="00657B51"/>
    <w:rsid w:val="00660E2E"/>
    <w:rsid w:val="00666A8F"/>
    <w:rsid w:val="00666DA3"/>
    <w:rsid w:val="006701F7"/>
    <w:rsid w:val="00672E79"/>
    <w:rsid w:val="00673326"/>
    <w:rsid w:val="006808C0"/>
    <w:rsid w:val="00684A74"/>
    <w:rsid w:val="006879A5"/>
    <w:rsid w:val="00690B8A"/>
    <w:rsid w:val="00693E18"/>
    <w:rsid w:val="006A65CC"/>
    <w:rsid w:val="006B2909"/>
    <w:rsid w:val="006C6DE2"/>
    <w:rsid w:val="006D13E8"/>
    <w:rsid w:val="006D3965"/>
    <w:rsid w:val="006D6955"/>
    <w:rsid w:val="006F2CF1"/>
    <w:rsid w:val="006F5EA7"/>
    <w:rsid w:val="006F628B"/>
    <w:rsid w:val="007038ED"/>
    <w:rsid w:val="00703BC3"/>
    <w:rsid w:val="00704B61"/>
    <w:rsid w:val="00716C6E"/>
    <w:rsid w:val="00734487"/>
    <w:rsid w:val="007442F4"/>
    <w:rsid w:val="00751891"/>
    <w:rsid w:val="007552A9"/>
    <w:rsid w:val="00761858"/>
    <w:rsid w:val="00767D59"/>
    <w:rsid w:val="00776E97"/>
    <w:rsid w:val="007776C1"/>
    <w:rsid w:val="00780F4E"/>
    <w:rsid w:val="00780F86"/>
    <w:rsid w:val="00784501"/>
    <w:rsid w:val="007912AD"/>
    <w:rsid w:val="00795164"/>
    <w:rsid w:val="00797649"/>
    <w:rsid w:val="007B0824"/>
    <w:rsid w:val="007B5D3C"/>
    <w:rsid w:val="007D10F8"/>
    <w:rsid w:val="007D2F08"/>
    <w:rsid w:val="007E1999"/>
    <w:rsid w:val="007F2A46"/>
    <w:rsid w:val="00802747"/>
    <w:rsid w:val="00804C1E"/>
    <w:rsid w:val="00805E3D"/>
    <w:rsid w:val="00806249"/>
    <w:rsid w:val="00814082"/>
    <w:rsid w:val="0081470D"/>
    <w:rsid w:val="00821B72"/>
    <w:rsid w:val="00823EF2"/>
    <w:rsid w:val="008255BE"/>
    <w:rsid w:val="00826081"/>
    <w:rsid w:val="008303B8"/>
    <w:rsid w:val="00830D98"/>
    <w:rsid w:val="00833DCE"/>
    <w:rsid w:val="0084017A"/>
    <w:rsid w:val="00843018"/>
    <w:rsid w:val="00850C89"/>
    <w:rsid w:val="0085296A"/>
    <w:rsid w:val="00867D58"/>
    <w:rsid w:val="00871D34"/>
    <w:rsid w:val="0087691C"/>
    <w:rsid w:val="008856CB"/>
    <w:rsid w:val="00896F72"/>
    <w:rsid w:val="008B0B8D"/>
    <w:rsid w:val="008B270C"/>
    <w:rsid w:val="008B5078"/>
    <w:rsid w:val="008C3D3D"/>
    <w:rsid w:val="008D00CF"/>
    <w:rsid w:val="008D4131"/>
    <w:rsid w:val="008E31A8"/>
    <w:rsid w:val="008E39AE"/>
    <w:rsid w:val="008E539C"/>
    <w:rsid w:val="008F1932"/>
    <w:rsid w:val="008F6D98"/>
    <w:rsid w:val="009108FB"/>
    <w:rsid w:val="00921062"/>
    <w:rsid w:val="00926331"/>
    <w:rsid w:val="00931CA6"/>
    <w:rsid w:val="0094159D"/>
    <w:rsid w:val="00963D72"/>
    <w:rsid w:val="009652A1"/>
    <w:rsid w:val="009722BC"/>
    <w:rsid w:val="009727A3"/>
    <w:rsid w:val="009732B1"/>
    <w:rsid w:val="0097716D"/>
    <w:rsid w:val="009822C5"/>
    <w:rsid w:val="00983CA0"/>
    <w:rsid w:val="00987774"/>
    <w:rsid w:val="0099709D"/>
    <w:rsid w:val="009A11E8"/>
    <w:rsid w:val="009A314B"/>
    <w:rsid w:val="009D2C36"/>
    <w:rsid w:val="009F0C3E"/>
    <w:rsid w:val="009F5220"/>
    <w:rsid w:val="00A0097C"/>
    <w:rsid w:val="00A06E1F"/>
    <w:rsid w:val="00A12EB5"/>
    <w:rsid w:val="00A1489A"/>
    <w:rsid w:val="00A15234"/>
    <w:rsid w:val="00A201AB"/>
    <w:rsid w:val="00A22F48"/>
    <w:rsid w:val="00A23ABD"/>
    <w:rsid w:val="00A31C8B"/>
    <w:rsid w:val="00A509FA"/>
    <w:rsid w:val="00A66AEF"/>
    <w:rsid w:val="00A71C11"/>
    <w:rsid w:val="00A7453F"/>
    <w:rsid w:val="00A81189"/>
    <w:rsid w:val="00A83A8E"/>
    <w:rsid w:val="00A845DC"/>
    <w:rsid w:val="00A91E77"/>
    <w:rsid w:val="00AA33C3"/>
    <w:rsid w:val="00AA592D"/>
    <w:rsid w:val="00AC00D7"/>
    <w:rsid w:val="00AC4CA0"/>
    <w:rsid w:val="00AC6523"/>
    <w:rsid w:val="00AD69DE"/>
    <w:rsid w:val="00B143C6"/>
    <w:rsid w:val="00B1559C"/>
    <w:rsid w:val="00B254EA"/>
    <w:rsid w:val="00B26AA2"/>
    <w:rsid w:val="00B3524D"/>
    <w:rsid w:val="00B40F69"/>
    <w:rsid w:val="00B46616"/>
    <w:rsid w:val="00B57A89"/>
    <w:rsid w:val="00B7040A"/>
    <w:rsid w:val="00B83391"/>
    <w:rsid w:val="00B86AE6"/>
    <w:rsid w:val="00B917DC"/>
    <w:rsid w:val="00B95326"/>
    <w:rsid w:val="00B959D6"/>
    <w:rsid w:val="00BA1068"/>
    <w:rsid w:val="00BC52CD"/>
    <w:rsid w:val="00BD4196"/>
    <w:rsid w:val="00BD77CC"/>
    <w:rsid w:val="00BF22CA"/>
    <w:rsid w:val="00BF23BB"/>
    <w:rsid w:val="00BF5B58"/>
    <w:rsid w:val="00C217FC"/>
    <w:rsid w:val="00C238D3"/>
    <w:rsid w:val="00C26032"/>
    <w:rsid w:val="00C27E3E"/>
    <w:rsid w:val="00C345E1"/>
    <w:rsid w:val="00C401FF"/>
    <w:rsid w:val="00C43BFD"/>
    <w:rsid w:val="00C62D9A"/>
    <w:rsid w:val="00C7558F"/>
    <w:rsid w:val="00C777CE"/>
    <w:rsid w:val="00C77BDD"/>
    <w:rsid w:val="00C83D23"/>
    <w:rsid w:val="00C84E60"/>
    <w:rsid w:val="00C931B5"/>
    <w:rsid w:val="00CA0034"/>
    <w:rsid w:val="00CA47DE"/>
    <w:rsid w:val="00CB01F7"/>
    <w:rsid w:val="00CB0302"/>
    <w:rsid w:val="00CB4491"/>
    <w:rsid w:val="00CB5342"/>
    <w:rsid w:val="00CB6316"/>
    <w:rsid w:val="00CB6E35"/>
    <w:rsid w:val="00CC0CFF"/>
    <w:rsid w:val="00CD4DF7"/>
    <w:rsid w:val="00CD7C89"/>
    <w:rsid w:val="00CE1A46"/>
    <w:rsid w:val="00CE7336"/>
    <w:rsid w:val="00CF615C"/>
    <w:rsid w:val="00CF61ED"/>
    <w:rsid w:val="00D20757"/>
    <w:rsid w:val="00D22636"/>
    <w:rsid w:val="00D40FD9"/>
    <w:rsid w:val="00D52E7F"/>
    <w:rsid w:val="00D53769"/>
    <w:rsid w:val="00D57ECF"/>
    <w:rsid w:val="00D61B2B"/>
    <w:rsid w:val="00D62151"/>
    <w:rsid w:val="00D72706"/>
    <w:rsid w:val="00D7453D"/>
    <w:rsid w:val="00D74EE9"/>
    <w:rsid w:val="00D843B3"/>
    <w:rsid w:val="00D85C13"/>
    <w:rsid w:val="00D9111A"/>
    <w:rsid w:val="00D91BE3"/>
    <w:rsid w:val="00D94AFC"/>
    <w:rsid w:val="00DA36C6"/>
    <w:rsid w:val="00DB0F06"/>
    <w:rsid w:val="00DB1F83"/>
    <w:rsid w:val="00DB6426"/>
    <w:rsid w:val="00DB70AE"/>
    <w:rsid w:val="00DC1723"/>
    <w:rsid w:val="00DD1A53"/>
    <w:rsid w:val="00DD2AE3"/>
    <w:rsid w:val="00DD2ED9"/>
    <w:rsid w:val="00DD5071"/>
    <w:rsid w:val="00DD5C39"/>
    <w:rsid w:val="00DE3E58"/>
    <w:rsid w:val="00DE5E10"/>
    <w:rsid w:val="00DE695B"/>
    <w:rsid w:val="00DE7DB7"/>
    <w:rsid w:val="00DF5A7C"/>
    <w:rsid w:val="00E00A0A"/>
    <w:rsid w:val="00E024BE"/>
    <w:rsid w:val="00E066DE"/>
    <w:rsid w:val="00E07F57"/>
    <w:rsid w:val="00E207C1"/>
    <w:rsid w:val="00E2255F"/>
    <w:rsid w:val="00E23B8B"/>
    <w:rsid w:val="00E30683"/>
    <w:rsid w:val="00E35051"/>
    <w:rsid w:val="00E373A1"/>
    <w:rsid w:val="00E436C2"/>
    <w:rsid w:val="00E453D8"/>
    <w:rsid w:val="00E4781E"/>
    <w:rsid w:val="00E50B40"/>
    <w:rsid w:val="00E50BCE"/>
    <w:rsid w:val="00E511E7"/>
    <w:rsid w:val="00E574BF"/>
    <w:rsid w:val="00E61292"/>
    <w:rsid w:val="00E637DE"/>
    <w:rsid w:val="00E77C4D"/>
    <w:rsid w:val="00E81D01"/>
    <w:rsid w:val="00EA5F79"/>
    <w:rsid w:val="00EB0A7A"/>
    <w:rsid w:val="00EB4DDE"/>
    <w:rsid w:val="00EC2597"/>
    <w:rsid w:val="00EC4889"/>
    <w:rsid w:val="00ED175C"/>
    <w:rsid w:val="00ED32FD"/>
    <w:rsid w:val="00ED3EE8"/>
    <w:rsid w:val="00ED49E2"/>
    <w:rsid w:val="00EE1F55"/>
    <w:rsid w:val="00EE45D8"/>
    <w:rsid w:val="00EF7627"/>
    <w:rsid w:val="00F22EDA"/>
    <w:rsid w:val="00F27119"/>
    <w:rsid w:val="00F34BE2"/>
    <w:rsid w:val="00F37B72"/>
    <w:rsid w:val="00F558DA"/>
    <w:rsid w:val="00F62745"/>
    <w:rsid w:val="00F65C9E"/>
    <w:rsid w:val="00F660BE"/>
    <w:rsid w:val="00F72FA8"/>
    <w:rsid w:val="00F73E74"/>
    <w:rsid w:val="00FA6FE5"/>
    <w:rsid w:val="00FB15A4"/>
    <w:rsid w:val="00FB24D9"/>
    <w:rsid w:val="00FB25B9"/>
    <w:rsid w:val="00FB3961"/>
    <w:rsid w:val="00FD021A"/>
    <w:rsid w:val="00FD158E"/>
    <w:rsid w:val="00FD31DC"/>
    <w:rsid w:val="00FE20AF"/>
    <w:rsid w:val="00FF59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5051"/>
    <w:rPr>
      <w:sz w:val="24"/>
      <w:szCs w:val="24"/>
    </w:rPr>
  </w:style>
  <w:style w:type="paragraph" w:styleId="Heading1">
    <w:name w:val="heading 1"/>
    <w:basedOn w:val="Normal"/>
    <w:link w:val="Heading1Char"/>
    <w:uiPriority w:val="9"/>
    <w:qFormat/>
    <w:rsid w:val="00B57A8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uiPriority w:val="99"/>
    <w:rsid w:val="00B95326"/>
    <w:rPr>
      <w:color w:val="0000FF"/>
      <w:u w:val="single"/>
    </w:rPr>
  </w:style>
  <w:style w:type="paragraph" w:styleId="ListParagraph">
    <w:name w:val="List Paragraph"/>
    <w:basedOn w:val="Normal"/>
    <w:uiPriority w:val="34"/>
    <w:qFormat/>
    <w:rsid w:val="00420712"/>
    <w:pPr>
      <w:spacing w:before="100" w:beforeAutospacing="1" w:after="100" w:afterAutospacing="1"/>
    </w:pPr>
  </w:style>
  <w:style w:type="paragraph" w:customStyle="1" w:styleId="Default">
    <w:name w:val="Default"/>
    <w:rsid w:val="00AC6523"/>
    <w:pPr>
      <w:autoSpaceDE w:val="0"/>
      <w:autoSpaceDN w:val="0"/>
      <w:adjustRightInd w:val="0"/>
    </w:pPr>
    <w:rPr>
      <w:color w:val="000000"/>
      <w:sz w:val="24"/>
      <w:szCs w:val="24"/>
    </w:rPr>
  </w:style>
  <w:style w:type="paragraph" w:styleId="FootnoteText">
    <w:name w:val="footnote text"/>
    <w:basedOn w:val="Normal"/>
    <w:link w:val="FootnoteTextChar"/>
    <w:rsid w:val="003A7926"/>
    <w:rPr>
      <w:sz w:val="20"/>
      <w:szCs w:val="20"/>
    </w:rPr>
  </w:style>
  <w:style w:type="character" w:customStyle="1" w:styleId="FootnoteTextChar">
    <w:name w:val="Footnote Text Char"/>
    <w:basedOn w:val="DefaultParagraphFont"/>
    <w:link w:val="FootnoteText"/>
    <w:rsid w:val="003A7926"/>
  </w:style>
  <w:style w:type="character" w:styleId="FootnoteReference">
    <w:name w:val="footnote reference"/>
    <w:basedOn w:val="DefaultParagraphFont"/>
    <w:rsid w:val="003A7926"/>
    <w:rPr>
      <w:vertAlign w:val="superscript"/>
    </w:rPr>
  </w:style>
  <w:style w:type="character" w:styleId="CommentReference">
    <w:name w:val="annotation reference"/>
    <w:basedOn w:val="DefaultParagraphFont"/>
    <w:rsid w:val="00804C1E"/>
    <w:rPr>
      <w:sz w:val="16"/>
      <w:szCs w:val="16"/>
    </w:rPr>
  </w:style>
  <w:style w:type="paragraph" w:styleId="CommentText">
    <w:name w:val="annotation text"/>
    <w:basedOn w:val="Normal"/>
    <w:link w:val="CommentTextChar"/>
    <w:rsid w:val="00804C1E"/>
    <w:rPr>
      <w:sz w:val="20"/>
      <w:szCs w:val="20"/>
    </w:rPr>
  </w:style>
  <w:style w:type="character" w:customStyle="1" w:styleId="CommentTextChar">
    <w:name w:val="Comment Text Char"/>
    <w:basedOn w:val="DefaultParagraphFont"/>
    <w:link w:val="CommentText"/>
    <w:rsid w:val="00804C1E"/>
  </w:style>
  <w:style w:type="paragraph" w:styleId="CommentSubject">
    <w:name w:val="annotation subject"/>
    <w:basedOn w:val="CommentText"/>
    <w:next w:val="CommentText"/>
    <w:link w:val="CommentSubjectChar"/>
    <w:rsid w:val="00804C1E"/>
    <w:rPr>
      <w:b/>
      <w:bCs/>
    </w:rPr>
  </w:style>
  <w:style w:type="character" w:customStyle="1" w:styleId="CommentSubjectChar">
    <w:name w:val="Comment Subject Char"/>
    <w:basedOn w:val="CommentTextChar"/>
    <w:link w:val="CommentSubject"/>
    <w:rsid w:val="00804C1E"/>
    <w:rPr>
      <w:b/>
      <w:bCs/>
    </w:rPr>
  </w:style>
  <w:style w:type="character" w:customStyle="1" w:styleId="Heading1Char">
    <w:name w:val="Heading 1 Char"/>
    <w:basedOn w:val="DefaultParagraphFont"/>
    <w:link w:val="Heading1"/>
    <w:uiPriority w:val="9"/>
    <w:rsid w:val="00B57A89"/>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738">
      <w:bodyDiv w:val="1"/>
      <w:marLeft w:val="0"/>
      <w:marRight w:val="0"/>
      <w:marTop w:val="0"/>
      <w:marBottom w:val="0"/>
      <w:divBdr>
        <w:top w:val="none" w:sz="0" w:space="0" w:color="auto"/>
        <w:left w:val="none" w:sz="0" w:space="0" w:color="auto"/>
        <w:bottom w:val="none" w:sz="0" w:space="0" w:color="auto"/>
        <w:right w:val="none" w:sz="0" w:space="0" w:color="auto"/>
      </w:divBdr>
    </w:div>
    <w:div w:id="57882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ilii.org/eu/cases/ECHR/2008/45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5B5C3-6A0D-482E-B3EF-D630914F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8046</Words>
  <Characters>39593</Characters>
  <Application>Microsoft Office Word</Application>
  <DocSecurity>0</DocSecurity>
  <Lines>329</Lines>
  <Paragraphs>95</Paragraphs>
  <ScaleCrop>false</ScaleCrop>
  <Company/>
  <LinksUpToDate>false</LinksUpToDate>
  <CharactersWithSpaces>47544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2018-08-24T14:43:00Z</dcterms:created>
  <dcterms:modified xsi:type="dcterms:W3CDTF">2018-08-24T14:43:00Z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