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00C2E" w14:textId="1E4D9FD6" w:rsidR="00AD5A10" w:rsidRPr="00440E77" w:rsidRDefault="006E715B" w:rsidP="00315F69">
      <w:pPr>
        <w:jc w:val="center"/>
        <w:rPr>
          <w:rFonts w:ascii="Book Antiqua" w:hAnsi="Book Antiqua" w:cs="Arial"/>
          <w:color w:val="000000"/>
          <w:sz w:val="16"/>
          <w:szCs w:val="16"/>
        </w:rPr>
      </w:pPr>
      <w:r w:rsidRPr="00440E77">
        <w:rPr>
          <w:noProof/>
          <w:sz w:val="16"/>
          <w:szCs w:val="16"/>
        </w:rPr>
        <w:drawing>
          <wp:inline distT="0" distB="0" distL="0" distR="0" wp14:anchorId="7BD329AE" wp14:editId="3BE38C36">
            <wp:extent cx="1492250" cy="11366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92250" cy="1136650"/>
                    </a:xfrm>
                    <a:prstGeom prst="rect">
                      <a:avLst/>
                    </a:prstGeom>
                    <a:noFill/>
                    <a:ln>
                      <a:noFill/>
                    </a:ln>
                  </pic:spPr>
                </pic:pic>
              </a:graphicData>
            </a:graphic>
          </wp:inline>
        </w:drawing>
      </w:r>
    </w:p>
    <w:p w14:paraId="22F99555" w14:textId="77777777" w:rsidR="00315F69" w:rsidRPr="00440E77" w:rsidRDefault="00315F69" w:rsidP="00315F69">
      <w:pPr>
        <w:jc w:val="center"/>
        <w:rPr>
          <w:rFonts w:ascii="Book Antiqua" w:hAnsi="Book Antiqua" w:cs="Arial"/>
          <w:color w:val="000000"/>
          <w:sz w:val="16"/>
          <w:szCs w:val="16"/>
        </w:rPr>
      </w:pPr>
    </w:p>
    <w:p w14:paraId="30101BE6" w14:textId="05B172E4" w:rsidR="00AD5A10" w:rsidRPr="00F97703" w:rsidRDefault="00AD5A10" w:rsidP="00315F69">
      <w:pPr>
        <w:tabs>
          <w:tab w:val="right" w:pos="9720"/>
        </w:tabs>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w:t>
      </w:r>
      <w:r w:rsidR="00E16D68">
        <w:rPr>
          <w:rFonts w:ascii="Book Antiqua" w:hAnsi="Book Antiqua" w:cs="Arial"/>
          <w:b/>
          <w:color w:val="000000"/>
        </w:rPr>
        <w:t>Tribunal</w:t>
      </w:r>
      <w:r w:rsidRPr="00F97703">
        <w:rPr>
          <w:rFonts w:ascii="Book Antiqua" w:hAnsi="Book Antiqua" w:cs="Arial"/>
          <w:b/>
          <w:color w:val="000000"/>
        </w:rPr>
        <w:t xml:space="preserve"> </w:t>
      </w:r>
    </w:p>
    <w:p w14:paraId="750B2290" w14:textId="51EE251E" w:rsidR="00AD5A10" w:rsidRDefault="00AD5A10" w:rsidP="00315F69">
      <w:pPr>
        <w:tabs>
          <w:tab w:val="right" w:pos="9720"/>
        </w:tabs>
        <w:rPr>
          <w:rFonts w:ascii="Book Antiqua" w:hAnsi="Book Antiqua" w:cs="Arial"/>
          <w:caps/>
          <w:color w:val="000000"/>
        </w:rPr>
      </w:pPr>
      <w:r w:rsidRPr="00F97703">
        <w:rPr>
          <w:rFonts w:ascii="Book Antiqua" w:hAnsi="Book Antiqua" w:cs="Arial"/>
          <w:b/>
          <w:color w:val="000000"/>
        </w:rPr>
        <w:t>(Immigration and Asylum Chamber)</w:t>
      </w:r>
      <w:r w:rsidRPr="00F97703">
        <w:rPr>
          <w:rFonts w:ascii="Book Antiqua" w:hAnsi="Book Antiqua" w:cs="Arial"/>
          <w:b/>
          <w:color w:val="000000"/>
        </w:rPr>
        <w:tab/>
      </w:r>
      <w:r w:rsidRPr="00F97703">
        <w:rPr>
          <w:rFonts w:ascii="Book Antiqua" w:hAnsi="Book Antiqua" w:cs="Arial"/>
          <w:color w:val="000000"/>
        </w:rPr>
        <w:t xml:space="preserve">Appeal Number: </w:t>
      </w:r>
      <w:bookmarkStart w:id="0" w:name="_GoBack"/>
      <w:r w:rsidR="00895E0F">
        <w:rPr>
          <w:rFonts w:ascii="Book Antiqua" w:hAnsi="Book Antiqua" w:cs="Arial"/>
          <w:color w:val="000000"/>
        </w:rPr>
        <w:t>PA</w:t>
      </w:r>
      <w:r>
        <w:rPr>
          <w:rFonts w:ascii="Book Antiqua" w:hAnsi="Book Antiqua" w:cs="Arial"/>
          <w:caps/>
          <w:color w:val="000000"/>
        </w:rPr>
        <w:t>/</w:t>
      </w:r>
      <w:r w:rsidR="003E7EC9">
        <w:rPr>
          <w:rFonts w:ascii="Book Antiqua" w:hAnsi="Book Antiqua" w:cs="Arial"/>
          <w:caps/>
          <w:color w:val="000000"/>
        </w:rPr>
        <w:t>0</w:t>
      </w:r>
      <w:r w:rsidR="007B26F8">
        <w:rPr>
          <w:rFonts w:ascii="Book Antiqua" w:hAnsi="Book Antiqua" w:cs="Arial"/>
          <w:caps/>
          <w:color w:val="000000"/>
        </w:rPr>
        <w:t>2567</w:t>
      </w:r>
      <w:r>
        <w:rPr>
          <w:rFonts w:ascii="Book Antiqua" w:hAnsi="Book Antiqua" w:cs="Arial"/>
          <w:caps/>
          <w:color w:val="000000"/>
        </w:rPr>
        <w:t>/20</w:t>
      </w:r>
      <w:r w:rsidR="000B2181">
        <w:rPr>
          <w:rFonts w:ascii="Book Antiqua" w:hAnsi="Book Antiqua" w:cs="Arial"/>
          <w:caps/>
          <w:color w:val="000000"/>
        </w:rPr>
        <w:t>1</w:t>
      </w:r>
      <w:r w:rsidR="00895E0F">
        <w:rPr>
          <w:rFonts w:ascii="Book Antiqua" w:hAnsi="Book Antiqua" w:cs="Arial"/>
          <w:caps/>
          <w:color w:val="000000"/>
        </w:rPr>
        <w:t>7</w:t>
      </w:r>
      <w:bookmarkEnd w:id="0"/>
    </w:p>
    <w:p w14:paraId="4739F09D" w14:textId="0F704409" w:rsidR="00AD5A10" w:rsidRPr="00440E77" w:rsidRDefault="00AD5A10" w:rsidP="00315F69">
      <w:pPr>
        <w:jc w:val="center"/>
        <w:rPr>
          <w:rFonts w:ascii="Book Antiqua" w:hAnsi="Book Antiqua" w:cs="Arial"/>
          <w:color w:val="000000"/>
        </w:rPr>
      </w:pPr>
    </w:p>
    <w:p w14:paraId="60EEC70A" w14:textId="77777777" w:rsidR="00440E77" w:rsidRPr="00440E77" w:rsidRDefault="00440E77" w:rsidP="00315F69">
      <w:pPr>
        <w:jc w:val="center"/>
        <w:rPr>
          <w:rFonts w:ascii="Book Antiqua" w:hAnsi="Book Antiqua" w:cs="Arial"/>
          <w:color w:val="000000"/>
        </w:rPr>
      </w:pPr>
    </w:p>
    <w:p w14:paraId="1F9ABB53" w14:textId="77777777" w:rsidR="00AD5A10" w:rsidRPr="00440E77" w:rsidRDefault="00AD5A10" w:rsidP="00315F69">
      <w:pPr>
        <w:jc w:val="center"/>
        <w:outlineLvl w:val="0"/>
        <w:rPr>
          <w:rFonts w:ascii="Book Antiqua" w:hAnsi="Book Antiqua" w:cs="Arial"/>
          <w:b/>
          <w:color w:val="000000"/>
          <w:u w:val="single"/>
        </w:rPr>
      </w:pPr>
      <w:r w:rsidRPr="00440E77">
        <w:rPr>
          <w:rFonts w:ascii="Book Antiqua" w:hAnsi="Book Antiqua" w:cs="Arial"/>
          <w:b/>
          <w:color w:val="000000"/>
          <w:u w:val="single"/>
        </w:rPr>
        <w:t>THE IMMIGRATION ACTS</w:t>
      </w:r>
    </w:p>
    <w:p w14:paraId="44FB0300" w14:textId="56753D30" w:rsidR="00AD5A10" w:rsidRPr="00440E77" w:rsidRDefault="00AD5A10" w:rsidP="00315F69">
      <w:pPr>
        <w:jc w:val="center"/>
        <w:rPr>
          <w:rFonts w:ascii="Book Antiqua" w:hAnsi="Book Antiqua" w:cs="Arial"/>
          <w:b/>
          <w:u w:val="single"/>
        </w:rPr>
      </w:pPr>
    </w:p>
    <w:p w14:paraId="6AB94BF4" w14:textId="77777777" w:rsidR="00440E77" w:rsidRPr="00440E77" w:rsidRDefault="00440E77" w:rsidP="00315F69">
      <w:pPr>
        <w:jc w:val="center"/>
        <w:rPr>
          <w:rFonts w:ascii="Book Antiqua" w:hAnsi="Book Antiqua" w:cs="Arial"/>
          <w:b/>
          <w:u w:val="single"/>
        </w:rPr>
      </w:pPr>
    </w:p>
    <w:tbl>
      <w:tblPr>
        <w:tblW w:w="5000" w:type="pct"/>
        <w:tblLook w:val="01E0" w:firstRow="1" w:lastRow="1" w:firstColumn="1" w:lastColumn="1" w:noHBand="0" w:noVBand="0"/>
      </w:tblPr>
      <w:tblGrid>
        <w:gridCol w:w="4156"/>
        <w:gridCol w:w="580"/>
        <w:gridCol w:w="3576"/>
      </w:tblGrid>
      <w:tr w:rsidR="00AD5A10" w:rsidRPr="00F46318" w14:paraId="29172463" w14:textId="77777777" w:rsidTr="00315F69">
        <w:tc>
          <w:tcPr>
            <w:tcW w:w="2500" w:type="pct"/>
            <w:shd w:val="clear" w:color="auto" w:fill="auto"/>
          </w:tcPr>
          <w:p w14:paraId="6CAEDDF4" w14:textId="651F930C" w:rsidR="00AD5A10" w:rsidRPr="00F46318" w:rsidRDefault="006E715B" w:rsidP="00315F69">
            <w:pPr>
              <w:rPr>
                <w:rFonts w:ascii="Book Antiqua" w:hAnsi="Book Antiqua" w:cs="Arial"/>
                <w:b/>
              </w:rPr>
            </w:pPr>
            <w:r>
              <w:rPr>
                <w:rFonts w:ascii="Book Antiqua" w:hAnsi="Book Antiqua" w:cs="Arial"/>
                <w:b/>
              </w:rPr>
              <w:t xml:space="preserve">Heard at: </w:t>
            </w:r>
            <w:r w:rsidR="001F7017" w:rsidRPr="00F46318">
              <w:rPr>
                <w:rFonts w:ascii="Book Antiqua" w:hAnsi="Book Antiqua" w:cs="Arial"/>
                <w:b/>
              </w:rPr>
              <w:t>Columbus</w:t>
            </w:r>
            <w:r w:rsidR="006C1B59" w:rsidRPr="00F46318">
              <w:rPr>
                <w:rFonts w:ascii="Book Antiqua" w:hAnsi="Book Antiqua" w:cs="Arial"/>
                <w:b/>
              </w:rPr>
              <w:t xml:space="preserve"> House</w:t>
            </w:r>
            <w:r w:rsidR="001F7017" w:rsidRPr="00F46318">
              <w:rPr>
                <w:rFonts w:ascii="Book Antiqua" w:hAnsi="Book Antiqua" w:cs="Arial"/>
                <w:b/>
              </w:rPr>
              <w:t>, Newport</w:t>
            </w:r>
          </w:p>
        </w:tc>
        <w:tc>
          <w:tcPr>
            <w:tcW w:w="2500" w:type="pct"/>
            <w:gridSpan w:val="2"/>
            <w:shd w:val="clear" w:color="auto" w:fill="auto"/>
          </w:tcPr>
          <w:p w14:paraId="0B85DA5F" w14:textId="15546A69" w:rsidR="00AD5A10" w:rsidRPr="00F46318" w:rsidRDefault="00AD5A10" w:rsidP="00315F69">
            <w:pPr>
              <w:jc w:val="right"/>
              <w:rPr>
                <w:rFonts w:ascii="Book Antiqua" w:hAnsi="Book Antiqua" w:cs="Arial"/>
                <w:b/>
                <w:color w:val="000000"/>
              </w:rPr>
            </w:pPr>
            <w:r w:rsidRPr="00F46318">
              <w:rPr>
                <w:rFonts w:ascii="Book Antiqua" w:hAnsi="Book Antiqua" w:cs="Arial"/>
                <w:b/>
                <w:color w:val="000000"/>
              </w:rPr>
              <w:t>De</w:t>
            </w:r>
            <w:r w:rsidR="006E715B">
              <w:rPr>
                <w:rFonts w:ascii="Book Antiqua" w:hAnsi="Book Antiqua" w:cs="Arial"/>
                <w:b/>
                <w:color w:val="000000"/>
              </w:rPr>
              <w:t>cision and Reasons</w:t>
            </w:r>
            <w:r w:rsidRPr="00F46318">
              <w:rPr>
                <w:rFonts w:ascii="Book Antiqua" w:hAnsi="Book Antiqua" w:cs="Arial"/>
                <w:b/>
                <w:color w:val="000000"/>
              </w:rPr>
              <w:t xml:space="preserve"> Promulgated</w:t>
            </w:r>
          </w:p>
        </w:tc>
      </w:tr>
      <w:tr w:rsidR="00AD5A10" w:rsidRPr="00F46318" w14:paraId="7F3F941A" w14:textId="77777777" w:rsidTr="00315F69">
        <w:tc>
          <w:tcPr>
            <w:tcW w:w="2500" w:type="pct"/>
            <w:shd w:val="clear" w:color="auto" w:fill="auto"/>
          </w:tcPr>
          <w:p w14:paraId="77DBB471" w14:textId="79EE21CA" w:rsidR="00AD5A10" w:rsidRPr="00F46318" w:rsidRDefault="006E715B" w:rsidP="00315F69">
            <w:pPr>
              <w:rPr>
                <w:rFonts w:ascii="Book Antiqua" w:hAnsi="Book Antiqua" w:cs="Arial"/>
                <w:b/>
              </w:rPr>
            </w:pPr>
            <w:r>
              <w:rPr>
                <w:rFonts w:ascii="Book Antiqua" w:hAnsi="Book Antiqua" w:cs="Arial"/>
                <w:b/>
              </w:rPr>
              <w:t xml:space="preserve">On: </w:t>
            </w:r>
            <w:r w:rsidR="00B604B5">
              <w:rPr>
                <w:rFonts w:ascii="Book Antiqua" w:hAnsi="Book Antiqua" w:cs="Arial"/>
                <w:b/>
              </w:rPr>
              <w:t>25 May</w:t>
            </w:r>
            <w:r w:rsidR="00FF2CFB">
              <w:rPr>
                <w:rFonts w:ascii="Book Antiqua" w:hAnsi="Book Antiqua" w:cs="Arial"/>
                <w:b/>
              </w:rPr>
              <w:t xml:space="preserve"> 2018</w:t>
            </w:r>
          </w:p>
        </w:tc>
        <w:tc>
          <w:tcPr>
            <w:tcW w:w="2500" w:type="pct"/>
            <w:gridSpan w:val="2"/>
            <w:shd w:val="clear" w:color="auto" w:fill="auto"/>
          </w:tcPr>
          <w:p w14:paraId="42A64205" w14:textId="7FE50758" w:rsidR="00AD5A10" w:rsidRPr="00F46318" w:rsidRDefault="006E715B" w:rsidP="00315F69">
            <w:pPr>
              <w:jc w:val="right"/>
              <w:rPr>
                <w:rFonts w:ascii="Book Antiqua" w:hAnsi="Book Antiqua" w:cs="Arial"/>
                <w:b/>
              </w:rPr>
            </w:pPr>
            <w:r>
              <w:rPr>
                <w:rFonts w:ascii="Book Antiqua" w:hAnsi="Book Antiqua" w:cs="Arial"/>
                <w:b/>
              </w:rPr>
              <w:t xml:space="preserve">On: 01 August 2018 </w:t>
            </w:r>
          </w:p>
        </w:tc>
      </w:tr>
      <w:tr w:rsidR="006E715B" w:rsidRPr="00F46318" w14:paraId="25083F1A" w14:textId="77777777" w:rsidTr="00315F69">
        <w:trPr>
          <w:gridAfter w:val="1"/>
          <w:wAfter w:w="2151" w:type="pct"/>
        </w:trPr>
        <w:tc>
          <w:tcPr>
            <w:tcW w:w="2849" w:type="pct"/>
            <w:gridSpan w:val="2"/>
            <w:shd w:val="clear" w:color="auto" w:fill="auto"/>
          </w:tcPr>
          <w:p w14:paraId="4521A4ED" w14:textId="77777777" w:rsidR="006E715B" w:rsidRPr="00F46318" w:rsidRDefault="006E715B" w:rsidP="00315F69">
            <w:pPr>
              <w:rPr>
                <w:rFonts w:ascii="Book Antiqua" w:hAnsi="Book Antiqua" w:cs="Arial"/>
                <w:b/>
              </w:rPr>
            </w:pPr>
          </w:p>
        </w:tc>
      </w:tr>
    </w:tbl>
    <w:p w14:paraId="48697F11" w14:textId="77777777" w:rsidR="00AD5A10" w:rsidRPr="00F97703" w:rsidRDefault="00AD5A10" w:rsidP="00315F69">
      <w:pPr>
        <w:jc w:val="center"/>
        <w:rPr>
          <w:rFonts w:ascii="Book Antiqua" w:hAnsi="Book Antiqua" w:cs="Arial"/>
        </w:rPr>
      </w:pPr>
    </w:p>
    <w:p w14:paraId="123C98FA" w14:textId="77777777" w:rsidR="00AD5A10" w:rsidRDefault="00AD5A10" w:rsidP="00315F69">
      <w:pPr>
        <w:jc w:val="center"/>
        <w:outlineLvl w:val="0"/>
        <w:rPr>
          <w:rFonts w:ascii="Book Antiqua" w:hAnsi="Book Antiqua" w:cs="Arial"/>
          <w:b/>
        </w:rPr>
      </w:pPr>
      <w:r w:rsidRPr="00F97703">
        <w:rPr>
          <w:rFonts w:ascii="Book Antiqua" w:hAnsi="Book Antiqua" w:cs="Arial"/>
          <w:b/>
        </w:rPr>
        <w:t>Before</w:t>
      </w:r>
    </w:p>
    <w:p w14:paraId="39C57494" w14:textId="77777777" w:rsidR="00D9237F" w:rsidRDefault="00D9237F" w:rsidP="00315F69">
      <w:pPr>
        <w:jc w:val="center"/>
        <w:outlineLvl w:val="0"/>
        <w:rPr>
          <w:rFonts w:ascii="Book Antiqua" w:hAnsi="Book Antiqua" w:cs="Arial"/>
          <w:b/>
        </w:rPr>
      </w:pPr>
    </w:p>
    <w:p w14:paraId="67162FB9" w14:textId="54608696" w:rsidR="00AD5A10" w:rsidRDefault="00560709" w:rsidP="00315F69">
      <w:pPr>
        <w:jc w:val="center"/>
        <w:outlineLvl w:val="0"/>
        <w:rPr>
          <w:rFonts w:ascii="Book Antiqua" w:hAnsi="Book Antiqua" w:cs="Arial"/>
          <w:b/>
          <w:color w:val="000000"/>
        </w:rPr>
      </w:pPr>
      <w:r>
        <w:rPr>
          <w:rFonts w:ascii="Book Antiqua" w:hAnsi="Book Antiqua" w:cs="Arial"/>
          <w:b/>
          <w:color w:val="000000"/>
        </w:rPr>
        <w:t>D</w:t>
      </w:r>
      <w:r w:rsidR="00AD5A10">
        <w:rPr>
          <w:rFonts w:ascii="Book Antiqua" w:hAnsi="Book Antiqua" w:cs="Arial"/>
          <w:b/>
          <w:color w:val="000000"/>
        </w:rPr>
        <w:t>E</w:t>
      </w:r>
      <w:r w:rsidR="00B934DE">
        <w:rPr>
          <w:rFonts w:ascii="Book Antiqua" w:hAnsi="Book Antiqua" w:cs="Arial"/>
          <w:b/>
          <w:color w:val="000000"/>
        </w:rPr>
        <w:t xml:space="preserve">PUTY UPPER </w:t>
      </w:r>
      <w:r w:rsidR="00E16D68">
        <w:rPr>
          <w:rFonts w:ascii="Book Antiqua" w:hAnsi="Book Antiqua" w:cs="Arial"/>
          <w:b/>
          <w:color w:val="000000"/>
        </w:rPr>
        <w:t>TRIBUNAL</w:t>
      </w:r>
      <w:r w:rsidR="00B934DE">
        <w:rPr>
          <w:rFonts w:ascii="Book Antiqua" w:hAnsi="Book Antiqua" w:cs="Arial"/>
          <w:b/>
          <w:color w:val="000000"/>
        </w:rPr>
        <w:t xml:space="preserve"> </w:t>
      </w:r>
      <w:r w:rsidR="00E16D68">
        <w:rPr>
          <w:rFonts w:ascii="Book Antiqua" w:hAnsi="Book Antiqua" w:cs="Arial"/>
          <w:b/>
          <w:color w:val="000000"/>
        </w:rPr>
        <w:t>JUDGE</w:t>
      </w:r>
      <w:r w:rsidR="00B934DE">
        <w:rPr>
          <w:rFonts w:ascii="Book Antiqua" w:hAnsi="Book Antiqua" w:cs="Arial"/>
          <w:b/>
          <w:color w:val="000000"/>
        </w:rPr>
        <w:t xml:space="preserve"> </w:t>
      </w:r>
      <w:r w:rsidR="00AD5A10">
        <w:rPr>
          <w:rFonts w:ascii="Book Antiqua" w:hAnsi="Book Antiqua" w:cs="Arial"/>
          <w:b/>
          <w:color w:val="000000"/>
        </w:rPr>
        <w:t>J F W PHILLIPS</w:t>
      </w:r>
    </w:p>
    <w:p w14:paraId="5931C3DE" w14:textId="1DCAA77F" w:rsidR="00AD5A10" w:rsidRDefault="00AD5A10" w:rsidP="00315F69">
      <w:pPr>
        <w:jc w:val="center"/>
        <w:rPr>
          <w:rFonts w:ascii="Book Antiqua" w:hAnsi="Book Antiqua" w:cs="Arial"/>
          <w:b/>
          <w:color w:val="000000"/>
        </w:rPr>
      </w:pPr>
    </w:p>
    <w:p w14:paraId="028865A4" w14:textId="77777777" w:rsidR="00315F69" w:rsidRDefault="00315F69" w:rsidP="00315F69">
      <w:pPr>
        <w:jc w:val="center"/>
        <w:rPr>
          <w:rFonts w:ascii="Book Antiqua" w:hAnsi="Book Antiqua" w:cs="Arial"/>
          <w:b/>
          <w:color w:val="000000"/>
        </w:rPr>
      </w:pPr>
    </w:p>
    <w:p w14:paraId="6533F88F" w14:textId="77777777" w:rsidR="00AD5A10" w:rsidRDefault="00AD5A10" w:rsidP="00315F69">
      <w:pPr>
        <w:jc w:val="center"/>
        <w:rPr>
          <w:rFonts w:ascii="Book Antiqua" w:hAnsi="Book Antiqua" w:cs="Arial"/>
          <w:b/>
          <w:color w:val="000000"/>
        </w:rPr>
      </w:pPr>
      <w:r>
        <w:rPr>
          <w:rFonts w:ascii="Book Antiqua" w:hAnsi="Book Antiqua" w:cs="Arial"/>
          <w:b/>
          <w:color w:val="000000"/>
        </w:rPr>
        <w:t>Between</w:t>
      </w:r>
    </w:p>
    <w:p w14:paraId="15D368C8" w14:textId="77777777" w:rsidR="001D44EB" w:rsidRDefault="001D44EB" w:rsidP="00315F69">
      <w:pPr>
        <w:jc w:val="center"/>
        <w:rPr>
          <w:rFonts w:ascii="Book Antiqua" w:hAnsi="Book Antiqua" w:cs="Arial"/>
          <w:b/>
          <w:color w:val="000000"/>
        </w:rPr>
      </w:pPr>
    </w:p>
    <w:p w14:paraId="6A678A89" w14:textId="2469233F" w:rsidR="001D44EB" w:rsidRDefault="005B3531" w:rsidP="00315F69">
      <w:pPr>
        <w:jc w:val="center"/>
        <w:rPr>
          <w:rFonts w:ascii="Book Antiqua" w:hAnsi="Book Antiqua" w:cs="Arial"/>
          <w:b/>
          <w:color w:val="000000"/>
        </w:rPr>
      </w:pPr>
      <w:r>
        <w:rPr>
          <w:rFonts w:ascii="Book Antiqua" w:hAnsi="Book Antiqua" w:cs="Arial"/>
          <w:b/>
          <w:color w:val="000000"/>
        </w:rPr>
        <w:t>HAM</w:t>
      </w:r>
    </w:p>
    <w:p w14:paraId="213A875B" w14:textId="62EA814C" w:rsidR="001D44EB" w:rsidRPr="00315F69" w:rsidRDefault="003E7EC9" w:rsidP="00315F69">
      <w:pPr>
        <w:jc w:val="center"/>
        <w:rPr>
          <w:rFonts w:ascii="Book Antiqua" w:hAnsi="Book Antiqua" w:cs="Arial"/>
          <w:b/>
          <w:sz w:val="28"/>
        </w:rPr>
      </w:pPr>
      <w:r w:rsidRPr="00315F69">
        <w:rPr>
          <w:rFonts w:ascii="Book Antiqua" w:hAnsi="Book Antiqua" w:cs="Arial"/>
          <w:sz w:val="22"/>
          <w:szCs w:val="20"/>
        </w:rPr>
        <w:t xml:space="preserve"> (</w:t>
      </w:r>
      <w:r w:rsidR="001D44EB" w:rsidRPr="00315F69">
        <w:rPr>
          <w:rFonts w:ascii="Book Antiqua" w:hAnsi="Book Antiqua" w:cs="Arial"/>
          <w:sz w:val="22"/>
          <w:szCs w:val="20"/>
        </w:rPr>
        <w:t>anonymity direction made)</w:t>
      </w:r>
    </w:p>
    <w:p w14:paraId="6714BCE4" w14:textId="6F39AB51" w:rsidR="00AD5A10" w:rsidRPr="00F97703" w:rsidRDefault="00E16D68" w:rsidP="00315F69">
      <w:pPr>
        <w:jc w:val="right"/>
        <w:outlineLvl w:val="0"/>
        <w:rPr>
          <w:rFonts w:ascii="Book Antiqua" w:hAnsi="Book Antiqua" w:cs="Arial"/>
          <w:u w:val="single"/>
        </w:rPr>
      </w:pPr>
      <w:r>
        <w:rPr>
          <w:rFonts w:ascii="Book Antiqua" w:hAnsi="Book Antiqua" w:cs="Arial"/>
          <w:u w:val="single"/>
        </w:rPr>
        <w:t>Appellant</w:t>
      </w:r>
    </w:p>
    <w:p w14:paraId="219F57CA" w14:textId="3B804A70" w:rsidR="00AD5A10" w:rsidRDefault="000C7DE2" w:rsidP="00315F69">
      <w:pPr>
        <w:jc w:val="center"/>
        <w:rPr>
          <w:rFonts w:ascii="Book Antiqua" w:hAnsi="Book Antiqua" w:cs="Arial"/>
          <w:b/>
        </w:rPr>
      </w:pPr>
      <w:r>
        <w:rPr>
          <w:rFonts w:ascii="Book Antiqua" w:hAnsi="Book Antiqua" w:cs="Arial"/>
          <w:b/>
        </w:rPr>
        <w:t>a</w:t>
      </w:r>
      <w:r w:rsidR="00AD5A10" w:rsidRPr="00F97703">
        <w:rPr>
          <w:rFonts w:ascii="Book Antiqua" w:hAnsi="Book Antiqua" w:cs="Arial"/>
          <w:b/>
        </w:rPr>
        <w:t>nd</w:t>
      </w:r>
    </w:p>
    <w:p w14:paraId="27921DC9" w14:textId="77777777" w:rsidR="00217ED2" w:rsidRDefault="00217ED2" w:rsidP="00315F69">
      <w:pPr>
        <w:jc w:val="center"/>
        <w:rPr>
          <w:rFonts w:ascii="Book Antiqua" w:hAnsi="Book Antiqua" w:cs="Arial"/>
          <w:b/>
        </w:rPr>
      </w:pPr>
    </w:p>
    <w:p w14:paraId="78F79581" w14:textId="77777777" w:rsidR="001D44EB" w:rsidRPr="00F97703" w:rsidRDefault="001D44EB" w:rsidP="00315F69">
      <w:pPr>
        <w:jc w:val="center"/>
        <w:rPr>
          <w:rFonts w:ascii="Book Antiqua" w:hAnsi="Book Antiqua" w:cs="Arial"/>
          <w:b/>
        </w:rPr>
      </w:pPr>
      <w:r>
        <w:rPr>
          <w:rFonts w:ascii="Book Antiqua" w:hAnsi="Book Antiqua" w:cs="Arial"/>
          <w:b/>
        </w:rPr>
        <w:t>THE SECRETARY OF STATE FOR THE HOME DEPARTMENT</w:t>
      </w:r>
      <w:r>
        <w:rPr>
          <w:rFonts w:ascii="Book Antiqua" w:hAnsi="Book Antiqua" w:cs="Arial"/>
          <w:b/>
          <w:color w:val="000000"/>
        </w:rPr>
        <w:t xml:space="preserve"> </w:t>
      </w:r>
    </w:p>
    <w:p w14:paraId="2F922A34" w14:textId="45195CC8" w:rsidR="00AD5A10" w:rsidRPr="00F97703" w:rsidRDefault="00E16D68" w:rsidP="00315F69">
      <w:pPr>
        <w:jc w:val="right"/>
        <w:outlineLvl w:val="0"/>
        <w:rPr>
          <w:rFonts w:ascii="Book Antiqua" w:hAnsi="Book Antiqua" w:cs="Arial"/>
          <w:u w:val="single"/>
        </w:rPr>
      </w:pPr>
      <w:r>
        <w:rPr>
          <w:rFonts w:ascii="Book Antiqua" w:hAnsi="Book Antiqua" w:cs="Arial"/>
          <w:u w:val="single"/>
        </w:rPr>
        <w:t>Respondent</w:t>
      </w:r>
    </w:p>
    <w:p w14:paraId="1569E35C" w14:textId="1B5A322A" w:rsidR="009E4287" w:rsidRDefault="009E4287" w:rsidP="00315F69">
      <w:pPr>
        <w:rPr>
          <w:rFonts w:ascii="Book Antiqua" w:hAnsi="Book Antiqua"/>
          <w:b/>
          <w:sz w:val="22"/>
          <w:szCs w:val="22"/>
        </w:rPr>
      </w:pPr>
    </w:p>
    <w:p w14:paraId="6E434102" w14:textId="77777777" w:rsidR="00315F69" w:rsidRPr="0071531D" w:rsidRDefault="00315F69" w:rsidP="00315F69">
      <w:pPr>
        <w:rPr>
          <w:rFonts w:ascii="Book Antiqua" w:hAnsi="Book Antiqua"/>
          <w:b/>
          <w:sz w:val="22"/>
          <w:szCs w:val="22"/>
        </w:rPr>
      </w:pPr>
    </w:p>
    <w:p w14:paraId="1A440B6D" w14:textId="77777777" w:rsidR="004B28DA" w:rsidRPr="00D0093F" w:rsidRDefault="00D0093F" w:rsidP="00315F69">
      <w:pPr>
        <w:rPr>
          <w:rFonts w:ascii="Book Antiqua" w:hAnsi="Book Antiqua"/>
          <w:b/>
          <w:u w:val="single"/>
        </w:rPr>
      </w:pPr>
      <w:r w:rsidRPr="00D0093F">
        <w:rPr>
          <w:rFonts w:ascii="Book Antiqua" w:hAnsi="Book Antiqua"/>
          <w:b/>
          <w:u w:val="single"/>
        </w:rPr>
        <w:t>Representation</w:t>
      </w:r>
    </w:p>
    <w:p w14:paraId="4183D262" w14:textId="1DE40C9F" w:rsidR="0067636C" w:rsidRDefault="00105B6F" w:rsidP="00315F69">
      <w:pPr>
        <w:ind w:left="2552" w:hanging="2552"/>
        <w:rPr>
          <w:rFonts w:ascii="Book Antiqua" w:hAnsi="Book Antiqua"/>
        </w:rPr>
      </w:pPr>
      <w:r w:rsidRPr="003E7EC9">
        <w:rPr>
          <w:rFonts w:ascii="Book Antiqua" w:hAnsi="Book Antiqua"/>
        </w:rPr>
        <w:t xml:space="preserve">For the </w:t>
      </w:r>
      <w:r w:rsidR="00E16D68">
        <w:rPr>
          <w:rFonts w:ascii="Book Antiqua" w:hAnsi="Book Antiqua"/>
        </w:rPr>
        <w:t>Appellant</w:t>
      </w:r>
      <w:r w:rsidRPr="003E7EC9">
        <w:rPr>
          <w:rFonts w:ascii="Book Antiqua" w:hAnsi="Book Antiqua"/>
        </w:rPr>
        <w:t>:</w:t>
      </w:r>
      <w:r w:rsidR="00315F69">
        <w:rPr>
          <w:rFonts w:ascii="Book Antiqua" w:hAnsi="Book Antiqua"/>
        </w:rPr>
        <w:tab/>
      </w:r>
      <w:r w:rsidR="00DB2321">
        <w:rPr>
          <w:rFonts w:ascii="Book Antiqua" w:hAnsi="Book Antiqua"/>
        </w:rPr>
        <w:t>M</w:t>
      </w:r>
      <w:r w:rsidR="00F04641">
        <w:rPr>
          <w:rFonts w:ascii="Book Antiqua" w:hAnsi="Book Antiqua"/>
        </w:rPr>
        <w:t xml:space="preserve">r </w:t>
      </w:r>
      <w:r w:rsidR="00214723">
        <w:rPr>
          <w:rFonts w:ascii="Book Antiqua" w:hAnsi="Book Antiqua"/>
        </w:rPr>
        <w:t>M McGarvey,</w:t>
      </w:r>
      <w:r w:rsidR="00DB2321">
        <w:rPr>
          <w:rFonts w:ascii="Book Antiqua" w:hAnsi="Book Antiqua"/>
        </w:rPr>
        <w:t xml:space="preserve"> </w:t>
      </w:r>
      <w:r w:rsidR="0067636C">
        <w:rPr>
          <w:rFonts w:ascii="Book Antiqua" w:hAnsi="Book Antiqua"/>
        </w:rPr>
        <w:t>McGarvey, Immigration &amp; Asylum Practitioners</w:t>
      </w:r>
    </w:p>
    <w:p w14:paraId="4A390EC3" w14:textId="2DDF0AD8" w:rsidR="001D44EB" w:rsidRPr="003E7EC9" w:rsidRDefault="00F04641" w:rsidP="00315F69">
      <w:pPr>
        <w:tabs>
          <w:tab w:val="left" w:pos="2552"/>
        </w:tabs>
        <w:rPr>
          <w:rFonts w:ascii="Book Antiqua" w:hAnsi="Book Antiqua"/>
        </w:rPr>
      </w:pPr>
      <w:r>
        <w:rPr>
          <w:rFonts w:ascii="Book Antiqua" w:hAnsi="Book Antiqua"/>
        </w:rPr>
        <w:t>F</w:t>
      </w:r>
      <w:r w:rsidR="00105B6F" w:rsidRPr="003E7EC9">
        <w:rPr>
          <w:rFonts w:ascii="Book Antiqua" w:hAnsi="Book Antiqua"/>
        </w:rPr>
        <w:t xml:space="preserve">or the </w:t>
      </w:r>
      <w:r w:rsidR="00E16D68">
        <w:rPr>
          <w:rFonts w:ascii="Book Antiqua" w:hAnsi="Book Antiqua"/>
        </w:rPr>
        <w:t>Respondent</w:t>
      </w:r>
      <w:r w:rsidR="00105B6F" w:rsidRPr="003E7EC9">
        <w:rPr>
          <w:rFonts w:ascii="Book Antiqua" w:hAnsi="Book Antiqua"/>
        </w:rPr>
        <w:t>:</w:t>
      </w:r>
      <w:r w:rsidR="00315F69">
        <w:rPr>
          <w:rFonts w:ascii="Book Antiqua" w:hAnsi="Book Antiqua"/>
        </w:rPr>
        <w:tab/>
      </w:r>
      <w:r w:rsidR="001D44EB" w:rsidRPr="003E7EC9">
        <w:rPr>
          <w:rFonts w:ascii="Book Antiqua" w:hAnsi="Book Antiqua"/>
        </w:rPr>
        <w:t xml:space="preserve">Mr </w:t>
      </w:r>
      <w:r w:rsidR="0074719B">
        <w:rPr>
          <w:rFonts w:ascii="Book Antiqua" w:hAnsi="Book Antiqua"/>
        </w:rPr>
        <w:t>C Howells</w:t>
      </w:r>
      <w:r w:rsidR="001D44EB" w:rsidRPr="003E7EC9">
        <w:rPr>
          <w:rFonts w:ascii="Book Antiqua" w:hAnsi="Book Antiqua"/>
        </w:rPr>
        <w:t xml:space="preserve">, Home Office Presenting Officer </w:t>
      </w:r>
    </w:p>
    <w:p w14:paraId="09F82157" w14:textId="77777777" w:rsidR="00105B6F" w:rsidRPr="00A06468" w:rsidRDefault="00105B6F" w:rsidP="00315F69">
      <w:pPr>
        <w:rPr>
          <w:rFonts w:ascii="Book Antiqua" w:hAnsi="Book Antiqua"/>
        </w:rPr>
      </w:pPr>
    </w:p>
    <w:p w14:paraId="0F23B98F" w14:textId="77777777" w:rsidR="00D50C59" w:rsidRDefault="00D50C59" w:rsidP="00315F69">
      <w:pPr>
        <w:jc w:val="center"/>
        <w:rPr>
          <w:rFonts w:ascii="Book Antiqua" w:hAnsi="Book Antiqua"/>
          <w:b/>
          <w:u w:val="single"/>
        </w:rPr>
      </w:pPr>
    </w:p>
    <w:p w14:paraId="68926A34" w14:textId="77777777" w:rsidR="004B28DA" w:rsidRDefault="000945AB" w:rsidP="00315F69">
      <w:pPr>
        <w:jc w:val="center"/>
        <w:rPr>
          <w:rFonts w:ascii="Book Antiqua" w:hAnsi="Book Antiqua"/>
        </w:rPr>
      </w:pPr>
      <w:r>
        <w:rPr>
          <w:rFonts w:ascii="Book Antiqua" w:hAnsi="Book Antiqua"/>
          <w:b/>
          <w:u w:val="single"/>
        </w:rPr>
        <w:t>DE</w:t>
      </w:r>
      <w:r w:rsidR="000E08FB">
        <w:rPr>
          <w:rFonts w:ascii="Book Antiqua" w:hAnsi="Book Antiqua"/>
          <w:b/>
          <w:u w:val="single"/>
        </w:rPr>
        <w:t>CISION</w:t>
      </w:r>
      <w:r>
        <w:rPr>
          <w:rFonts w:ascii="Book Antiqua" w:hAnsi="Book Antiqua"/>
          <w:b/>
          <w:u w:val="single"/>
        </w:rPr>
        <w:t xml:space="preserve"> AND REASONS</w:t>
      </w:r>
    </w:p>
    <w:p w14:paraId="7317C942" w14:textId="38D298F7" w:rsidR="003F7738" w:rsidRPr="00440E77" w:rsidRDefault="00105B6F"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 xml:space="preserve">This is an appeal </w:t>
      </w:r>
      <w:r w:rsidR="00F46318" w:rsidRPr="00440E77">
        <w:rPr>
          <w:rFonts w:ascii="Book Antiqua" w:hAnsi="Book Antiqua"/>
          <w:sz w:val="22"/>
          <w:szCs w:val="22"/>
        </w:rPr>
        <w:t>a</w:t>
      </w:r>
      <w:r w:rsidRPr="00440E77">
        <w:rPr>
          <w:rFonts w:ascii="Book Antiqua" w:hAnsi="Book Antiqua"/>
          <w:sz w:val="22"/>
          <w:szCs w:val="22"/>
        </w:rPr>
        <w:t>gainst the de</w:t>
      </w:r>
      <w:r w:rsidR="00F46318" w:rsidRPr="00440E77">
        <w:rPr>
          <w:rFonts w:ascii="Book Antiqua" w:hAnsi="Book Antiqua"/>
          <w:sz w:val="22"/>
          <w:szCs w:val="22"/>
        </w:rPr>
        <w:t>cision</w:t>
      </w:r>
      <w:r w:rsidRPr="00440E77">
        <w:rPr>
          <w:rFonts w:ascii="Book Antiqua" w:hAnsi="Book Antiqua"/>
          <w:sz w:val="22"/>
          <w:szCs w:val="22"/>
        </w:rPr>
        <w:t xml:space="preserve"> of First-tier </w:t>
      </w:r>
      <w:r w:rsidR="00E16D68" w:rsidRPr="00440E77">
        <w:rPr>
          <w:rFonts w:ascii="Book Antiqua" w:hAnsi="Book Antiqua"/>
          <w:sz w:val="22"/>
          <w:szCs w:val="22"/>
        </w:rPr>
        <w:t>Tribunal</w:t>
      </w:r>
      <w:r w:rsidRPr="00440E77">
        <w:rPr>
          <w:rFonts w:ascii="Book Antiqua" w:hAnsi="Book Antiqua"/>
          <w:sz w:val="22"/>
          <w:szCs w:val="22"/>
        </w:rPr>
        <w:t xml:space="preserve"> </w:t>
      </w:r>
      <w:r w:rsidR="00E16D68" w:rsidRPr="00440E77">
        <w:rPr>
          <w:rFonts w:ascii="Book Antiqua" w:hAnsi="Book Antiqua"/>
          <w:sz w:val="22"/>
          <w:szCs w:val="22"/>
        </w:rPr>
        <w:t>Judge</w:t>
      </w:r>
      <w:r w:rsidRPr="00440E77">
        <w:rPr>
          <w:rFonts w:ascii="Book Antiqua" w:hAnsi="Book Antiqua"/>
          <w:sz w:val="22"/>
          <w:szCs w:val="22"/>
        </w:rPr>
        <w:t xml:space="preserve"> </w:t>
      </w:r>
      <w:r w:rsidR="00B57D3F" w:rsidRPr="00440E77">
        <w:rPr>
          <w:rFonts w:ascii="Book Antiqua" w:hAnsi="Book Antiqua"/>
          <w:sz w:val="22"/>
          <w:szCs w:val="22"/>
        </w:rPr>
        <w:t>Fowell</w:t>
      </w:r>
      <w:r w:rsidR="0055530D" w:rsidRPr="00440E77">
        <w:rPr>
          <w:rFonts w:ascii="Book Antiqua" w:hAnsi="Book Antiqua"/>
          <w:sz w:val="22"/>
          <w:szCs w:val="22"/>
        </w:rPr>
        <w:t xml:space="preserve"> </w:t>
      </w:r>
      <w:r w:rsidR="00F01285" w:rsidRPr="00440E77">
        <w:rPr>
          <w:rFonts w:ascii="Book Antiqua" w:hAnsi="Book Antiqua"/>
          <w:sz w:val="22"/>
          <w:szCs w:val="22"/>
        </w:rPr>
        <w:t>in</w:t>
      </w:r>
      <w:r w:rsidRPr="00440E77">
        <w:rPr>
          <w:rFonts w:ascii="Book Antiqua" w:hAnsi="Book Antiqua"/>
          <w:sz w:val="22"/>
          <w:szCs w:val="22"/>
        </w:rPr>
        <w:t xml:space="preserve"> which he </w:t>
      </w:r>
      <w:r w:rsidR="00F46318" w:rsidRPr="00440E77">
        <w:rPr>
          <w:rFonts w:ascii="Book Antiqua" w:hAnsi="Book Antiqua"/>
          <w:sz w:val="22"/>
          <w:szCs w:val="22"/>
        </w:rPr>
        <w:t>dismissed t</w:t>
      </w:r>
      <w:r w:rsidR="00F9241E" w:rsidRPr="00440E77">
        <w:rPr>
          <w:rFonts w:ascii="Book Antiqua" w:hAnsi="Book Antiqua"/>
          <w:sz w:val="22"/>
          <w:szCs w:val="22"/>
        </w:rPr>
        <w:t xml:space="preserve">he appeal of </w:t>
      </w:r>
      <w:r w:rsidR="00F46318" w:rsidRPr="00440E77">
        <w:rPr>
          <w:rFonts w:ascii="Book Antiqua" w:hAnsi="Book Antiqua"/>
          <w:sz w:val="22"/>
          <w:szCs w:val="22"/>
        </w:rPr>
        <w:t xml:space="preserve">the </w:t>
      </w:r>
      <w:r w:rsidR="00E16D68" w:rsidRPr="00440E77">
        <w:rPr>
          <w:rFonts w:ascii="Book Antiqua" w:hAnsi="Book Antiqua"/>
          <w:sz w:val="22"/>
          <w:szCs w:val="22"/>
        </w:rPr>
        <w:t>Appellant</w:t>
      </w:r>
      <w:r w:rsidR="00D108E2" w:rsidRPr="00440E77">
        <w:rPr>
          <w:rFonts w:ascii="Book Antiqua" w:hAnsi="Book Antiqua"/>
          <w:sz w:val="22"/>
          <w:szCs w:val="22"/>
        </w:rPr>
        <w:t xml:space="preserve">, </w:t>
      </w:r>
      <w:r w:rsidR="00F46318" w:rsidRPr="00440E77">
        <w:rPr>
          <w:rFonts w:ascii="Book Antiqua" w:hAnsi="Book Antiqua"/>
          <w:sz w:val="22"/>
          <w:szCs w:val="22"/>
        </w:rPr>
        <w:t xml:space="preserve">a </w:t>
      </w:r>
      <w:r w:rsidR="00F9241E" w:rsidRPr="00440E77">
        <w:rPr>
          <w:rFonts w:ascii="Book Antiqua" w:hAnsi="Book Antiqua"/>
          <w:sz w:val="22"/>
          <w:szCs w:val="22"/>
        </w:rPr>
        <w:t xml:space="preserve">citizen of </w:t>
      </w:r>
      <w:r w:rsidR="00B57D3F" w:rsidRPr="00440E77">
        <w:rPr>
          <w:rFonts w:ascii="Book Antiqua" w:hAnsi="Book Antiqua"/>
          <w:sz w:val="22"/>
          <w:szCs w:val="22"/>
        </w:rPr>
        <w:t>Somalia</w:t>
      </w:r>
      <w:r w:rsidR="00F9241E" w:rsidRPr="00440E77">
        <w:rPr>
          <w:rFonts w:ascii="Book Antiqua" w:hAnsi="Book Antiqua"/>
          <w:sz w:val="22"/>
          <w:szCs w:val="22"/>
        </w:rPr>
        <w:t xml:space="preserve">, against the </w:t>
      </w:r>
      <w:r w:rsidR="0055530D" w:rsidRPr="00440E77">
        <w:rPr>
          <w:rFonts w:ascii="Book Antiqua" w:hAnsi="Book Antiqua"/>
          <w:sz w:val="22"/>
          <w:szCs w:val="22"/>
        </w:rPr>
        <w:t>Secretary of State’s</w:t>
      </w:r>
      <w:r w:rsidR="00F9241E" w:rsidRPr="00440E77">
        <w:rPr>
          <w:rFonts w:ascii="Book Antiqua" w:hAnsi="Book Antiqua"/>
          <w:sz w:val="22"/>
          <w:szCs w:val="22"/>
        </w:rPr>
        <w:t xml:space="preserve"> </w:t>
      </w:r>
      <w:r w:rsidRPr="00440E77">
        <w:rPr>
          <w:rFonts w:ascii="Book Antiqua" w:hAnsi="Book Antiqua"/>
          <w:sz w:val="22"/>
          <w:szCs w:val="22"/>
        </w:rPr>
        <w:t>decision to refuse</w:t>
      </w:r>
      <w:r w:rsidRPr="00440E77">
        <w:rPr>
          <w:rFonts w:ascii="Book Antiqua" w:hAnsi="Book Antiqua" w:cs="Arial"/>
          <w:sz w:val="22"/>
          <w:szCs w:val="22"/>
        </w:rPr>
        <w:t xml:space="preserve"> </w:t>
      </w:r>
      <w:r w:rsidR="00D108E2" w:rsidRPr="00440E77">
        <w:rPr>
          <w:rFonts w:ascii="Book Antiqua" w:hAnsi="Book Antiqua" w:cs="Arial"/>
          <w:sz w:val="22"/>
          <w:szCs w:val="22"/>
        </w:rPr>
        <w:t>asylum</w:t>
      </w:r>
      <w:r w:rsidR="00F46318" w:rsidRPr="00440E77">
        <w:rPr>
          <w:rFonts w:ascii="Book Antiqua" w:hAnsi="Book Antiqua" w:cs="Arial"/>
          <w:sz w:val="22"/>
          <w:szCs w:val="22"/>
        </w:rPr>
        <w:t xml:space="preserve"> and issue removal directions</w:t>
      </w:r>
      <w:r w:rsidR="00206380" w:rsidRPr="00440E77">
        <w:rPr>
          <w:rFonts w:ascii="Book Antiqua" w:hAnsi="Book Antiqua" w:cs="Arial"/>
          <w:sz w:val="22"/>
          <w:szCs w:val="22"/>
        </w:rPr>
        <w:t>.</w:t>
      </w:r>
    </w:p>
    <w:p w14:paraId="7860119C" w14:textId="08806951" w:rsidR="00E257BD" w:rsidRPr="00440E77" w:rsidRDefault="002D38CC" w:rsidP="00440E77">
      <w:pPr>
        <w:numPr>
          <w:ilvl w:val="0"/>
          <w:numId w:val="1"/>
        </w:numPr>
        <w:tabs>
          <w:tab w:val="clear" w:pos="720"/>
          <w:tab w:val="num" w:pos="567"/>
        </w:tabs>
        <w:spacing w:before="240"/>
        <w:ind w:left="567" w:hanging="567"/>
        <w:jc w:val="both"/>
        <w:rPr>
          <w:rFonts w:ascii="Book Antiqua" w:hAnsi="Book Antiqua"/>
          <w:sz w:val="22"/>
          <w:szCs w:val="22"/>
        </w:rPr>
      </w:pPr>
      <w:r w:rsidRPr="00440E77">
        <w:rPr>
          <w:rFonts w:ascii="Book Antiqua" w:hAnsi="Book Antiqua" w:cs="Arial"/>
          <w:sz w:val="22"/>
          <w:szCs w:val="22"/>
        </w:rPr>
        <w:lastRenderedPageBreak/>
        <w:t xml:space="preserve">The </w:t>
      </w:r>
      <w:r w:rsidR="00D9237F" w:rsidRPr="00440E77">
        <w:rPr>
          <w:rFonts w:ascii="Book Antiqua" w:hAnsi="Book Antiqua" w:cs="Arial"/>
          <w:sz w:val="22"/>
          <w:szCs w:val="22"/>
        </w:rPr>
        <w:t xml:space="preserve">application </w:t>
      </w:r>
      <w:r w:rsidR="003C7D10" w:rsidRPr="00440E77">
        <w:rPr>
          <w:rFonts w:ascii="Book Antiqua" w:hAnsi="Book Antiqua" w:cs="Arial"/>
          <w:sz w:val="22"/>
          <w:szCs w:val="22"/>
        </w:rPr>
        <w:t>under appeal</w:t>
      </w:r>
      <w:r w:rsidR="000A2327" w:rsidRPr="00440E77">
        <w:rPr>
          <w:rFonts w:ascii="Book Antiqua" w:hAnsi="Book Antiqua" w:cs="Arial"/>
          <w:sz w:val="22"/>
          <w:szCs w:val="22"/>
        </w:rPr>
        <w:t xml:space="preserve"> was </w:t>
      </w:r>
      <w:r w:rsidR="00D9237F" w:rsidRPr="00440E77">
        <w:rPr>
          <w:rFonts w:ascii="Book Antiqua" w:hAnsi="Book Antiqua" w:cs="Arial"/>
          <w:sz w:val="22"/>
          <w:szCs w:val="22"/>
        </w:rPr>
        <w:t>re</w:t>
      </w:r>
      <w:r w:rsidRPr="00440E77">
        <w:rPr>
          <w:rFonts w:ascii="Book Antiqua" w:hAnsi="Book Antiqua" w:cs="Arial"/>
          <w:sz w:val="22"/>
          <w:szCs w:val="22"/>
        </w:rPr>
        <w:t>fus</w:t>
      </w:r>
      <w:r w:rsidR="00D9237F" w:rsidRPr="00440E77">
        <w:rPr>
          <w:rFonts w:ascii="Book Antiqua" w:hAnsi="Book Antiqua" w:cs="Arial"/>
          <w:sz w:val="22"/>
          <w:szCs w:val="22"/>
        </w:rPr>
        <w:t xml:space="preserve">ed </w:t>
      </w:r>
      <w:r w:rsidR="00475F5F" w:rsidRPr="00440E77">
        <w:rPr>
          <w:rFonts w:ascii="Book Antiqua" w:hAnsi="Book Antiqua"/>
          <w:sz w:val="22"/>
          <w:szCs w:val="22"/>
        </w:rPr>
        <w:t xml:space="preserve">on </w:t>
      </w:r>
      <w:r w:rsidR="00EC20DD" w:rsidRPr="00440E77">
        <w:rPr>
          <w:rFonts w:ascii="Book Antiqua" w:hAnsi="Book Antiqua"/>
          <w:sz w:val="22"/>
          <w:szCs w:val="22"/>
        </w:rPr>
        <w:t>24 February</w:t>
      </w:r>
      <w:r w:rsidR="00B330C8" w:rsidRPr="00440E77">
        <w:rPr>
          <w:rFonts w:ascii="Book Antiqua" w:hAnsi="Book Antiqua"/>
          <w:sz w:val="22"/>
          <w:szCs w:val="22"/>
        </w:rPr>
        <w:t xml:space="preserve"> </w:t>
      </w:r>
      <w:r w:rsidR="00FD6E85" w:rsidRPr="00440E77">
        <w:rPr>
          <w:rFonts w:ascii="Book Antiqua" w:hAnsi="Book Antiqua"/>
          <w:sz w:val="22"/>
          <w:szCs w:val="22"/>
        </w:rPr>
        <w:t>201</w:t>
      </w:r>
      <w:r w:rsidR="002F24BE" w:rsidRPr="00440E77">
        <w:rPr>
          <w:rFonts w:ascii="Book Antiqua" w:hAnsi="Book Antiqua"/>
          <w:sz w:val="22"/>
          <w:szCs w:val="22"/>
        </w:rPr>
        <w:t>7</w:t>
      </w:r>
      <w:r w:rsidR="00475F5F" w:rsidRPr="00440E77">
        <w:rPr>
          <w:rFonts w:ascii="Book Antiqua" w:hAnsi="Book Antiqua"/>
          <w:sz w:val="22"/>
          <w:szCs w:val="22"/>
        </w:rPr>
        <w:t xml:space="preserve">.  The </w:t>
      </w:r>
      <w:r w:rsidR="00E16D68" w:rsidRPr="00440E77">
        <w:rPr>
          <w:rFonts w:ascii="Book Antiqua" w:hAnsi="Book Antiqua"/>
          <w:sz w:val="22"/>
          <w:szCs w:val="22"/>
        </w:rPr>
        <w:t>Appellant</w:t>
      </w:r>
      <w:r w:rsidR="00475F5F" w:rsidRPr="00440E77">
        <w:rPr>
          <w:rFonts w:ascii="Book Antiqua" w:hAnsi="Book Antiqua"/>
          <w:sz w:val="22"/>
          <w:szCs w:val="22"/>
        </w:rPr>
        <w:t xml:space="preserve"> exercised </w:t>
      </w:r>
      <w:r w:rsidR="00F46318" w:rsidRPr="00440E77">
        <w:rPr>
          <w:rFonts w:ascii="Book Antiqua" w:hAnsi="Book Antiqua"/>
          <w:sz w:val="22"/>
          <w:szCs w:val="22"/>
        </w:rPr>
        <w:t>h</w:t>
      </w:r>
      <w:r w:rsidR="007A6625" w:rsidRPr="00440E77">
        <w:rPr>
          <w:rFonts w:ascii="Book Antiqua" w:hAnsi="Book Antiqua"/>
          <w:sz w:val="22"/>
          <w:szCs w:val="22"/>
        </w:rPr>
        <w:t>is</w:t>
      </w:r>
      <w:r w:rsidR="00475F5F" w:rsidRPr="00440E77">
        <w:rPr>
          <w:rFonts w:ascii="Book Antiqua" w:hAnsi="Book Antiqua"/>
          <w:sz w:val="22"/>
          <w:szCs w:val="22"/>
        </w:rPr>
        <w:t xml:space="preserve"> right of appeal to </w:t>
      </w:r>
      <w:r w:rsidR="00C72CE3" w:rsidRPr="00440E77">
        <w:rPr>
          <w:rFonts w:ascii="Book Antiqua" w:hAnsi="Book Antiqua"/>
          <w:sz w:val="22"/>
          <w:szCs w:val="22"/>
        </w:rPr>
        <w:t xml:space="preserve">the First-tier </w:t>
      </w:r>
      <w:r w:rsidR="00E16D68" w:rsidRPr="00440E77">
        <w:rPr>
          <w:rFonts w:ascii="Book Antiqua" w:hAnsi="Book Antiqua"/>
          <w:sz w:val="22"/>
          <w:szCs w:val="22"/>
        </w:rPr>
        <w:t>Tribunal</w:t>
      </w:r>
      <w:r w:rsidR="00475F5F" w:rsidRPr="00440E77">
        <w:rPr>
          <w:rFonts w:ascii="Book Antiqua" w:hAnsi="Book Antiqua"/>
          <w:sz w:val="22"/>
          <w:szCs w:val="22"/>
        </w:rPr>
        <w:t xml:space="preserve">.  This is the appeal which came before </w:t>
      </w:r>
      <w:r w:rsidR="00E16D68" w:rsidRPr="00440E77">
        <w:rPr>
          <w:rFonts w:ascii="Book Antiqua" w:hAnsi="Book Antiqua"/>
          <w:sz w:val="22"/>
          <w:szCs w:val="22"/>
        </w:rPr>
        <w:t>Judge</w:t>
      </w:r>
      <w:r w:rsidR="00475F5F" w:rsidRPr="00440E77">
        <w:rPr>
          <w:rFonts w:ascii="Book Antiqua" w:hAnsi="Book Antiqua"/>
          <w:sz w:val="22"/>
          <w:szCs w:val="22"/>
        </w:rPr>
        <w:t xml:space="preserve"> </w:t>
      </w:r>
      <w:r w:rsidR="00EC20DD" w:rsidRPr="00440E77">
        <w:rPr>
          <w:rFonts w:ascii="Book Antiqua" w:hAnsi="Book Antiqua"/>
          <w:sz w:val="22"/>
          <w:szCs w:val="22"/>
        </w:rPr>
        <w:t>Fowell</w:t>
      </w:r>
      <w:r w:rsidR="00A9094A" w:rsidRPr="00440E77">
        <w:rPr>
          <w:rFonts w:ascii="Book Antiqua" w:hAnsi="Book Antiqua"/>
          <w:sz w:val="22"/>
          <w:szCs w:val="22"/>
        </w:rPr>
        <w:t xml:space="preserve"> on </w:t>
      </w:r>
      <w:r w:rsidR="00A9455A" w:rsidRPr="00440E77">
        <w:rPr>
          <w:rFonts w:ascii="Book Antiqua" w:hAnsi="Book Antiqua"/>
          <w:sz w:val="22"/>
          <w:szCs w:val="22"/>
        </w:rPr>
        <w:t>16 May 2017</w:t>
      </w:r>
      <w:r w:rsidR="000257B5" w:rsidRPr="00440E77">
        <w:rPr>
          <w:rFonts w:ascii="Book Antiqua" w:hAnsi="Book Antiqua"/>
          <w:sz w:val="22"/>
          <w:szCs w:val="22"/>
        </w:rPr>
        <w:t xml:space="preserve"> and was</w:t>
      </w:r>
      <w:r w:rsidR="00206380" w:rsidRPr="00440E77">
        <w:rPr>
          <w:rFonts w:ascii="Book Antiqua" w:hAnsi="Book Antiqua"/>
          <w:sz w:val="22"/>
          <w:szCs w:val="22"/>
        </w:rPr>
        <w:t xml:space="preserve"> dismissed</w:t>
      </w:r>
      <w:r w:rsidR="007252B4" w:rsidRPr="00440E77">
        <w:rPr>
          <w:rFonts w:ascii="Book Antiqua" w:hAnsi="Book Antiqua"/>
          <w:sz w:val="22"/>
          <w:szCs w:val="22"/>
        </w:rPr>
        <w:t xml:space="preserve">. </w:t>
      </w:r>
      <w:r w:rsidR="000257B5" w:rsidRPr="00440E77">
        <w:rPr>
          <w:rFonts w:ascii="Book Antiqua" w:hAnsi="Book Antiqua"/>
          <w:sz w:val="22"/>
          <w:szCs w:val="22"/>
        </w:rPr>
        <w:t xml:space="preserve">The </w:t>
      </w:r>
      <w:r w:rsidR="00E16D68" w:rsidRPr="00440E77">
        <w:rPr>
          <w:rFonts w:ascii="Book Antiqua" w:hAnsi="Book Antiqua"/>
          <w:sz w:val="22"/>
          <w:szCs w:val="22"/>
        </w:rPr>
        <w:t>Appellant</w:t>
      </w:r>
      <w:r w:rsidR="00372B96" w:rsidRPr="00440E77">
        <w:rPr>
          <w:rFonts w:ascii="Book Antiqua" w:hAnsi="Book Antiqua"/>
          <w:sz w:val="22"/>
          <w:szCs w:val="22"/>
        </w:rPr>
        <w:t xml:space="preserve"> applied </w:t>
      </w:r>
      <w:r w:rsidR="00475F5F" w:rsidRPr="00440E77">
        <w:rPr>
          <w:rFonts w:ascii="Book Antiqua" w:hAnsi="Book Antiqua"/>
          <w:sz w:val="22"/>
          <w:szCs w:val="22"/>
        </w:rPr>
        <w:t xml:space="preserve">for </w:t>
      </w:r>
      <w:r w:rsidR="000B2181" w:rsidRPr="00440E77">
        <w:rPr>
          <w:rFonts w:ascii="Book Antiqua" w:hAnsi="Book Antiqua"/>
          <w:sz w:val="22"/>
          <w:szCs w:val="22"/>
        </w:rPr>
        <w:t xml:space="preserve">permission to appeal to the Upper </w:t>
      </w:r>
      <w:r w:rsidR="00E16D68" w:rsidRPr="00440E77">
        <w:rPr>
          <w:rFonts w:ascii="Book Antiqua" w:hAnsi="Book Antiqua"/>
          <w:sz w:val="22"/>
          <w:szCs w:val="22"/>
        </w:rPr>
        <w:t>Tribunal</w:t>
      </w:r>
      <w:r w:rsidR="00475F5F" w:rsidRPr="00440E77">
        <w:rPr>
          <w:rFonts w:ascii="Book Antiqua" w:hAnsi="Book Antiqua"/>
          <w:sz w:val="22"/>
          <w:szCs w:val="22"/>
        </w:rPr>
        <w:t xml:space="preserve">.  </w:t>
      </w:r>
      <w:r w:rsidR="00FB2F7C" w:rsidRPr="00440E77">
        <w:rPr>
          <w:rFonts w:ascii="Book Antiqua" w:hAnsi="Book Antiqua"/>
          <w:sz w:val="22"/>
          <w:szCs w:val="22"/>
        </w:rPr>
        <w:t>The</w:t>
      </w:r>
      <w:r w:rsidR="00475F5F" w:rsidRPr="00440E77">
        <w:rPr>
          <w:rFonts w:ascii="Book Antiqua" w:hAnsi="Book Antiqua"/>
          <w:sz w:val="22"/>
          <w:szCs w:val="22"/>
        </w:rPr>
        <w:t xml:space="preserve"> application was </w:t>
      </w:r>
      <w:r w:rsidR="00A9455A" w:rsidRPr="00440E77">
        <w:rPr>
          <w:rFonts w:ascii="Book Antiqua" w:hAnsi="Book Antiqua"/>
          <w:sz w:val="22"/>
          <w:szCs w:val="22"/>
        </w:rPr>
        <w:t xml:space="preserve">refused by First-tier Tribunal Judge </w:t>
      </w:r>
      <w:r w:rsidR="009D280C" w:rsidRPr="00440E77">
        <w:rPr>
          <w:rFonts w:ascii="Book Antiqua" w:hAnsi="Book Antiqua"/>
          <w:sz w:val="22"/>
          <w:szCs w:val="22"/>
        </w:rPr>
        <w:t>Frankish but on renewal to the Upper Tribunal was</w:t>
      </w:r>
      <w:r w:rsidR="00A63201" w:rsidRPr="00440E77">
        <w:rPr>
          <w:rFonts w:ascii="Book Antiqua" w:hAnsi="Book Antiqua"/>
          <w:sz w:val="22"/>
          <w:szCs w:val="22"/>
        </w:rPr>
        <w:t xml:space="preserve"> </w:t>
      </w:r>
      <w:r w:rsidR="00734CE9" w:rsidRPr="00440E77">
        <w:rPr>
          <w:rFonts w:ascii="Book Antiqua" w:hAnsi="Book Antiqua"/>
          <w:sz w:val="22"/>
          <w:szCs w:val="22"/>
        </w:rPr>
        <w:t xml:space="preserve">granted </w:t>
      </w:r>
      <w:r w:rsidR="000257B5" w:rsidRPr="00440E77">
        <w:rPr>
          <w:rFonts w:ascii="Book Antiqua" w:hAnsi="Book Antiqua"/>
          <w:sz w:val="22"/>
          <w:szCs w:val="22"/>
        </w:rPr>
        <w:t xml:space="preserve">by </w:t>
      </w:r>
      <w:r w:rsidR="009D280C" w:rsidRPr="00440E77">
        <w:rPr>
          <w:rFonts w:ascii="Book Antiqua" w:hAnsi="Book Antiqua"/>
          <w:sz w:val="22"/>
          <w:szCs w:val="22"/>
        </w:rPr>
        <w:t>Upper Tribunal J</w:t>
      </w:r>
      <w:r w:rsidR="00E16D68" w:rsidRPr="00440E77">
        <w:rPr>
          <w:rFonts w:ascii="Book Antiqua" w:hAnsi="Book Antiqua"/>
          <w:sz w:val="22"/>
          <w:szCs w:val="22"/>
        </w:rPr>
        <w:t>udge</w:t>
      </w:r>
      <w:r w:rsidR="004E1B59" w:rsidRPr="00440E77">
        <w:rPr>
          <w:rFonts w:ascii="Book Antiqua" w:hAnsi="Book Antiqua"/>
          <w:sz w:val="22"/>
          <w:szCs w:val="22"/>
        </w:rPr>
        <w:t xml:space="preserve"> </w:t>
      </w:r>
      <w:r w:rsidR="00910E0B" w:rsidRPr="00440E77">
        <w:rPr>
          <w:rFonts w:ascii="Book Antiqua" w:hAnsi="Book Antiqua"/>
          <w:sz w:val="22"/>
          <w:szCs w:val="22"/>
        </w:rPr>
        <w:t>A</w:t>
      </w:r>
      <w:r w:rsidR="009D280C" w:rsidRPr="00440E77">
        <w:rPr>
          <w:rFonts w:ascii="Book Antiqua" w:hAnsi="Book Antiqua"/>
          <w:sz w:val="22"/>
          <w:szCs w:val="22"/>
        </w:rPr>
        <w:t>llen</w:t>
      </w:r>
      <w:r w:rsidR="000F239D" w:rsidRPr="00440E77">
        <w:rPr>
          <w:rFonts w:ascii="Book Antiqua" w:hAnsi="Book Antiqua"/>
          <w:sz w:val="22"/>
          <w:szCs w:val="22"/>
        </w:rPr>
        <w:t xml:space="preserve"> </w:t>
      </w:r>
      <w:r w:rsidR="00AD4348" w:rsidRPr="00440E77">
        <w:rPr>
          <w:rFonts w:ascii="Book Antiqua" w:hAnsi="Book Antiqua"/>
          <w:sz w:val="22"/>
          <w:szCs w:val="22"/>
        </w:rPr>
        <w:t xml:space="preserve">on </w:t>
      </w:r>
      <w:r w:rsidR="006C4F72" w:rsidRPr="00440E77">
        <w:rPr>
          <w:rFonts w:ascii="Book Antiqua" w:hAnsi="Book Antiqua"/>
          <w:sz w:val="22"/>
          <w:szCs w:val="22"/>
        </w:rPr>
        <w:t>1</w:t>
      </w:r>
      <w:r w:rsidR="00D12BEF" w:rsidRPr="00440E77">
        <w:rPr>
          <w:rFonts w:ascii="Book Antiqua" w:hAnsi="Book Antiqua"/>
          <w:sz w:val="22"/>
          <w:szCs w:val="22"/>
        </w:rPr>
        <w:t>5 January</w:t>
      </w:r>
      <w:r w:rsidR="00F46318" w:rsidRPr="00440E77">
        <w:rPr>
          <w:rFonts w:ascii="Book Antiqua" w:hAnsi="Book Antiqua"/>
          <w:sz w:val="22"/>
          <w:szCs w:val="22"/>
        </w:rPr>
        <w:t xml:space="preserve"> 201</w:t>
      </w:r>
      <w:r w:rsidR="00D12BEF" w:rsidRPr="00440E77">
        <w:rPr>
          <w:rFonts w:ascii="Book Antiqua" w:hAnsi="Book Antiqua"/>
          <w:sz w:val="22"/>
          <w:szCs w:val="22"/>
        </w:rPr>
        <w:t>8</w:t>
      </w:r>
      <w:r w:rsidR="009A10D0" w:rsidRPr="00440E77">
        <w:rPr>
          <w:rFonts w:ascii="Book Antiqua" w:hAnsi="Book Antiqua"/>
          <w:sz w:val="22"/>
          <w:szCs w:val="22"/>
        </w:rPr>
        <w:t xml:space="preserve"> </w:t>
      </w:r>
      <w:r w:rsidR="00E257BD" w:rsidRPr="00440E77">
        <w:rPr>
          <w:rFonts w:ascii="Book Antiqua" w:hAnsi="Book Antiqua"/>
          <w:sz w:val="22"/>
          <w:szCs w:val="22"/>
        </w:rPr>
        <w:t>in the following terms</w:t>
      </w:r>
    </w:p>
    <w:p w14:paraId="79CD524B" w14:textId="59118744" w:rsidR="00E63F55" w:rsidRPr="00440E77" w:rsidRDefault="00440E77" w:rsidP="00440E77">
      <w:pPr>
        <w:spacing w:before="120"/>
        <w:ind w:left="851" w:right="567"/>
        <w:jc w:val="both"/>
        <w:rPr>
          <w:rFonts w:ascii="Arial" w:hAnsi="Arial" w:cs="Arial"/>
          <w:sz w:val="22"/>
          <w:szCs w:val="22"/>
        </w:rPr>
      </w:pPr>
      <w:r w:rsidRPr="00440E77">
        <w:rPr>
          <w:rFonts w:ascii="Arial" w:hAnsi="Arial" w:cs="Arial"/>
          <w:sz w:val="22"/>
          <w:szCs w:val="22"/>
        </w:rPr>
        <w:t>“</w:t>
      </w:r>
      <w:r w:rsidR="00053127" w:rsidRPr="00440E77">
        <w:rPr>
          <w:rFonts w:ascii="Arial" w:hAnsi="Arial" w:cs="Arial"/>
          <w:sz w:val="22"/>
          <w:szCs w:val="22"/>
        </w:rPr>
        <w:t xml:space="preserve">In light of the judge’s acceptance that the appellant is a qualified </w:t>
      </w:r>
      <w:r w:rsidR="00214723" w:rsidRPr="00440E77">
        <w:rPr>
          <w:rFonts w:ascii="Arial" w:hAnsi="Arial" w:cs="Arial"/>
          <w:sz w:val="22"/>
          <w:szCs w:val="22"/>
        </w:rPr>
        <w:t>nurse and</w:t>
      </w:r>
      <w:r w:rsidR="00053127" w:rsidRPr="00440E77">
        <w:rPr>
          <w:rFonts w:ascii="Arial" w:hAnsi="Arial" w:cs="Arial"/>
          <w:sz w:val="22"/>
          <w:szCs w:val="22"/>
        </w:rPr>
        <w:t xml:space="preserve"> bearing in mind what was said in the expert report </w:t>
      </w:r>
      <w:r w:rsidR="00E63F55" w:rsidRPr="00440E77">
        <w:rPr>
          <w:rFonts w:ascii="Arial" w:hAnsi="Arial" w:cs="Arial"/>
          <w:sz w:val="22"/>
          <w:szCs w:val="22"/>
        </w:rPr>
        <w:t xml:space="preserve">and the country guidance, I consider the grounds set out </w:t>
      </w:r>
      <w:r w:rsidR="006963A1" w:rsidRPr="00440E77">
        <w:rPr>
          <w:rFonts w:ascii="Arial" w:hAnsi="Arial" w:cs="Arial"/>
          <w:sz w:val="22"/>
          <w:szCs w:val="22"/>
        </w:rPr>
        <w:t>a</w:t>
      </w:r>
      <w:r w:rsidR="00E63F55" w:rsidRPr="00440E77">
        <w:rPr>
          <w:rFonts w:ascii="Arial" w:hAnsi="Arial" w:cs="Arial"/>
          <w:sz w:val="22"/>
          <w:szCs w:val="22"/>
        </w:rPr>
        <w:t xml:space="preserve">n arguable challenge to the </w:t>
      </w:r>
      <w:r w:rsidR="00214723" w:rsidRPr="00440E77">
        <w:rPr>
          <w:rFonts w:ascii="Arial" w:hAnsi="Arial" w:cs="Arial"/>
          <w:sz w:val="22"/>
          <w:szCs w:val="22"/>
        </w:rPr>
        <w:t>judge’s</w:t>
      </w:r>
      <w:r w:rsidR="00E63F55" w:rsidRPr="00440E77">
        <w:rPr>
          <w:rFonts w:ascii="Arial" w:hAnsi="Arial" w:cs="Arial"/>
          <w:sz w:val="22"/>
          <w:szCs w:val="22"/>
        </w:rPr>
        <w:t xml:space="preserve"> decision.</w:t>
      </w:r>
      <w:r w:rsidRPr="00440E77">
        <w:rPr>
          <w:rFonts w:ascii="Arial" w:hAnsi="Arial" w:cs="Arial"/>
          <w:sz w:val="22"/>
          <w:szCs w:val="22"/>
        </w:rPr>
        <w:t>”</w:t>
      </w:r>
    </w:p>
    <w:p w14:paraId="7DA12A29" w14:textId="5F2B19A9" w:rsidR="003665CD" w:rsidRPr="00440E77" w:rsidRDefault="00F871ED"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 xml:space="preserve">By a rule 24 response dated 22 December 2017 the </w:t>
      </w:r>
      <w:r w:rsidR="001A2C99" w:rsidRPr="00440E77">
        <w:rPr>
          <w:rFonts w:ascii="Book Antiqua" w:hAnsi="Book Antiqua"/>
          <w:sz w:val="22"/>
          <w:szCs w:val="22"/>
        </w:rPr>
        <w:t>R</w:t>
      </w:r>
      <w:r w:rsidRPr="00440E77">
        <w:rPr>
          <w:rFonts w:ascii="Book Antiqua" w:hAnsi="Book Antiqua"/>
          <w:sz w:val="22"/>
          <w:szCs w:val="22"/>
        </w:rPr>
        <w:t xml:space="preserve">espondent opposed the appeal submitting that the </w:t>
      </w:r>
      <w:r w:rsidR="00214723" w:rsidRPr="00440E77">
        <w:rPr>
          <w:rFonts w:ascii="Book Antiqua" w:hAnsi="Book Antiqua"/>
          <w:sz w:val="22"/>
          <w:szCs w:val="22"/>
        </w:rPr>
        <w:t>F</w:t>
      </w:r>
      <w:r w:rsidRPr="00440E77">
        <w:rPr>
          <w:rFonts w:ascii="Book Antiqua" w:hAnsi="Book Antiqua"/>
          <w:sz w:val="22"/>
          <w:szCs w:val="22"/>
        </w:rPr>
        <w:t xml:space="preserve">irst-tier Tribunal </w:t>
      </w:r>
      <w:r w:rsidR="00B874E7" w:rsidRPr="00440E77">
        <w:rPr>
          <w:rFonts w:ascii="Book Antiqua" w:hAnsi="Book Antiqua"/>
          <w:sz w:val="22"/>
          <w:szCs w:val="22"/>
        </w:rPr>
        <w:t>J</w:t>
      </w:r>
      <w:r w:rsidRPr="00440E77">
        <w:rPr>
          <w:rFonts w:ascii="Book Antiqua" w:hAnsi="Book Antiqua"/>
          <w:sz w:val="22"/>
          <w:szCs w:val="22"/>
        </w:rPr>
        <w:t xml:space="preserve">udge </w:t>
      </w:r>
      <w:r w:rsidR="00216757" w:rsidRPr="00440E77">
        <w:rPr>
          <w:rFonts w:ascii="Book Antiqua" w:hAnsi="Book Antiqua"/>
          <w:sz w:val="22"/>
          <w:szCs w:val="22"/>
        </w:rPr>
        <w:t xml:space="preserve">directed himself appropriately. Permission focuses on the narrow issue </w:t>
      </w:r>
      <w:r w:rsidR="00FC2D13" w:rsidRPr="00440E77">
        <w:rPr>
          <w:rFonts w:ascii="Book Antiqua" w:hAnsi="Book Antiqua"/>
          <w:sz w:val="22"/>
          <w:szCs w:val="22"/>
        </w:rPr>
        <w:t xml:space="preserve">of </w:t>
      </w:r>
      <w:r w:rsidR="009E306B" w:rsidRPr="00440E77">
        <w:rPr>
          <w:rFonts w:ascii="Book Antiqua" w:hAnsi="Book Antiqua"/>
          <w:sz w:val="22"/>
          <w:szCs w:val="22"/>
        </w:rPr>
        <w:t>whether</w:t>
      </w:r>
      <w:r w:rsidR="00FC2D13" w:rsidRPr="00440E77">
        <w:rPr>
          <w:rFonts w:ascii="Book Antiqua" w:hAnsi="Book Antiqua"/>
          <w:sz w:val="22"/>
          <w:szCs w:val="22"/>
        </w:rPr>
        <w:t xml:space="preserve"> </w:t>
      </w:r>
      <w:r w:rsidR="006F79B4" w:rsidRPr="00440E77">
        <w:rPr>
          <w:rFonts w:ascii="Book Antiqua" w:hAnsi="Book Antiqua"/>
          <w:sz w:val="22"/>
          <w:szCs w:val="22"/>
        </w:rPr>
        <w:t xml:space="preserve">it is arguable that </w:t>
      </w:r>
      <w:r w:rsidR="00FC2D13" w:rsidRPr="00440E77">
        <w:rPr>
          <w:rFonts w:ascii="Book Antiqua" w:hAnsi="Book Antiqua"/>
          <w:sz w:val="22"/>
          <w:szCs w:val="22"/>
        </w:rPr>
        <w:t xml:space="preserve">a nurse with past involvement with government hospitals came within </w:t>
      </w:r>
      <w:r w:rsidR="00B874E7" w:rsidRPr="00440E77">
        <w:rPr>
          <w:rFonts w:ascii="Book Antiqua" w:hAnsi="Book Antiqua"/>
          <w:sz w:val="22"/>
          <w:szCs w:val="22"/>
        </w:rPr>
        <w:t xml:space="preserve">the </w:t>
      </w:r>
      <w:r w:rsidR="00FC2D13" w:rsidRPr="00440E77">
        <w:rPr>
          <w:rFonts w:ascii="Book Antiqua" w:hAnsi="Book Antiqua"/>
          <w:sz w:val="22"/>
          <w:szCs w:val="22"/>
        </w:rPr>
        <w:t xml:space="preserve">enhanced risk categories identified in the </w:t>
      </w:r>
      <w:r w:rsidR="00B874E7" w:rsidRPr="00440E77">
        <w:rPr>
          <w:rFonts w:ascii="Book Antiqua" w:hAnsi="Book Antiqua"/>
          <w:sz w:val="22"/>
          <w:szCs w:val="22"/>
        </w:rPr>
        <w:t>C</w:t>
      </w:r>
      <w:r w:rsidR="00FC2D13" w:rsidRPr="00440E77">
        <w:rPr>
          <w:rFonts w:ascii="Book Antiqua" w:hAnsi="Book Antiqua"/>
          <w:sz w:val="22"/>
          <w:szCs w:val="22"/>
        </w:rPr>
        <w:t xml:space="preserve">ountry </w:t>
      </w:r>
      <w:r w:rsidR="00B874E7" w:rsidRPr="00440E77">
        <w:rPr>
          <w:rFonts w:ascii="Book Antiqua" w:hAnsi="Book Antiqua"/>
          <w:sz w:val="22"/>
          <w:szCs w:val="22"/>
        </w:rPr>
        <w:t>G</w:t>
      </w:r>
      <w:r w:rsidR="00FC2D13" w:rsidRPr="00440E77">
        <w:rPr>
          <w:rFonts w:ascii="Book Antiqua" w:hAnsi="Book Antiqua"/>
          <w:sz w:val="22"/>
          <w:szCs w:val="22"/>
        </w:rPr>
        <w:t xml:space="preserve">uidance decision. </w:t>
      </w:r>
      <w:r w:rsidR="006E65DC" w:rsidRPr="00440E77">
        <w:rPr>
          <w:rFonts w:ascii="Book Antiqua" w:hAnsi="Book Antiqua"/>
          <w:sz w:val="22"/>
          <w:szCs w:val="22"/>
        </w:rPr>
        <w:t xml:space="preserve">It is asserted that the decision of the </w:t>
      </w:r>
      <w:r w:rsidR="00503427" w:rsidRPr="00440E77">
        <w:rPr>
          <w:rFonts w:ascii="Book Antiqua" w:hAnsi="Book Antiqua"/>
          <w:sz w:val="22"/>
          <w:szCs w:val="22"/>
        </w:rPr>
        <w:t>F</w:t>
      </w:r>
      <w:r w:rsidR="006E65DC" w:rsidRPr="00440E77">
        <w:rPr>
          <w:rFonts w:ascii="Book Antiqua" w:hAnsi="Book Antiqua"/>
          <w:sz w:val="22"/>
          <w:szCs w:val="22"/>
        </w:rPr>
        <w:t xml:space="preserve">irst-tier </w:t>
      </w:r>
      <w:r w:rsidR="00503427" w:rsidRPr="00440E77">
        <w:rPr>
          <w:rFonts w:ascii="Book Antiqua" w:hAnsi="Book Antiqua"/>
          <w:sz w:val="22"/>
          <w:szCs w:val="22"/>
        </w:rPr>
        <w:t>J</w:t>
      </w:r>
      <w:r w:rsidR="006E65DC" w:rsidRPr="00440E77">
        <w:rPr>
          <w:rFonts w:ascii="Book Antiqua" w:hAnsi="Book Antiqua"/>
          <w:sz w:val="22"/>
          <w:szCs w:val="22"/>
        </w:rPr>
        <w:t xml:space="preserve">udge shows that he was aware of this issue and having assessed the </w:t>
      </w:r>
      <w:r w:rsidR="00503427" w:rsidRPr="00440E77">
        <w:rPr>
          <w:rFonts w:ascii="Book Antiqua" w:hAnsi="Book Antiqua"/>
          <w:sz w:val="22"/>
          <w:szCs w:val="22"/>
        </w:rPr>
        <w:t>A</w:t>
      </w:r>
      <w:r w:rsidR="006E65DC" w:rsidRPr="00440E77">
        <w:rPr>
          <w:rFonts w:ascii="Book Antiqua" w:hAnsi="Book Antiqua"/>
          <w:sz w:val="22"/>
          <w:szCs w:val="22"/>
        </w:rPr>
        <w:t xml:space="preserve">ppellant’s evidence concluded that his claim did not demonstrate </w:t>
      </w:r>
      <w:r w:rsidR="003C497B" w:rsidRPr="00440E77">
        <w:rPr>
          <w:rFonts w:ascii="Book Antiqua" w:hAnsi="Book Antiqua"/>
          <w:sz w:val="22"/>
          <w:szCs w:val="22"/>
        </w:rPr>
        <w:t xml:space="preserve">that he was at enhanced risk and the expert </w:t>
      </w:r>
      <w:r w:rsidR="00613740" w:rsidRPr="00440E77">
        <w:rPr>
          <w:rFonts w:ascii="Book Antiqua" w:hAnsi="Book Antiqua"/>
          <w:sz w:val="22"/>
          <w:szCs w:val="22"/>
        </w:rPr>
        <w:t>evidence was rejected in this regard</w:t>
      </w:r>
      <w:r w:rsidR="003665CD" w:rsidRPr="00440E77">
        <w:rPr>
          <w:rFonts w:ascii="Book Antiqua" w:hAnsi="Book Antiqua"/>
          <w:sz w:val="22"/>
          <w:szCs w:val="22"/>
        </w:rPr>
        <w:t>.</w:t>
      </w:r>
      <w:r w:rsidR="003C497B" w:rsidRPr="00440E77">
        <w:rPr>
          <w:rFonts w:ascii="Book Antiqua" w:hAnsi="Book Antiqua"/>
          <w:sz w:val="22"/>
          <w:szCs w:val="22"/>
        </w:rPr>
        <w:t xml:space="preserve"> </w:t>
      </w:r>
    </w:p>
    <w:p w14:paraId="330913D3" w14:textId="77777777" w:rsidR="00CD7CCE" w:rsidRPr="00440E77" w:rsidRDefault="00CD7CCE" w:rsidP="00440E77">
      <w:pPr>
        <w:spacing w:before="240"/>
        <w:jc w:val="both"/>
        <w:rPr>
          <w:rFonts w:ascii="Book Antiqua" w:hAnsi="Book Antiqua" w:cs="Arial"/>
          <w:b/>
          <w:sz w:val="22"/>
          <w:szCs w:val="22"/>
          <w:u w:val="single"/>
        </w:rPr>
      </w:pPr>
      <w:r w:rsidRPr="00440E77">
        <w:rPr>
          <w:rFonts w:ascii="Book Antiqua" w:hAnsi="Book Antiqua" w:cs="Arial"/>
          <w:b/>
          <w:sz w:val="22"/>
          <w:szCs w:val="22"/>
          <w:u w:val="single"/>
        </w:rPr>
        <w:t>Background</w:t>
      </w:r>
    </w:p>
    <w:p w14:paraId="7E273BD0" w14:textId="08304CF5" w:rsidR="003E4637" w:rsidRPr="00440E77" w:rsidRDefault="000A319C"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 xml:space="preserve">The history of this appeal is detailed above. The </w:t>
      </w:r>
      <w:r w:rsidR="00E16D68" w:rsidRPr="00440E77">
        <w:rPr>
          <w:rFonts w:ascii="Book Antiqua" w:hAnsi="Book Antiqua"/>
          <w:sz w:val="22"/>
          <w:szCs w:val="22"/>
        </w:rPr>
        <w:t>Appellant</w:t>
      </w:r>
      <w:r w:rsidRPr="00440E77">
        <w:rPr>
          <w:rFonts w:ascii="Book Antiqua" w:hAnsi="Book Antiqua"/>
          <w:sz w:val="22"/>
          <w:szCs w:val="22"/>
        </w:rPr>
        <w:t xml:space="preserve"> </w:t>
      </w:r>
      <w:r w:rsidR="003B7FE3" w:rsidRPr="00440E77">
        <w:rPr>
          <w:rFonts w:ascii="Book Antiqua" w:hAnsi="Book Antiqua"/>
          <w:sz w:val="22"/>
          <w:szCs w:val="22"/>
        </w:rPr>
        <w:t>is</w:t>
      </w:r>
      <w:r w:rsidRPr="00440E77">
        <w:rPr>
          <w:rFonts w:ascii="Book Antiqua" w:hAnsi="Book Antiqua"/>
          <w:sz w:val="22"/>
          <w:szCs w:val="22"/>
        </w:rPr>
        <w:t xml:space="preserve"> a citizen of </w:t>
      </w:r>
      <w:r w:rsidR="00CD7CCE" w:rsidRPr="00440E77">
        <w:rPr>
          <w:rFonts w:ascii="Book Antiqua" w:hAnsi="Book Antiqua"/>
          <w:sz w:val="22"/>
          <w:szCs w:val="22"/>
        </w:rPr>
        <w:t>Somalia</w:t>
      </w:r>
      <w:r w:rsidRPr="00440E77">
        <w:rPr>
          <w:rFonts w:ascii="Book Antiqua" w:hAnsi="Book Antiqua"/>
          <w:sz w:val="22"/>
          <w:szCs w:val="22"/>
        </w:rPr>
        <w:t xml:space="preserve"> born on </w:t>
      </w:r>
      <w:r w:rsidR="009C0BA0" w:rsidRPr="00440E77">
        <w:rPr>
          <w:rFonts w:ascii="Book Antiqua" w:hAnsi="Book Antiqua"/>
          <w:sz w:val="22"/>
          <w:szCs w:val="22"/>
        </w:rPr>
        <w:t>28 August 1992</w:t>
      </w:r>
      <w:r w:rsidR="00D32428" w:rsidRPr="00440E77">
        <w:rPr>
          <w:rFonts w:ascii="Book Antiqua" w:hAnsi="Book Antiqua"/>
          <w:sz w:val="22"/>
          <w:szCs w:val="22"/>
        </w:rPr>
        <w:t xml:space="preserve">. </w:t>
      </w:r>
      <w:r w:rsidR="001019E4" w:rsidRPr="00440E77">
        <w:rPr>
          <w:rFonts w:ascii="Book Antiqua" w:hAnsi="Book Antiqua"/>
          <w:sz w:val="22"/>
          <w:szCs w:val="22"/>
        </w:rPr>
        <w:t>He arrived</w:t>
      </w:r>
      <w:r w:rsidR="00B53D5D" w:rsidRPr="00440E77">
        <w:rPr>
          <w:rFonts w:ascii="Book Antiqua" w:hAnsi="Book Antiqua"/>
          <w:sz w:val="22"/>
          <w:szCs w:val="22"/>
        </w:rPr>
        <w:t xml:space="preserve"> in the United Kingdom </w:t>
      </w:r>
      <w:r w:rsidR="00C9451E" w:rsidRPr="00440E77">
        <w:rPr>
          <w:rFonts w:ascii="Book Antiqua" w:hAnsi="Book Antiqua"/>
          <w:sz w:val="22"/>
          <w:szCs w:val="22"/>
        </w:rPr>
        <w:t>o</w:t>
      </w:r>
      <w:r w:rsidR="004E5EA1" w:rsidRPr="00440E77">
        <w:rPr>
          <w:rFonts w:ascii="Book Antiqua" w:hAnsi="Book Antiqua"/>
          <w:sz w:val="22"/>
          <w:szCs w:val="22"/>
        </w:rPr>
        <w:t>n</w:t>
      </w:r>
      <w:r w:rsidR="00C9451E" w:rsidRPr="00440E77">
        <w:rPr>
          <w:rFonts w:ascii="Book Antiqua" w:hAnsi="Book Antiqua"/>
          <w:sz w:val="22"/>
          <w:szCs w:val="22"/>
        </w:rPr>
        <w:t xml:space="preserve"> 24 September 2016 and claimed asylum on arrival. </w:t>
      </w:r>
      <w:r w:rsidR="00DC081D" w:rsidRPr="00440E77">
        <w:rPr>
          <w:rFonts w:ascii="Book Antiqua" w:hAnsi="Book Antiqua"/>
          <w:sz w:val="22"/>
          <w:szCs w:val="22"/>
        </w:rPr>
        <w:t xml:space="preserve">The basis of his claim </w:t>
      </w:r>
      <w:r w:rsidR="006A104D" w:rsidRPr="00440E77">
        <w:rPr>
          <w:rFonts w:ascii="Book Antiqua" w:hAnsi="Book Antiqua"/>
          <w:sz w:val="22"/>
          <w:szCs w:val="22"/>
        </w:rPr>
        <w:t xml:space="preserve">was that he was </w:t>
      </w:r>
      <w:r w:rsidR="00214723" w:rsidRPr="00440E77">
        <w:rPr>
          <w:rFonts w:ascii="Book Antiqua" w:hAnsi="Book Antiqua"/>
          <w:sz w:val="22"/>
          <w:szCs w:val="22"/>
        </w:rPr>
        <w:t>a</w:t>
      </w:r>
      <w:r w:rsidR="006A104D" w:rsidRPr="00440E77">
        <w:rPr>
          <w:rFonts w:ascii="Book Antiqua" w:hAnsi="Book Antiqua"/>
          <w:sz w:val="22"/>
          <w:szCs w:val="22"/>
        </w:rPr>
        <w:t xml:space="preserve">bducted by members of Al-Shabaab whilst working </w:t>
      </w:r>
      <w:r w:rsidR="008E6251" w:rsidRPr="00440E77">
        <w:rPr>
          <w:rFonts w:ascii="Book Antiqua" w:hAnsi="Book Antiqua"/>
          <w:sz w:val="22"/>
          <w:szCs w:val="22"/>
        </w:rPr>
        <w:t xml:space="preserve">as a nurse at a </w:t>
      </w:r>
      <w:r w:rsidR="00214723" w:rsidRPr="00440E77">
        <w:rPr>
          <w:rFonts w:ascii="Book Antiqua" w:hAnsi="Book Antiqua"/>
          <w:sz w:val="22"/>
          <w:szCs w:val="22"/>
        </w:rPr>
        <w:t>hospital</w:t>
      </w:r>
      <w:r w:rsidR="008E6251" w:rsidRPr="00440E77">
        <w:rPr>
          <w:rFonts w:ascii="Book Antiqua" w:hAnsi="Book Antiqua"/>
          <w:sz w:val="22"/>
          <w:szCs w:val="22"/>
        </w:rPr>
        <w:t xml:space="preserve"> in </w:t>
      </w:r>
      <w:r w:rsidR="00214723" w:rsidRPr="00440E77">
        <w:rPr>
          <w:rFonts w:ascii="Book Antiqua" w:hAnsi="Book Antiqua"/>
          <w:sz w:val="22"/>
          <w:szCs w:val="22"/>
        </w:rPr>
        <w:t>Mogadishu</w:t>
      </w:r>
      <w:r w:rsidR="008E6251" w:rsidRPr="00440E77">
        <w:rPr>
          <w:rFonts w:ascii="Book Antiqua" w:hAnsi="Book Antiqua"/>
          <w:sz w:val="22"/>
          <w:szCs w:val="22"/>
        </w:rPr>
        <w:t xml:space="preserve"> and subjected to forced labour. </w:t>
      </w:r>
      <w:r w:rsidR="00F8741E" w:rsidRPr="00440E77">
        <w:rPr>
          <w:rFonts w:ascii="Book Antiqua" w:hAnsi="Book Antiqua"/>
          <w:sz w:val="22"/>
          <w:szCs w:val="22"/>
        </w:rPr>
        <w:t>Having escaped from Al-Shabaab</w:t>
      </w:r>
      <w:r w:rsidR="00214723" w:rsidRPr="00440E77">
        <w:rPr>
          <w:rFonts w:ascii="Book Antiqua" w:hAnsi="Book Antiqua"/>
          <w:sz w:val="22"/>
          <w:szCs w:val="22"/>
        </w:rPr>
        <w:t xml:space="preserve"> </w:t>
      </w:r>
      <w:r w:rsidR="00F8741E" w:rsidRPr="00440E77">
        <w:rPr>
          <w:rFonts w:ascii="Book Antiqua" w:hAnsi="Book Antiqua"/>
          <w:sz w:val="22"/>
          <w:szCs w:val="22"/>
        </w:rPr>
        <w:t>he was subjected to further threats from the group</w:t>
      </w:r>
      <w:r w:rsidR="00F942DD" w:rsidRPr="00440E77">
        <w:rPr>
          <w:rFonts w:ascii="Book Antiqua" w:hAnsi="Book Antiqua"/>
          <w:sz w:val="22"/>
          <w:szCs w:val="22"/>
        </w:rPr>
        <w:t xml:space="preserve"> and eventually, after they had killed his uncle who was a policeman, the group threatened to kill the </w:t>
      </w:r>
      <w:r w:rsidR="00214723" w:rsidRPr="00440E77">
        <w:rPr>
          <w:rFonts w:ascii="Book Antiqua" w:hAnsi="Book Antiqua"/>
          <w:sz w:val="22"/>
          <w:szCs w:val="22"/>
        </w:rPr>
        <w:t>Appellant</w:t>
      </w:r>
      <w:r w:rsidR="00F942DD" w:rsidRPr="00440E77">
        <w:rPr>
          <w:rFonts w:ascii="Book Antiqua" w:hAnsi="Book Antiqua"/>
          <w:sz w:val="22"/>
          <w:szCs w:val="22"/>
        </w:rPr>
        <w:t xml:space="preserve">. </w:t>
      </w:r>
    </w:p>
    <w:p w14:paraId="7267A412" w14:textId="1A42A504" w:rsidR="001E43E6" w:rsidRPr="00440E77" w:rsidRDefault="00D26F02"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 xml:space="preserve">Following his asylum interview on 22 February 2017 the </w:t>
      </w:r>
      <w:r w:rsidR="00214723" w:rsidRPr="00440E77">
        <w:rPr>
          <w:rFonts w:ascii="Book Antiqua" w:hAnsi="Book Antiqua"/>
          <w:sz w:val="22"/>
          <w:szCs w:val="22"/>
        </w:rPr>
        <w:t>R</w:t>
      </w:r>
      <w:r w:rsidRPr="00440E77">
        <w:rPr>
          <w:rFonts w:ascii="Book Antiqua" w:hAnsi="Book Antiqua"/>
          <w:sz w:val="22"/>
          <w:szCs w:val="22"/>
        </w:rPr>
        <w:t xml:space="preserve">espondent refused the application. The </w:t>
      </w:r>
      <w:r w:rsidR="00214723" w:rsidRPr="00440E77">
        <w:rPr>
          <w:rFonts w:ascii="Book Antiqua" w:hAnsi="Book Antiqua"/>
          <w:sz w:val="22"/>
          <w:szCs w:val="22"/>
        </w:rPr>
        <w:t>R</w:t>
      </w:r>
      <w:r w:rsidRPr="00440E77">
        <w:rPr>
          <w:rFonts w:ascii="Book Antiqua" w:hAnsi="Book Antiqua"/>
          <w:sz w:val="22"/>
          <w:szCs w:val="22"/>
        </w:rPr>
        <w:t xml:space="preserve">espondent accepted that the </w:t>
      </w:r>
      <w:r w:rsidR="00214723" w:rsidRPr="00440E77">
        <w:rPr>
          <w:rFonts w:ascii="Book Antiqua" w:hAnsi="Book Antiqua"/>
          <w:sz w:val="22"/>
          <w:szCs w:val="22"/>
        </w:rPr>
        <w:t>A</w:t>
      </w:r>
      <w:r w:rsidRPr="00440E77">
        <w:rPr>
          <w:rFonts w:ascii="Book Antiqua" w:hAnsi="Book Antiqua"/>
          <w:sz w:val="22"/>
          <w:szCs w:val="22"/>
        </w:rPr>
        <w:t xml:space="preserve">ppellant </w:t>
      </w:r>
      <w:r w:rsidR="00AF232D" w:rsidRPr="00440E77">
        <w:rPr>
          <w:rFonts w:ascii="Book Antiqua" w:hAnsi="Book Antiqua"/>
          <w:sz w:val="22"/>
          <w:szCs w:val="22"/>
        </w:rPr>
        <w:t xml:space="preserve">was a member of the minority Ashraf clan but did not accept that this would cause him to be of adverse interest. </w:t>
      </w:r>
      <w:r w:rsidR="0054667C" w:rsidRPr="00440E77">
        <w:rPr>
          <w:rFonts w:ascii="Book Antiqua" w:hAnsi="Book Antiqua"/>
          <w:sz w:val="22"/>
          <w:szCs w:val="22"/>
        </w:rPr>
        <w:t xml:space="preserve">The </w:t>
      </w:r>
      <w:r w:rsidR="00214723" w:rsidRPr="00440E77">
        <w:rPr>
          <w:rFonts w:ascii="Book Antiqua" w:hAnsi="Book Antiqua"/>
          <w:sz w:val="22"/>
          <w:szCs w:val="22"/>
        </w:rPr>
        <w:t>R</w:t>
      </w:r>
      <w:r w:rsidR="0054667C" w:rsidRPr="00440E77">
        <w:rPr>
          <w:rFonts w:ascii="Book Antiqua" w:hAnsi="Book Antiqua"/>
          <w:sz w:val="22"/>
          <w:szCs w:val="22"/>
        </w:rPr>
        <w:t>espond</w:t>
      </w:r>
      <w:r w:rsidR="00214723" w:rsidRPr="00440E77">
        <w:rPr>
          <w:rFonts w:ascii="Book Antiqua" w:hAnsi="Book Antiqua"/>
          <w:sz w:val="22"/>
          <w:szCs w:val="22"/>
        </w:rPr>
        <w:t>ent did</w:t>
      </w:r>
      <w:r w:rsidR="00DB484C" w:rsidRPr="00440E77">
        <w:rPr>
          <w:rFonts w:ascii="Book Antiqua" w:hAnsi="Book Antiqua"/>
          <w:sz w:val="22"/>
          <w:szCs w:val="22"/>
        </w:rPr>
        <w:t xml:space="preserve"> not accept that the </w:t>
      </w:r>
      <w:r w:rsidR="00214723" w:rsidRPr="00440E77">
        <w:rPr>
          <w:rFonts w:ascii="Book Antiqua" w:hAnsi="Book Antiqua"/>
          <w:sz w:val="22"/>
          <w:szCs w:val="22"/>
        </w:rPr>
        <w:t>A</w:t>
      </w:r>
      <w:r w:rsidR="00DB484C" w:rsidRPr="00440E77">
        <w:rPr>
          <w:rFonts w:ascii="Book Antiqua" w:hAnsi="Book Antiqua"/>
          <w:sz w:val="22"/>
          <w:szCs w:val="22"/>
        </w:rPr>
        <w:t>ppellant had been threatened by Al</w:t>
      </w:r>
      <w:r w:rsidR="007677BA" w:rsidRPr="00440E77">
        <w:rPr>
          <w:rFonts w:ascii="Book Antiqua" w:hAnsi="Book Antiqua"/>
          <w:sz w:val="22"/>
          <w:szCs w:val="22"/>
        </w:rPr>
        <w:t>-</w:t>
      </w:r>
      <w:r w:rsidR="00DB484C" w:rsidRPr="00440E77">
        <w:rPr>
          <w:rFonts w:ascii="Book Antiqua" w:hAnsi="Book Antiqua"/>
          <w:sz w:val="22"/>
          <w:szCs w:val="22"/>
        </w:rPr>
        <w:t>Shaba</w:t>
      </w:r>
      <w:r w:rsidR="00361324" w:rsidRPr="00440E77">
        <w:rPr>
          <w:rFonts w:ascii="Book Antiqua" w:hAnsi="Book Antiqua"/>
          <w:sz w:val="22"/>
          <w:szCs w:val="22"/>
        </w:rPr>
        <w:t>ab</w:t>
      </w:r>
      <w:r w:rsidR="00DB484C" w:rsidRPr="00440E77">
        <w:rPr>
          <w:rFonts w:ascii="Book Antiqua" w:hAnsi="Book Antiqua"/>
          <w:sz w:val="22"/>
          <w:szCs w:val="22"/>
        </w:rPr>
        <w:t xml:space="preserve"> </w:t>
      </w:r>
      <w:r w:rsidR="00B5746A" w:rsidRPr="00440E77">
        <w:rPr>
          <w:rFonts w:ascii="Book Antiqua" w:hAnsi="Book Antiqua"/>
          <w:sz w:val="22"/>
          <w:szCs w:val="22"/>
        </w:rPr>
        <w:t xml:space="preserve">or that </w:t>
      </w:r>
      <w:r w:rsidR="001E43E6" w:rsidRPr="00440E77">
        <w:rPr>
          <w:rFonts w:ascii="Book Antiqua" w:hAnsi="Book Antiqua"/>
          <w:sz w:val="22"/>
          <w:szCs w:val="22"/>
        </w:rPr>
        <w:t>the other core fact</w:t>
      </w:r>
      <w:r w:rsidR="00361324" w:rsidRPr="00440E77">
        <w:rPr>
          <w:rFonts w:ascii="Book Antiqua" w:hAnsi="Book Antiqua"/>
          <w:sz w:val="22"/>
          <w:szCs w:val="22"/>
        </w:rPr>
        <w:t>s of his</w:t>
      </w:r>
      <w:r w:rsidR="001E43E6" w:rsidRPr="00440E77">
        <w:rPr>
          <w:rFonts w:ascii="Book Antiqua" w:hAnsi="Book Antiqua"/>
          <w:sz w:val="22"/>
          <w:szCs w:val="22"/>
        </w:rPr>
        <w:t xml:space="preserve"> account were true.</w:t>
      </w:r>
    </w:p>
    <w:p w14:paraId="5FE5B071" w14:textId="784A8778" w:rsidR="005E6078" w:rsidRPr="00440E77" w:rsidRDefault="002A7C4D"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 xml:space="preserve">At the hearing on </w:t>
      </w:r>
      <w:r w:rsidR="001E43E6" w:rsidRPr="00440E77">
        <w:rPr>
          <w:rFonts w:ascii="Book Antiqua" w:hAnsi="Book Antiqua"/>
          <w:sz w:val="22"/>
          <w:szCs w:val="22"/>
        </w:rPr>
        <w:t>16 May</w:t>
      </w:r>
      <w:r w:rsidRPr="00440E77">
        <w:rPr>
          <w:rFonts w:ascii="Book Antiqua" w:hAnsi="Book Antiqua"/>
          <w:sz w:val="22"/>
          <w:szCs w:val="22"/>
        </w:rPr>
        <w:t xml:space="preserve"> 2017 the </w:t>
      </w:r>
      <w:r w:rsidR="00214723" w:rsidRPr="00440E77">
        <w:rPr>
          <w:rFonts w:ascii="Book Antiqua" w:hAnsi="Book Antiqua"/>
          <w:sz w:val="22"/>
          <w:szCs w:val="22"/>
        </w:rPr>
        <w:t>A</w:t>
      </w:r>
      <w:r w:rsidRPr="00440E77">
        <w:rPr>
          <w:rFonts w:ascii="Book Antiqua" w:hAnsi="Book Antiqua"/>
          <w:sz w:val="22"/>
          <w:szCs w:val="22"/>
        </w:rPr>
        <w:t xml:space="preserve">ppellant was represented by counsel </w:t>
      </w:r>
      <w:r w:rsidR="00C9188C" w:rsidRPr="00440E77">
        <w:rPr>
          <w:rFonts w:ascii="Book Antiqua" w:hAnsi="Book Antiqua"/>
          <w:sz w:val="22"/>
          <w:szCs w:val="22"/>
        </w:rPr>
        <w:t xml:space="preserve">and gave oral evidence. </w:t>
      </w:r>
      <w:r w:rsidR="005E6078" w:rsidRPr="00440E77">
        <w:rPr>
          <w:rFonts w:ascii="Book Antiqua" w:hAnsi="Book Antiqua"/>
          <w:sz w:val="22"/>
          <w:szCs w:val="22"/>
        </w:rPr>
        <w:t xml:space="preserve">The </w:t>
      </w:r>
      <w:r w:rsidR="00E16D68" w:rsidRPr="00440E77">
        <w:rPr>
          <w:rFonts w:ascii="Book Antiqua" w:hAnsi="Book Antiqua"/>
          <w:sz w:val="22"/>
          <w:szCs w:val="22"/>
        </w:rPr>
        <w:t>Judge</w:t>
      </w:r>
      <w:r w:rsidR="005E6078" w:rsidRPr="00440E77">
        <w:rPr>
          <w:rFonts w:ascii="Book Antiqua" w:hAnsi="Book Antiqua"/>
          <w:sz w:val="22"/>
          <w:szCs w:val="22"/>
        </w:rPr>
        <w:t xml:space="preserve"> dismissed the appeal finding, essentially in agreement with the </w:t>
      </w:r>
      <w:r w:rsidR="00E16D68" w:rsidRPr="00440E77">
        <w:rPr>
          <w:rFonts w:ascii="Book Antiqua" w:hAnsi="Book Antiqua"/>
          <w:sz w:val="22"/>
          <w:szCs w:val="22"/>
        </w:rPr>
        <w:t>Respondent</w:t>
      </w:r>
      <w:r w:rsidR="005E6078" w:rsidRPr="00440E77">
        <w:rPr>
          <w:rFonts w:ascii="Book Antiqua" w:hAnsi="Book Antiqua"/>
          <w:sz w:val="22"/>
          <w:szCs w:val="22"/>
        </w:rPr>
        <w:t xml:space="preserve">’s refusal letter, that the </w:t>
      </w:r>
      <w:r w:rsidR="00E16D68" w:rsidRPr="00440E77">
        <w:rPr>
          <w:rFonts w:ascii="Book Antiqua" w:hAnsi="Book Antiqua"/>
          <w:sz w:val="22"/>
          <w:szCs w:val="22"/>
        </w:rPr>
        <w:t>Appellant</w:t>
      </w:r>
      <w:r w:rsidR="00BF28AB" w:rsidRPr="00440E77">
        <w:rPr>
          <w:rFonts w:ascii="Book Antiqua" w:hAnsi="Book Antiqua"/>
          <w:sz w:val="22"/>
          <w:szCs w:val="22"/>
        </w:rPr>
        <w:t>’s account</w:t>
      </w:r>
      <w:r w:rsidR="006D7387" w:rsidRPr="00440E77">
        <w:rPr>
          <w:rFonts w:ascii="Book Antiqua" w:hAnsi="Book Antiqua"/>
          <w:sz w:val="22"/>
          <w:szCs w:val="22"/>
        </w:rPr>
        <w:t xml:space="preserve">, other than his </w:t>
      </w:r>
      <w:r w:rsidR="006B2208" w:rsidRPr="00440E77">
        <w:rPr>
          <w:rFonts w:ascii="Book Antiqua" w:hAnsi="Book Antiqua"/>
          <w:sz w:val="22"/>
          <w:szCs w:val="22"/>
        </w:rPr>
        <w:t xml:space="preserve">training and </w:t>
      </w:r>
      <w:r w:rsidR="00CD5473" w:rsidRPr="00440E77">
        <w:rPr>
          <w:rFonts w:ascii="Book Antiqua" w:hAnsi="Book Antiqua"/>
          <w:sz w:val="22"/>
          <w:szCs w:val="22"/>
        </w:rPr>
        <w:t>qualification</w:t>
      </w:r>
      <w:r w:rsidR="006D7387" w:rsidRPr="00440E77">
        <w:rPr>
          <w:rFonts w:ascii="Book Antiqua" w:hAnsi="Book Antiqua"/>
          <w:sz w:val="22"/>
          <w:szCs w:val="22"/>
        </w:rPr>
        <w:t xml:space="preserve"> as a nurse,</w:t>
      </w:r>
      <w:r w:rsidR="00BF28AB" w:rsidRPr="00440E77">
        <w:rPr>
          <w:rFonts w:ascii="Book Antiqua" w:hAnsi="Book Antiqua"/>
          <w:sz w:val="22"/>
          <w:szCs w:val="22"/>
        </w:rPr>
        <w:t xml:space="preserve"> was not credible and that he would not face persecution </w:t>
      </w:r>
      <w:r w:rsidR="00CD5473" w:rsidRPr="00440E77">
        <w:rPr>
          <w:rFonts w:ascii="Book Antiqua" w:hAnsi="Book Antiqua"/>
          <w:sz w:val="22"/>
          <w:szCs w:val="22"/>
        </w:rPr>
        <w:t xml:space="preserve">or a risk of serious harm </w:t>
      </w:r>
      <w:r w:rsidR="00BF28AB" w:rsidRPr="00440E77">
        <w:rPr>
          <w:rFonts w:ascii="Book Antiqua" w:hAnsi="Book Antiqua"/>
          <w:sz w:val="22"/>
          <w:szCs w:val="22"/>
        </w:rPr>
        <w:t>upon his return.</w:t>
      </w:r>
      <w:r w:rsidR="005E6078" w:rsidRPr="00440E77">
        <w:rPr>
          <w:rFonts w:ascii="Book Antiqua" w:hAnsi="Book Antiqua"/>
          <w:sz w:val="22"/>
          <w:szCs w:val="22"/>
        </w:rPr>
        <w:t xml:space="preserve"> </w:t>
      </w:r>
    </w:p>
    <w:p w14:paraId="10B1A859" w14:textId="112E9609" w:rsidR="002A54E3" w:rsidRPr="00440E77" w:rsidRDefault="002A54E3" w:rsidP="00440E77">
      <w:pPr>
        <w:spacing w:before="240"/>
        <w:ind w:right="572"/>
        <w:jc w:val="both"/>
        <w:rPr>
          <w:rFonts w:ascii="Book Antiqua" w:hAnsi="Book Antiqua" w:cs="Arial"/>
          <w:b/>
          <w:sz w:val="22"/>
          <w:szCs w:val="22"/>
          <w:u w:val="single"/>
        </w:rPr>
      </w:pPr>
      <w:r w:rsidRPr="00440E77">
        <w:rPr>
          <w:rFonts w:ascii="Book Antiqua" w:hAnsi="Book Antiqua" w:cs="Arial"/>
          <w:b/>
          <w:sz w:val="22"/>
          <w:szCs w:val="22"/>
          <w:u w:val="single"/>
        </w:rPr>
        <w:t>Submissions</w:t>
      </w:r>
    </w:p>
    <w:p w14:paraId="34FA8B1A" w14:textId="0AB734EC" w:rsidR="00BD362F" w:rsidRPr="00440E77" w:rsidRDefault="00584568" w:rsidP="00440E77">
      <w:pPr>
        <w:numPr>
          <w:ilvl w:val="0"/>
          <w:numId w:val="1"/>
        </w:numPr>
        <w:tabs>
          <w:tab w:val="clear" w:pos="720"/>
          <w:tab w:val="num" w:pos="567"/>
        </w:tabs>
        <w:spacing w:before="240"/>
        <w:ind w:left="567" w:hanging="567"/>
        <w:jc w:val="both"/>
        <w:rPr>
          <w:rFonts w:ascii="Book Antiqua" w:hAnsi="Book Antiqua" w:cs="Arial"/>
          <w:b/>
          <w:sz w:val="22"/>
          <w:szCs w:val="22"/>
          <w:u w:val="single"/>
        </w:rPr>
      </w:pPr>
      <w:r w:rsidRPr="00440E77">
        <w:rPr>
          <w:rFonts w:ascii="Book Antiqua" w:hAnsi="Book Antiqua"/>
          <w:sz w:val="22"/>
          <w:szCs w:val="22"/>
        </w:rPr>
        <w:t xml:space="preserve">At the hearing before me Mr McGarvey appeared for the Appellant and Mr Howells for the Respondent. Neither submitted any </w:t>
      </w:r>
      <w:r w:rsidR="00BD362F" w:rsidRPr="00440E77">
        <w:rPr>
          <w:rFonts w:ascii="Book Antiqua" w:hAnsi="Book Antiqua"/>
          <w:sz w:val="22"/>
          <w:szCs w:val="22"/>
        </w:rPr>
        <w:t>additional documentation.</w:t>
      </w:r>
    </w:p>
    <w:p w14:paraId="38ACF394" w14:textId="5F6D8F48" w:rsidR="00234F6F" w:rsidRPr="00440E77" w:rsidRDefault="00F30443" w:rsidP="00440E77">
      <w:pPr>
        <w:numPr>
          <w:ilvl w:val="0"/>
          <w:numId w:val="1"/>
        </w:numPr>
        <w:tabs>
          <w:tab w:val="clear" w:pos="720"/>
          <w:tab w:val="num" w:pos="567"/>
        </w:tabs>
        <w:spacing w:before="240"/>
        <w:ind w:left="567" w:hanging="567"/>
        <w:jc w:val="both"/>
        <w:rPr>
          <w:rFonts w:ascii="Book Antiqua" w:hAnsi="Book Antiqua" w:cs="Arial"/>
          <w:b/>
          <w:sz w:val="22"/>
          <w:szCs w:val="22"/>
          <w:u w:val="single"/>
        </w:rPr>
      </w:pPr>
      <w:r w:rsidRPr="00440E77">
        <w:rPr>
          <w:rFonts w:ascii="Book Antiqua" w:hAnsi="Book Antiqua"/>
          <w:sz w:val="22"/>
          <w:szCs w:val="22"/>
        </w:rPr>
        <w:t xml:space="preserve">For the </w:t>
      </w:r>
      <w:r w:rsidR="00E16D68" w:rsidRPr="00440E77">
        <w:rPr>
          <w:rFonts w:ascii="Book Antiqua" w:hAnsi="Book Antiqua"/>
          <w:sz w:val="22"/>
          <w:szCs w:val="22"/>
        </w:rPr>
        <w:t>Appellant</w:t>
      </w:r>
      <w:r w:rsidR="0064170C" w:rsidRPr="00440E77">
        <w:rPr>
          <w:rFonts w:ascii="Book Antiqua" w:hAnsi="Book Antiqua"/>
          <w:sz w:val="22"/>
          <w:szCs w:val="22"/>
        </w:rPr>
        <w:t xml:space="preserve"> </w:t>
      </w:r>
      <w:r w:rsidR="00173843" w:rsidRPr="00440E77">
        <w:rPr>
          <w:rFonts w:ascii="Book Antiqua" w:hAnsi="Book Antiqua"/>
          <w:sz w:val="22"/>
          <w:szCs w:val="22"/>
        </w:rPr>
        <w:t>M</w:t>
      </w:r>
      <w:r w:rsidR="005E6078" w:rsidRPr="00440E77">
        <w:rPr>
          <w:rFonts w:ascii="Book Antiqua" w:hAnsi="Book Antiqua"/>
          <w:sz w:val="22"/>
          <w:szCs w:val="22"/>
        </w:rPr>
        <w:t xml:space="preserve">r </w:t>
      </w:r>
      <w:r w:rsidR="00214723" w:rsidRPr="00440E77">
        <w:rPr>
          <w:rFonts w:ascii="Book Antiqua" w:hAnsi="Book Antiqua"/>
          <w:sz w:val="22"/>
          <w:szCs w:val="22"/>
        </w:rPr>
        <w:t>McGarvey</w:t>
      </w:r>
      <w:r w:rsidR="005E6078" w:rsidRPr="00440E77">
        <w:rPr>
          <w:rFonts w:ascii="Book Antiqua" w:hAnsi="Book Antiqua"/>
          <w:sz w:val="22"/>
          <w:szCs w:val="22"/>
        </w:rPr>
        <w:t xml:space="preserve"> </w:t>
      </w:r>
      <w:r w:rsidR="00B230FE" w:rsidRPr="00440E77">
        <w:rPr>
          <w:rFonts w:ascii="Book Antiqua" w:hAnsi="Book Antiqua"/>
          <w:sz w:val="22"/>
          <w:szCs w:val="22"/>
        </w:rPr>
        <w:t xml:space="preserve">referred to the authority of </w:t>
      </w:r>
      <w:r w:rsidR="00F51DEA" w:rsidRPr="00440E77">
        <w:rPr>
          <w:rFonts w:ascii="Book Antiqua" w:hAnsi="Book Antiqua"/>
          <w:sz w:val="22"/>
          <w:szCs w:val="22"/>
          <w:u w:val="single"/>
        </w:rPr>
        <w:t>MOJ and others (Return to Mogadishu) CG</w:t>
      </w:r>
      <w:r w:rsidR="00F51DEA" w:rsidRPr="00440E77">
        <w:rPr>
          <w:rFonts w:ascii="Book Antiqua" w:hAnsi="Book Antiqua"/>
          <w:sz w:val="22"/>
          <w:szCs w:val="22"/>
        </w:rPr>
        <w:t xml:space="preserve"> [2014] UKUT </w:t>
      </w:r>
      <w:r w:rsidR="00E731FB" w:rsidRPr="00440E77">
        <w:rPr>
          <w:rFonts w:ascii="Book Antiqua" w:hAnsi="Book Antiqua"/>
          <w:sz w:val="22"/>
          <w:szCs w:val="22"/>
        </w:rPr>
        <w:t>442 (IAC)</w:t>
      </w:r>
      <w:r w:rsidR="005E6078" w:rsidRPr="00440E77">
        <w:rPr>
          <w:rFonts w:ascii="Book Antiqua" w:hAnsi="Book Antiqua"/>
          <w:sz w:val="22"/>
          <w:szCs w:val="22"/>
        </w:rPr>
        <w:t xml:space="preserve"> and to the grounds of appeal. </w:t>
      </w:r>
      <w:r w:rsidR="00EF4F50" w:rsidRPr="00440E77">
        <w:rPr>
          <w:rFonts w:ascii="Book Antiqua" w:hAnsi="Book Antiqua"/>
          <w:sz w:val="22"/>
          <w:szCs w:val="22"/>
        </w:rPr>
        <w:lastRenderedPageBreak/>
        <w:t xml:space="preserve">In a nutshell </w:t>
      </w:r>
      <w:r w:rsidR="002C166D" w:rsidRPr="00440E77">
        <w:rPr>
          <w:rFonts w:ascii="Book Antiqua" w:hAnsi="Book Antiqua"/>
          <w:sz w:val="22"/>
          <w:szCs w:val="22"/>
        </w:rPr>
        <w:t xml:space="preserve">the </w:t>
      </w:r>
      <w:r w:rsidR="00CA24D4" w:rsidRPr="00440E77">
        <w:rPr>
          <w:rFonts w:ascii="Book Antiqua" w:hAnsi="Book Antiqua"/>
          <w:sz w:val="22"/>
          <w:szCs w:val="22"/>
        </w:rPr>
        <w:t>J</w:t>
      </w:r>
      <w:r w:rsidR="002C166D" w:rsidRPr="00440E77">
        <w:rPr>
          <w:rFonts w:ascii="Book Antiqua" w:hAnsi="Book Antiqua"/>
          <w:sz w:val="22"/>
          <w:szCs w:val="22"/>
        </w:rPr>
        <w:t xml:space="preserve">udge accepted that the </w:t>
      </w:r>
      <w:r w:rsidR="00BD362F" w:rsidRPr="00440E77">
        <w:rPr>
          <w:rFonts w:ascii="Book Antiqua" w:hAnsi="Book Antiqua"/>
          <w:sz w:val="22"/>
          <w:szCs w:val="22"/>
        </w:rPr>
        <w:t>A</w:t>
      </w:r>
      <w:r w:rsidR="002C166D" w:rsidRPr="00440E77">
        <w:rPr>
          <w:rFonts w:ascii="Book Antiqua" w:hAnsi="Book Antiqua"/>
          <w:sz w:val="22"/>
          <w:szCs w:val="22"/>
        </w:rPr>
        <w:t xml:space="preserve">ppellant was a nurse employed at a hospital in Mogadishu. This was the Arafat hospital </w:t>
      </w:r>
      <w:r w:rsidR="00250939" w:rsidRPr="00440E77">
        <w:rPr>
          <w:rFonts w:ascii="Book Antiqua" w:hAnsi="Book Antiqua"/>
          <w:sz w:val="22"/>
          <w:szCs w:val="22"/>
        </w:rPr>
        <w:t xml:space="preserve">which is run by </w:t>
      </w:r>
      <w:r w:rsidR="001049AD" w:rsidRPr="00440E77">
        <w:rPr>
          <w:rFonts w:ascii="Book Antiqua" w:hAnsi="Book Antiqua"/>
          <w:sz w:val="22"/>
          <w:szCs w:val="22"/>
        </w:rPr>
        <w:t xml:space="preserve">the Zam Zam </w:t>
      </w:r>
      <w:r w:rsidR="002342D8" w:rsidRPr="00440E77">
        <w:rPr>
          <w:rFonts w:ascii="Book Antiqua" w:hAnsi="Book Antiqua"/>
          <w:sz w:val="22"/>
          <w:szCs w:val="22"/>
        </w:rPr>
        <w:t xml:space="preserve">foundation </w:t>
      </w:r>
      <w:r w:rsidR="00250939" w:rsidRPr="00440E77">
        <w:rPr>
          <w:rFonts w:ascii="Book Antiqua" w:hAnsi="Book Antiqua"/>
          <w:sz w:val="22"/>
          <w:szCs w:val="22"/>
        </w:rPr>
        <w:t xml:space="preserve">a local non-governmental organisation. </w:t>
      </w:r>
      <w:r w:rsidR="009E306B" w:rsidRPr="00440E77">
        <w:rPr>
          <w:rFonts w:ascii="Book Antiqua" w:hAnsi="Book Antiqua"/>
          <w:sz w:val="22"/>
          <w:szCs w:val="22"/>
        </w:rPr>
        <w:t>Therefore,</w:t>
      </w:r>
      <w:r w:rsidR="00194DC3" w:rsidRPr="00440E77">
        <w:rPr>
          <w:rFonts w:ascii="Book Antiqua" w:hAnsi="Book Antiqua"/>
          <w:sz w:val="22"/>
          <w:szCs w:val="22"/>
        </w:rPr>
        <w:t xml:space="preserve"> </w:t>
      </w:r>
      <w:r w:rsidR="00F71DA7" w:rsidRPr="00440E77">
        <w:rPr>
          <w:rFonts w:ascii="Book Antiqua" w:hAnsi="Book Antiqua"/>
          <w:sz w:val="22"/>
          <w:szCs w:val="22"/>
        </w:rPr>
        <w:t xml:space="preserve">he falls within the </w:t>
      </w:r>
      <w:r w:rsidR="00F71DA7" w:rsidRPr="00440E77">
        <w:rPr>
          <w:rFonts w:ascii="Book Antiqua" w:hAnsi="Book Antiqua"/>
          <w:sz w:val="22"/>
          <w:szCs w:val="22"/>
          <w:u w:val="single"/>
        </w:rPr>
        <w:t>MOJ</w:t>
      </w:r>
      <w:r w:rsidR="00F71DA7" w:rsidRPr="00440E77">
        <w:rPr>
          <w:rFonts w:ascii="Book Antiqua" w:hAnsi="Book Antiqua"/>
          <w:sz w:val="22"/>
          <w:szCs w:val="22"/>
        </w:rPr>
        <w:t xml:space="preserve"> risk categories. I was referred to </w:t>
      </w:r>
      <w:r w:rsidR="00AD0ABD" w:rsidRPr="00440E77">
        <w:rPr>
          <w:rFonts w:ascii="Book Antiqua" w:hAnsi="Book Antiqua"/>
          <w:sz w:val="22"/>
          <w:szCs w:val="22"/>
        </w:rPr>
        <w:t xml:space="preserve">paragraph </w:t>
      </w:r>
      <w:r w:rsidR="00BB0A79" w:rsidRPr="00440E77">
        <w:rPr>
          <w:rFonts w:ascii="Book Antiqua" w:hAnsi="Book Antiqua"/>
          <w:sz w:val="22"/>
          <w:szCs w:val="22"/>
        </w:rPr>
        <w:t>(i</w:t>
      </w:r>
      <w:r w:rsidR="00B12BC5" w:rsidRPr="00440E77">
        <w:rPr>
          <w:rFonts w:ascii="Book Antiqua" w:hAnsi="Book Antiqua"/>
          <w:sz w:val="22"/>
          <w:szCs w:val="22"/>
        </w:rPr>
        <w:t>i</w:t>
      </w:r>
      <w:r w:rsidR="00BB0A79" w:rsidRPr="00440E77">
        <w:rPr>
          <w:rFonts w:ascii="Book Antiqua" w:hAnsi="Book Antiqua"/>
          <w:sz w:val="22"/>
          <w:szCs w:val="22"/>
        </w:rPr>
        <w:t>)</w:t>
      </w:r>
      <w:r w:rsidR="00AD0ABD" w:rsidRPr="00440E77">
        <w:rPr>
          <w:rFonts w:ascii="Book Antiqua" w:hAnsi="Book Antiqua"/>
          <w:sz w:val="22"/>
          <w:szCs w:val="22"/>
        </w:rPr>
        <w:t xml:space="preserve"> </w:t>
      </w:r>
      <w:r w:rsidR="00D57200" w:rsidRPr="00440E77">
        <w:rPr>
          <w:rFonts w:ascii="Book Antiqua" w:hAnsi="Book Antiqua"/>
          <w:sz w:val="22"/>
          <w:szCs w:val="22"/>
        </w:rPr>
        <w:t>of the head note</w:t>
      </w:r>
      <w:r w:rsidR="00BB0A79" w:rsidRPr="00440E77">
        <w:rPr>
          <w:rFonts w:ascii="Book Antiqua" w:hAnsi="Book Antiqua"/>
          <w:sz w:val="22"/>
          <w:szCs w:val="22"/>
        </w:rPr>
        <w:t xml:space="preserve"> to MOJ</w:t>
      </w:r>
      <w:r w:rsidR="00D57200" w:rsidRPr="00440E77">
        <w:rPr>
          <w:rFonts w:ascii="Book Antiqua" w:hAnsi="Book Antiqua"/>
          <w:sz w:val="22"/>
          <w:szCs w:val="22"/>
        </w:rPr>
        <w:t xml:space="preserve"> “those associated with </w:t>
      </w:r>
      <w:r w:rsidR="00177BE4" w:rsidRPr="00440E77">
        <w:rPr>
          <w:rFonts w:ascii="Book Antiqua" w:hAnsi="Book Antiqua"/>
          <w:sz w:val="22"/>
          <w:szCs w:val="22"/>
        </w:rPr>
        <w:t xml:space="preserve">NGOs”. The only issue is whether </w:t>
      </w:r>
      <w:r w:rsidR="009E306B" w:rsidRPr="00440E77">
        <w:rPr>
          <w:rFonts w:ascii="Book Antiqua" w:hAnsi="Book Antiqua"/>
          <w:sz w:val="22"/>
          <w:szCs w:val="22"/>
        </w:rPr>
        <w:t>this Appellant fall</w:t>
      </w:r>
      <w:r w:rsidR="00177BE4" w:rsidRPr="00440E77">
        <w:rPr>
          <w:rFonts w:ascii="Book Antiqua" w:hAnsi="Book Antiqua"/>
          <w:sz w:val="22"/>
          <w:szCs w:val="22"/>
        </w:rPr>
        <w:t xml:space="preserve"> within th</w:t>
      </w:r>
      <w:r w:rsidR="00FE67E7" w:rsidRPr="00440E77">
        <w:rPr>
          <w:rFonts w:ascii="Book Antiqua" w:hAnsi="Book Antiqua"/>
          <w:sz w:val="22"/>
          <w:szCs w:val="22"/>
        </w:rPr>
        <w:t>is</w:t>
      </w:r>
      <w:r w:rsidR="00177BE4" w:rsidRPr="00440E77">
        <w:rPr>
          <w:rFonts w:ascii="Book Antiqua" w:hAnsi="Book Antiqua"/>
          <w:sz w:val="22"/>
          <w:szCs w:val="22"/>
        </w:rPr>
        <w:t xml:space="preserve"> risk category. </w:t>
      </w:r>
      <w:r w:rsidR="001C681B" w:rsidRPr="00440E77">
        <w:rPr>
          <w:rFonts w:ascii="Book Antiqua" w:hAnsi="Book Antiqua"/>
          <w:sz w:val="22"/>
          <w:szCs w:val="22"/>
        </w:rPr>
        <w:t xml:space="preserve">Mr McGarvey </w:t>
      </w:r>
      <w:r w:rsidR="006B01BA" w:rsidRPr="00440E77">
        <w:rPr>
          <w:rFonts w:ascii="Book Antiqua" w:hAnsi="Book Antiqua"/>
          <w:sz w:val="22"/>
          <w:szCs w:val="22"/>
        </w:rPr>
        <w:t xml:space="preserve">referred to the skeleton argument submitted to the </w:t>
      </w:r>
      <w:r w:rsidR="00EF7D35" w:rsidRPr="00440E77">
        <w:rPr>
          <w:rFonts w:ascii="Book Antiqua" w:hAnsi="Book Antiqua"/>
          <w:sz w:val="22"/>
          <w:szCs w:val="22"/>
        </w:rPr>
        <w:t>F</w:t>
      </w:r>
      <w:r w:rsidR="006B01BA" w:rsidRPr="00440E77">
        <w:rPr>
          <w:rFonts w:ascii="Book Antiqua" w:hAnsi="Book Antiqua"/>
          <w:sz w:val="22"/>
          <w:szCs w:val="22"/>
        </w:rPr>
        <w:t xml:space="preserve">irst-tier tribunal and the various references therein contained </w:t>
      </w:r>
      <w:r w:rsidR="004420D2" w:rsidRPr="00440E77">
        <w:rPr>
          <w:rFonts w:ascii="Book Antiqua" w:hAnsi="Book Antiqua"/>
          <w:sz w:val="22"/>
          <w:szCs w:val="22"/>
        </w:rPr>
        <w:t xml:space="preserve">to the </w:t>
      </w:r>
      <w:r w:rsidR="00140D0F" w:rsidRPr="00440E77">
        <w:rPr>
          <w:rFonts w:ascii="Book Antiqua" w:hAnsi="Book Antiqua"/>
          <w:sz w:val="22"/>
          <w:szCs w:val="22"/>
        </w:rPr>
        <w:t>R</w:t>
      </w:r>
      <w:r w:rsidR="004420D2" w:rsidRPr="00440E77">
        <w:rPr>
          <w:rFonts w:ascii="Book Antiqua" w:hAnsi="Book Antiqua"/>
          <w:sz w:val="22"/>
          <w:szCs w:val="22"/>
        </w:rPr>
        <w:t>espondent</w:t>
      </w:r>
      <w:r w:rsidR="00FE67E7" w:rsidRPr="00440E77">
        <w:rPr>
          <w:rFonts w:ascii="Book Antiqua" w:hAnsi="Book Antiqua"/>
          <w:sz w:val="22"/>
          <w:szCs w:val="22"/>
        </w:rPr>
        <w:t>’</w:t>
      </w:r>
      <w:r w:rsidR="004420D2" w:rsidRPr="00440E77">
        <w:rPr>
          <w:rFonts w:ascii="Book Antiqua" w:hAnsi="Book Antiqua"/>
          <w:sz w:val="22"/>
          <w:szCs w:val="22"/>
        </w:rPr>
        <w:t xml:space="preserve">s </w:t>
      </w:r>
      <w:r w:rsidR="00140D0F" w:rsidRPr="00440E77">
        <w:rPr>
          <w:rFonts w:ascii="Book Antiqua" w:hAnsi="Book Antiqua"/>
          <w:sz w:val="22"/>
          <w:szCs w:val="22"/>
        </w:rPr>
        <w:t>C</w:t>
      </w:r>
      <w:r w:rsidR="004420D2" w:rsidRPr="00440E77">
        <w:rPr>
          <w:rFonts w:ascii="Book Antiqua" w:hAnsi="Book Antiqua"/>
          <w:sz w:val="22"/>
          <w:szCs w:val="22"/>
        </w:rPr>
        <w:t xml:space="preserve">ountry </w:t>
      </w:r>
      <w:r w:rsidR="00140D0F" w:rsidRPr="00440E77">
        <w:rPr>
          <w:rFonts w:ascii="Book Antiqua" w:hAnsi="Book Antiqua"/>
          <w:sz w:val="22"/>
          <w:szCs w:val="22"/>
        </w:rPr>
        <w:t>I</w:t>
      </w:r>
      <w:r w:rsidR="004420D2" w:rsidRPr="00440E77">
        <w:rPr>
          <w:rFonts w:ascii="Book Antiqua" w:hAnsi="Book Antiqua"/>
          <w:sz w:val="22"/>
          <w:szCs w:val="22"/>
        </w:rPr>
        <w:t xml:space="preserve">nformation and </w:t>
      </w:r>
      <w:r w:rsidR="00140D0F" w:rsidRPr="00440E77">
        <w:rPr>
          <w:rFonts w:ascii="Book Antiqua" w:hAnsi="Book Antiqua"/>
          <w:sz w:val="22"/>
          <w:szCs w:val="22"/>
        </w:rPr>
        <w:t>G</w:t>
      </w:r>
      <w:r w:rsidR="004420D2" w:rsidRPr="00440E77">
        <w:rPr>
          <w:rFonts w:ascii="Book Antiqua" w:hAnsi="Book Antiqua"/>
          <w:sz w:val="22"/>
          <w:szCs w:val="22"/>
        </w:rPr>
        <w:t xml:space="preserve">uidance report. </w:t>
      </w:r>
      <w:r w:rsidR="002158E3" w:rsidRPr="00440E77">
        <w:rPr>
          <w:rFonts w:ascii="Book Antiqua" w:hAnsi="Book Antiqua"/>
          <w:sz w:val="22"/>
          <w:szCs w:val="22"/>
        </w:rPr>
        <w:t xml:space="preserve">This clearly refers to the killing of civilians affiliated with the government </w:t>
      </w:r>
      <w:r w:rsidR="00234F6F" w:rsidRPr="00440E77">
        <w:rPr>
          <w:rFonts w:ascii="Book Antiqua" w:hAnsi="Book Antiqua"/>
          <w:sz w:val="22"/>
          <w:szCs w:val="22"/>
        </w:rPr>
        <w:t>and to NGO employees.</w:t>
      </w:r>
    </w:p>
    <w:p w14:paraId="669DC397" w14:textId="3A9D17BA" w:rsidR="004D27FF" w:rsidRPr="00440E77" w:rsidRDefault="00234F6F" w:rsidP="00440E77">
      <w:pPr>
        <w:numPr>
          <w:ilvl w:val="0"/>
          <w:numId w:val="1"/>
        </w:numPr>
        <w:tabs>
          <w:tab w:val="clear" w:pos="720"/>
          <w:tab w:val="num" w:pos="567"/>
        </w:tabs>
        <w:spacing w:before="240"/>
        <w:ind w:left="567" w:hanging="567"/>
        <w:jc w:val="both"/>
        <w:rPr>
          <w:rFonts w:ascii="Book Antiqua" w:hAnsi="Book Antiqua" w:cs="Arial"/>
          <w:b/>
          <w:sz w:val="22"/>
          <w:szCs w:val="22"/>
          <w:u w:val="single"/>
        </w:rPr>
      </w:pPr>
      <w:r w:rsidRPr="00440E77">
        <w:rPr>
          <w:rFonts w:ascii="Book Antiqua" w:hAnsi="Book Antiqua"/>
          <w:sz w:val="22"/>
          <w:szCs w:val="22"/>
        </w:rPr>
        <w:t xml:space="preserve">For the </w:t>
      </w:r>
      <w:r w:rsidR="00951F9D" w:rsidRPr="00440E77">
        <w:rPr>
          <w:rFonts w:ascii="Book Antiqua" w:hAnsi="Book Antiqua"/>
          <w:sz w:val="22"/>
          <w:szCs w:val="22"/>
        </w:rPr>
        <w:t>R</w:t>
      </w:r>
      <w:r w:rsidRPr="00440E77">
        <w:rPr>
          <w:rFonts w:ascii="Book Antiqua" w:hAnsi="Book Antiqua"/>
          <w:sz w:val="22"/>
          <w:szCs w:val="22"/>
        </w:rPr>
        <w:t xml:space="preserve">espondent </w:t>
      </w:r>
      <w:r w:rsidR="001345A0" w:rsidRPr="00440E77">
        <w:rPr>
          <w:rFonts w:ascii="Book Antiqua" w:hAnsi="Book Antiqua"/>
          <w:sz w:val="22"/>
          <w:szCs w:val="22"/>
        </w:rPr>
        <w:t xml:space="preserve">Mr Howells referred to the rule 24 response. The enhanced risk categories include “those associated </w:t>
      </w:r>
      <w:r w:rsidR="00AB354B" w:rsidRPr="00440E77">
        <w:rPr>
          <w:rFonts w:ascii="Book Antiqua" w:hAnsi="Book Antiqua"/>
          <w:sz w:val="22"/>
          <w:szCs w:val="22"/>
        </w:rPr>
        <w:t>with NGOs and international organisations”</w:t>
      </w:r>
      <w:r w:rsidR="00421431" w:rsidRPr="00440E77">
        <w:rPr>
          <w:rFonts w:ascii="Book Antiqua" w:hAnsi="Book Antiqua"/>
          <w:sz w:val="22"/>
          <w:szCs w:val="22"/>
        </w:rPr>
        <w:t>. T</w:t>
      </w:r>
      <w:r w:rsidR="00AB354B" w:rsidRPr="00440E77">
        <w:rPr>
          <w:rFonts w:ascii="Book Antiqua" w:hAnsi="Book Antiqua"/>
          <w:sz w:val="22"/>
          <w:szCs w:val="22"/>
        </w:rPr>
        <w:t xml:space="preserve">he </w:t>
      </w:r>
      <w:r w:rsidR="00B43A06" w:rsidRPr="00440E77">
        <w:rPr>
          <w:rFonts w:ascii="Book Antiqua" w:hAnsi="Book Antiqua"/>
          <w:sz w:val="22"/>
          <w:szCs w:val="22"/>
        </w:rPr>
        <w:t>R</w:t>
      </w:r>
      <w:r w:rsidR="00AB354B" w:rsidRPr="00440E77">
        <w:rPr>
          <w:rFonts w:ascii="Book Antiqua" w:hAnsi="Book Antiqua"/>
          <w:sz w:val="22"/>
          <w:szCs w:val="22"/>
        </w:rPr>
        <w:t xml:space="preserve">espondent does not accept that the </w:t>
      </w:r>
      <w:r w:rsidR="004E269E" w:rsidRPr="00440E77">
        <w:rPr>
          <w:rFonts w:ascii="Book Antiqua" w:hAnsi="Book Antiqua"/>
          <w:sz w:val="22"/>
          <w:szCs w:val="22"/>
        </w:rPr>
        <w:t>A</w:t>
      </w:r>
      <w:r w:rsidR="00AB354B" w:rsidRPr="00440E77">
        <w:rPr>
          <w:rFonts w:ascii="Book Antiqua" w:hAnsi="Book Antiqua"/>
          <w:sz w:val="22"/>
          <w:szCs w:val="22"/>
        </w:rPr>
        <w:t xml:space="preserve">ppellant would fall within this category. </w:t>
      </w:r>
      <w:r w:rsidR="00E87C58" w:rsidRPr="00440E77">
        <w:rPr>
          <w:rFonts w:ascii="Book Antiqua" w:hAnsi="Book Antiqua"/>
          <w:sz w:val="22"/>
          <w:szCs w:val="22"/>
        </w:rPr>
        <w:t>The expert report from Mary Ha</w:t>
      </w:r>
      <w:r w:rsidR="004E269E" w:rsidRPr="00440E77">
        <w:rPr>
          <w:rFonts w:ascii="Book Antiqua" w:hAnsi="Book Antiqua"/>
          <w:sz w:val="22"/>
          <w:szCs w:val="22"/>
        </w:rPr>
        <w:t>r</w:t>
      </w:r>
      <w:r w:rsidR="00E87C58" w:rsidRPr="00440E77">
        <w:rPr>
          <w:rFonts w:ascii="Book Antiqua" w:hAnsi="Book Antiqua"/>
          <w:sz w:val="22"/>
          <w:szCs w:val="22"/>
        </w:rPr>
        <w:t xml:space="preserve">per deals with this at 5.1. </w:t>
      </w:r>
      <w:r w:rsidR="00AB354B" w:rsidRPr="00440E77">
        <w:rPr>
          <w:rFonts w:ascii="Book Antiqua" w:hAnsi="Book Antiqua"/>
          <w:sz w:val="22"/>
          <w:szCs w:val="22"/>
        </w:rPr>
        <w:t>His claim is that he</w:t>
      </w:r>
      <w:r w:rsidR="00ED3BEE" w:rsidRPr="00440E77">
        <w:rPr>
          <w:rFonts w:ascii="Book Antiqua" w:hAnsi="Book Antiqua"/>
          <w:sz w:val="22"/>
          <w:szCs w:val="22"/>
        </w:rPr>
        <w:t xml:space="preserve"> trained</w:t>
      </w:r>
      <w:r w:rsidR="008B4E90" w:rsidRPr="00440E77">
        <w:rPr>
          <w:rFonts w:ascii="Book Antiqua" w:hAnsi="Book Antiqua"/>
          <w:sz w:val="22"/>
          <w:szCs w:val="22"/>
        </w:rPr>
        <w:t xml:space="preserve"> and</w:t>
      </w:r>
      <w:r w:rsidR="00AB354B" w:rsidRPr="00440E77">
        <w:rPr>
          <w:rFonts w:ascii="Book Antiqua" w:hAnsi="Book Antiqua"/>
          <w:sz w:val="22"/>
          <w:szCs w:val="22"/>
        </w:rPr>
        <w:t xml:space="preserve"> did a work placement </w:t>
      </w:r>
      <w:r w:rsidR="003228EF" w:rsidRPr="00440E77">
        <w:rPr>
          <w:rFonts w:ascii="Book Antiqua" w:hAnsi="Book Antiqua"/>
          <w:sz w:val="22"/>
          <w:szCs w:val="22"/>
        </w:rPr>
        <w:t>in a hospital, he did not work there at the material time. He worked for the NGO between April 2010 and May 2011. He also did placements at two other hospitals follow</w:t>
      </w:r>
      <w:r w:rsidR="007C4670" w:rsidRPr="00440E77">
        <w:rPr>
          <w:rFonts w:ascii="Book Antiqua" w:hAnsi="Book Antiqua"/>
          <w:sz w:val="22"/>
          <w:szCs w:val="22"/>
        </w:rPr>
        <w:t>ing this</w:t>
      </w:r>
      <w:r w:rsidR="003228EF" w:rsidRPr="00440E77">
        <w:rPr>
          <w:rFonts w:ascii="Book Antiqua" w:hAnsi="Book Antiqua"/>
          <w:sz w:val="22"/>
          <w:szCs w:val="22"/>
        </w:rPr>
        <w:t>.</w:t>
      </w:r>
      <w:r w:rsidR="007C4670" w:rsidRPr="00440E77">
        <w:rPr>
          <w:rFonts w:ascii="Book Antiqua" w:hAnsi="Book Antiqua"/>
          <w:sz w:val="22"/>
          <w:szCs w:val="22"/>
        </w:rPr>
        <w:t xml:space="preserve"> </w:t>
      </w:r>
      <w:r w:rsidR="00964AFE" w:rsidRPr="00440E77">
        <w:rPr>
          <w:rFonts w:ascii="Book Antiqua" w:hAnsi="Book Antiqua"/>
          <w:sz w:val="22"/>
          <w:szCs w:val="22"/>
        </w:rPr>
        <w:t xml:space="preserve">He was not a government official. </w:t>
      </w:r>
      <w:r w:rsidR="003228EF" w:rsidRPr="00440E77">
        <w:rPr>
          <w:rFonts w:ascii="Book Antiqua" w:hAnsi="Book Antiqua"/>
          <w:sz w:val="22"/>
          <w:szCs w:val="22"/>
        </w:rPr>
        <w:t xml:space="preserve"> </w:t>
      </w:r>
    </w:p>
    <w:p w14:paraId="29CD2F23" w14:textId="60468E32" w:rsidR="002E1C25" w:rsidRPr="00440E77" w:rsidRDefault="00B263EE" w:rsidP="00440E77">
      <w:pPr>
        <w:spacing w:before="240"/>
        <w:ind w:left="540" w:hanging="540"/>
        <w:jc w:val="both"/>
        <w:rPr>
          <w:rFonts w:ascii="Book Antiqua" w:hAnsi="Book Antiqua" w:cs="Arial"/>
          <w:b/>
          <w:sz w:val="22"/>
          <w:szCs w:val="22"/>
          <w:u w:val="single"/>
        </w:rPr>
      </w:pPr>
      <w:r w:rsidRPr="00440E77">
        <w:rPr>
          <w:rFonts w:ascii="Book Antiqua" w:hAnsi="Book Antiqua" w:cs="Arial"/>
          <w:b/>
          <w:sz w:val="22"/>
          <w:szCs w:val="22"/>
          <w:u w:val="single"/>
        </w:rPr>
        <w:t>Decision</w:t>
      </w:r>
    </w:p>
    <w:p w14:paraId="4D96CFB7" w14:textId="54894C68" w:rsidR="009840FA" w:rsidRPr="00440E77" w:rsidRDefault="004E38B0"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The</w:t>
      </w:r>
      <w:r w:rsidR="00465138" w:rsidRPr="00440E77">
        <w:rPr>
          <w:rFonts w:ascii="Book Antiqua" w:hAnsi="Book Antiqua"/>
          <w:sz w:val="22"/>
          <w:szCs w:val="22"/>
        </w:rPr>
        <w:t xml:space="preserve"> </w:t>
      </w:r>
      <w:r w:rsidR="00182C6E" w:rsidRPr="00440E77">
        <w:rPr>
          <w:rFonts w:ascii="Book Antiqua" w:hAnsi="Book Antiqua"/>
          <w:sz w:val="22"/>
          <w:szCs w:val="22"/>
        </w:rPr>
        <w:t>grounds of appeal</w:t>
      </w:r>
      <w:r w:rsidR="003D551F" w:rsidRPr="00440E77">
        <w:rPr>
          <w:rFonts w:ascii="Book Antiqua" w:hAnsi="Book Antiqua"/>
          <w:sz w:val="22"/>
          <w:szCs w:val="22"/>
        </w:rPr>
        <w:t xml:space="preserve"> to the First-tier Tribunal</w:t>
      </w:r>
      <w:r w:rsidR="00182C6E" w:rsidRPr="00440E77">
        <w:rPr>
          <w:rFonts w:ascii="Book Antiqua" w:hAnsi="Book Antiqua"/>
          <w:sz w:val="22"/>
          <w:szCs w:val="22"/>
        </w:rPr>
        <w:t xml:space="preserve"> </w:t>
      </w:r>
      <w:r w:rsidR="0073491A" w:rsidRPr="00440E77">
        <w:rPr>
          <w:rFonts w:ascii="Book Antiqua" w:hAnsi="Book Antiqua"/>
          <w:sz w:val="22"/>
          <w:szCs w:val="22"/>
        </w:rPr>
        <w:t xml:space="preserve">are split into four subheadings. </w:t>
      </w:r>
      <w:r w:rsidR="00834828" w:rsidRPr="00440E77">
        <w:rPr>
          <w:rFonts w:ascii="Book Antiqua" w:hAnsi="Book Antiqua"/>
          <w:sz w:val="22"/>
          <w:szCs w:val="22"/>
        </w:rPr>
        <w:t xml:space="preserve">It is asserted that the Judge failed to apply </w:t>
      </w:r>
      <w:r w:rsidR="009E306B" w:rsidRPr="00440E77">
        <w:rPr>
          <w:rFonts w:ascii="Book Antiqua" w:hAnsi="Book Antiqua"/>
          <w:sz w:val="22"/>
          <w:szCs w:val="22"/>
        </w:rPr>
        <w:t>the</w:t>
      </w:r>
      <w:r w:rsidR="00834828" w:rsidRPr="00440E77">
        <w:rPr>
          <w:rFonts w:ascii="Book Antiqua" w:hAnsi="Book Antiqua"/>
          <w:sz w:val="22"/>
          <w:szCs w:val="22"/>
        </w:rPr>
        <w:t xml:space="preserve"> law </w:t>
      </w:r>
      <w:r w:rsidR="009E306B" w:rsidRPr="00440E77">
        <w:rPr>
          <w:rFonts w:ascii="Book Antiqua" w:hAnsi="Book Antiqua"/>
          <w:sz w:val="22"/>
          <w:szCs w:val="22"/>
        </w:rPr>
        <w:t>adequately</w:t>
      </w:r>
      <w:r w:rsidR="00834828" w:rsidRPr="00440E77">
        <w:rPr>
          <w:rFonts w:ascii="Book Antiqua" w:hAnsi="Book Antiqua"/>
          <w:sz w:val="22"/>
          <w:szCs w:val="22"/>
        </w:rPr>
        <w:t xml:space="preserve">, that he failed to apply </w:t>
      </w:r>
      <w:r w:rsidR="009E306B" w:rsidRPr="00440E77">
        <w:rPr>
          <w:rFonts w:ascii="Book Antiqua" w:hAnsi="Book Antiqua"/>
          <w:sz w:val="22"/>
          <w:szCs w:val="22"/>
        </w:rPr>
        <w:t>Country</w:t>
      </w:r>
      <w:r w:rsidR="00834828" w:rsidRPr="00440E77">
        <w:rPr>
          <w:rFonts w:ascii="Book Antiqua" w:hAnsi="Book Antiqua"/>
          <w:sz w:val="22"/>
          <w:szCs w:val="22"/>
        </w:rPr>
        <w:t xml:space="preserve"> Guidance, </w:t>
      </w:r>
      <w:r w:rsidR="00A54B2E" w:rsidRPr="00440E77">
        <w:rPr>
          <w:rFonts w:ascii="Book Antiqua" w:hAnsi="Book Antiqua"/>
          <w:sz w:val="22"/>
          <w:szCs w:val="22"/>
        </w:rPr>
        <w:t>that his decision was perverse, irrational o</w:t>
      </w:r>
      <w:r w:rsidR="008B4E90" w:rsidRPr="00440E77">
        <w:rPr>
          <w:rFonts w:ascii="Book Antiqua" w:hAnsi="Book Antiqua"/>
          <w:sz w:val="22"/>
          <w:szCs w:val="22"/>
        </w:rPr>
        <w:t>r</w:t>
      </w:r>
      <w:r w:rsidR="00A54B2E" w:rsidRPr="00440E77">
        <w:rPr>
          <w:rFonts w:ascii="Book Antiqua" w:hAnsi="Book Antiqua"/>
          <w:sz w:val="22"/>
          <w:szCs w:val="22"/>
        </w:rPr>
        <w:t xml:space="preserve"> failed to give adequate reasons and </w:t>
      </w:r>
      <w:r w:rsidR="0022542D" w:rsidRPr="00440E77">
        <w:rPr>
          <w:rFonts w:ascii="Book Antiqua" w:hAnsi="Book Antiqua"/>
          <w:sz w:val="22"/>
          <w:szCs w:val="22"/>
        </w:rPr>
        <w:t xml:space="preserve">that he failed to </w:t>
      </w:r>
      <w:r w:rsidR="009E306B" w:rsidRPr="00440E77">
        <w:rPr>
          <w:rFonts w:ascii="Book Antiqua" w:hAnsi="Book Antiqua"/>
          <w:sz w:val="22"/>
          <w:szCs w:val="22"/>
        </w:rPr>
        <w:t>adequately</w:t>
      </w:r>
      <w:r w:rsidR="0022542D" w:rsidRPr="00440E77">
        <w:rPr>
          <w:rFonts w:ascii="Book Antiqua" w:hAnsi="Book Antiqua"/>
          <w:sz w:val="22"/>
          <w:szCs w:val="22"/>
        </w:rPr>
        <w:t xml:space="preserve"> consider exp</w:t>
      </w:r>
      <w:r w:rsidR="009E306B" w:rsidRPr="00440E77">
        <w:rPr>
          <w:rFonts w:ascii="Book Antiqua" w:hAnsi="Book Antiqua"/>
          <w:sz w:val="22"/>
          <w:szCs w:val="22"/>
        </w:rPr>
        <w:t>er</w:t>
      </w:r>
      <w:r w:rsidR="0022542D" w:rsidRPr="00440E77">
        <w:rPr>
          <w:rFonts w:ascii="Book Antiqua" w:hAnsi="Book Antiqua"/>
          <w:sz w:val="22"/>
          <w:szCs w:val="22"/>
        </w:rPr>
        <w:t xml:space="preserve">t </w:t>
      </w:r>
      <w:r w:rsidR="009E306B" w:rsidRPr="00440E77">
        <w:rPr>
          <w:rFonts w:ascii="Book Antiqua" w:hAnsi="Book Antiqua"/>
          <w:sz w:val="22"/>
          <w:szCs w:val="22"/>
        </w:rPr>
        <w:t>evidence</w:t>
      </w:r>
      <w:r w:rsidR="0022542D" w:rsidRPr="00440E77">
        <w:rPr>
          <w:rFonts w:ascii="Book Antiqua" w:hAnsi="Book Antiqua"/>
          <w:sz w:val="22"/>
          <w:szCs w:val="22"/>
        </w:rPr>
        <w:t xml:space="preserve">. </w:t>
      </w:r>
      <w:r w:rsidR="00B21875" w:rsidRPr="00440E77">
        <w:rPr>
          <w:rFonts w:ascii="Book Antiqua" w:hAnsi="Book Antiqua"/>
          <w:sz w:val="22"/>
          <w:szCs w:val="22"/>
        </w:rPr>
        <w:t xml:space="preserve">Permission to appeal having been refused the </w:t>
      </w:r>
      <w:r w:rsidR="00826A2B" w:rsidRPr="00440E77">
        <w:rPr>
          <w:rFonts w:ascii="Book Antiqua" w:hAnsi="Book Antiqua"/>
          <w:sz w:val="22"/>
          <w:szCs w:val="22"/>
        </w:rPr>
        <w:t xml:space="preserve">renewed </w:t>
      </w:r>
      <w:r w:rsidR="009E306B" w:rsidRPr="00440E77">
        <w:rPr>
          <w:rFonts w:ascii="Book Antiqua" w:hAnsi="Book Antiqua"/>
          <w:sz w:val="22"/>
          <w:szCs w:val="22"/>
        </w:rPr>
        <w:t>grounds</w:t>
      </w:r>
      <w:r w:rsidR="00826A2B" w:rsidRPr="00440E77">
        <w:rPr>
          <w:rFonts w:ascii="Book Antiqua" w:hAnsi="Book Antiqua"/>
          <w:sz w:val="22"/>
          <w:szCs w:val="22"/>
        </w:rPr>
        <w:t xml:space="preserve"> of appeal to the Upper Tribunal raised only one </w:t>
      </w:r>
      <w:r w:rsidR="00470622" w:rsidRPr="00440E77">
        <w:rPr>
          <w:rFonts w:ascii="Book Antiqua" w:hAnsi="Book Antiqua"/>
          <w:sz w:val="22"/>
          <w:szCs w:val="22"/>
        </w:rPr>
        <w:t>ground</w:t>
      </w:r>
      <w:r w:rsidR="00AC52EB" w:rsidRPr="00440E77">
        <w:rPr>
          <w:rFonts w:ascii="Book Antiqua" w:hAnsi="Book Antiqua"/>
          <w:sz w:val="22"/>
          <w:szCs w:val="22"/>
        </w:rPr>
        <w:t xml:space="preserve">, failure to follow Country </w:t>
      </w:r>
      <w:r w:rsidR="00470622" w:rsidRPr="00440E77">
        <w:rPr>
          <w:rFonts w:ascii="Book Antiqua" w:hAnsi="Book Antiqua"/>
          <w:sz w:val="22"/>
          <w:szCs w:val="22"/>
        </w:rPr>
        <w:t>Guidance</w:t>
      </w:r>
      <w:r w:rsidR="00AC52EB" w:rsidRPr="00440E77">
        <w:rPr>
          <w:rFonts w:ascii="Book Antiqua" w:hAnsi="Book Antiqua"/>
          <w:sz w:val="22"/>
          <w:szCs w:val="22"/>
        </w:rPr>
        <w:t xml:space="preserve"> couple</w:t>
      </w:r>
      <w:r w:rsidR="00470622" w:rsidRPr="00440E77">
        <w:rPr>
          <w:rFonts w:ascii="Book Antiqua" w:hAnsi="Book Antiqua"/>
          <w:sz w:val="22"/>
          <w:szCs w:val="22"/>
        </w:rPr>
        <w:t>d</w:t>
      </w:r>
      <w:r w:rsidR="00AC52EB" w:rsidRPr="00440E77">
        <w:rPr>
          <w:rFonts w:ascii="Book Antiqua" w:hAnsi="Book Antiqua"/>
          <w:sz w:val="22"/>
          <w:szCs w:val="22"/>
        </w:rPr>
        <w:t xml:space="preserve"> with </w:t>
      </w:r>
      <w:r w:rsidR="00470622" w:rsidRPr="00440E77">
        <w:rPr>
          <w:rFonts w:ascii="Book Antiqua" w:hAnsi="Book Antiqua"/>
          <w:sz w:val="22"/>
          <w:szCs w:val="22"/>
        </w:rPr>
        <w:t>irrationality</w:t>
      </w:r>
      <w:r w:rsidR="00AC52EB" w:rsidRPr="00440E77">
        <w:rPr>
          <w:rFonts w:ascii="Book Antiqua" w:hAnsi="Book Antiqua"/>
          <w:sz w:val="22"/>
          <w:szCs w:val="22"/>
        </w:rPr>
        <w:t xml:space="preserve">. </w:t>
      </w:r>
      <w:r w:rsidR="009E306B" w:rsidRPr="00440E77">
        <w:rPr>
          <w:rFonts w:ascii="Book Antiqua" w:hAnsi="Book Antiqua"/>
          <w:sz w:val="22"/>
          <w:szCs w:val="22"/>
        </w:rPr>
        <w:t>The grant of permission</w:t>
      </w:r>
      <w:r w:rsidR="00AC52EB" w:rsidRPr="00440E77">
        <w:rPr>
          <w:rFonts w:ascii="Book Antiqua" w:hAnsi="Book Antiqua"/>
          <w:sz w:val="22"/>
          <w:szCs w:val="22"/>
        </w:rPr>
        <w:t xml:space="preserve"> focusses on </w:t>
      </w:r>
      <w:r w:rsidR="00470622" w:rsidRPr="00440E77">
        <w:rPr>
          <w:rFonts w:ascii="Book Antiqua" w:hAnsi="Book Antiqua"/>
          <w:sz w:val="22"/>
          <w:szCs w:val="22"/>
        </w:rPr>
        <w:t>this</w:t>
      </w:r>
      <w:r w:rsidR="00AC52EB" w:rsidRPr="00440E77">
        <w:rPr>
          <w:rFonts w:ascii="Book Antiqua" w:hAnsi="Book Antiqua"/>
          <w:sz w:val="22"/>
          <w:szCs w:val="22"/>
        </w:rPr>
        <w:t xml:space="preserve"> single issue being whether it being accepted that the </w:t>
      </w:r>
      <w:r w:rsidR="00DC79DB" w:rsidRPr="00440E77">
        <w:rPr>
          <w:rFonts w:ascii="Book Antiqua" w:hAnsi="Book Antiqua"/>
          <w:sz w:val="22"/>
          <w:szCs w:val="22"/>
        </w:rPr>
        <w:t>Appellant</w:t>
      </w:r>
      <w:r w:rsidR="00AC52EB" w:rsidRPr="00440E77">
        <w:rPr>
          <w:rFonts w:ascii="Book Antiqua" w:hAnsi="Book Antiqua"/>
          <w:sz w:val="22"/>
          <w:szCs w:val="22"/>
        </w:rPr>
        <w:t xml:space="preserve"> was a qualified nurse the </w:t>
      </w:r>
      <w:r w:rsidR="009F36BD" w:rsidRPr="00440E77">
        <w:rPr>
          <w:rFonts w:ascii="Book Antiqua" w:hAnsi="Book Antiqua"/>
          <w:sz w:val="22"/>
          <w:szCs w:val="22"/>
        </w:rPr>
        <w:t>J</w:t>
      </w:r>
      <w:r w:rsidR="00AC52EB" w:rsidRPr="00440E77">
        <w:rPr>
          <w:rFonts w:ascii="Book Antiqua" w:hAnsi="Book Antiqua"/>
          <w:sz w:val="22"/>
          <w:szCs w:val="22"/>
        </w:rPr>
        <w:t xml:space="preserve">udge had failed to </w:t>
      </w:r>
      <w:r w:rsidR="00DC79DB" w:rsidRPr="00440E77">
        <w:rPr>
          <w:rFonts w:ascii="Book Antiqua" w:hAnsi="Book Antiqua"/>
          <w:sz w:val="22"/>
          <w:szCs w:val="22"/>
        </w:rPr>
        <w:t>adequately</w:t>
      </w:r>
      <w:r w:rsidR="00AC52EB" w:rsidRPr="00440E77">
        <w:rPr>
          <w:rFonts w:ascii="Book Antiqua" w:hAnsi="Book Antiqua"/>
          <w:sz w:val="22"/>
          <w:szCs w:val="22"/>
        </w:rPr>
        <w:t xml:space="preserve"> fo</w:t>
      </w:r>
      <w:r w:rsidR="00DC79DB" w:rsidRPr="00440E77">
        <w:rPr>
          <w:rFonts w:ascii="Book Antiqua" w:hAnsi="Book Antiqua"/>
          <w:sz w:val="22"/>
          <w:szCs w:val="22"/>
        </w:rPr>
        <w:t>llow</w:t>
      </w:r>
      <w:r w:rsidR="00AC52EB" w:rsidRPr="00440E77">
        <w:rPr>
          <w:rFonts w:ascii="Book Antiqua" w:hAnsi="Book Antiqua"/>
          <w:sz w:val="22"/>
          <w:szCs w:val="22"/>
        </w:rPr>
        <w:t xml:space="preserve"> County </w:t>
      </w:r>
      <w:r w:rsidR="00DC79DB" w:rsidRPr="00440E77">
        <w:rPr>
          <w:rFonts w:ascii="Book Antiqua" w:hAnsi="Book Antiqua"/>
          <w:sz w:val="22"/>
          <w:szCs w:val="22"/>
        </w:rPr>
        <w:t>Guidance</w:t>
      </w:r>
      <w:r w:rsidR="00AC52EB" w:rsidRPr="00440E77">
        <w:rPr>
          <w:rFonts w:ascii="Book Antiqua" w:hAnsi="Book Antiqua"/>
          <w:sz w:val="22"/>
          <w:szCs w:val="22"/>
        </w:rPr>
        <w:t xml:space="preserve"> and the expert </w:t>
      </w:r>
      <w:r w:rsidR="00DC79DB" w:rsidRPr="00440E77">
        <w:rPr>
          <w:rFonts w:ascii="Book Antiqua" w:hAnsi="Book Antiqua"/>
          <w:sz w:val="22"/>
          <w:szCs w:val="22"/>
        </w:rPr>
        <w:t>evidence</w:t>
      </w:r>
      <w:r w:rsidR="00AC52EB" w:rsidRPr="00440E77">
        <w:rPr>
          <w:rFonts w:ascii="Book Antiqua" w:hAnsi="Book Antiqua"/>
          <w:sz w:val="22"/>
          <w:szCs w:val="22"/>
        </w:rPr>
        <w:t xml:space="preserve">. </w:t>
      </w:r>
      <w:r w:rsidR="001334CD" w:rsidRPr="00440E77">
        <w:rPr>
          <w:rFonts w:ascii="Book Antiqua" w:hAnsi="Book Antiqua"/>
          <w:sz w:val="22"/>
          <w:szCs w:val="22"/>
        </w:rPr>
        <w:t xml:space="preserve">Mr McGarvey’s </w:t>
      </w:r>
      <w:r w:rsidR="00DC79DB" w:rsidRPr="00440E77">
        <w:rPr>
          <w:rFonts w:ascii="Book Antiqua" w:hAnsi="Book Antiqua"/>
          <w:sz w:val="22"/>
          <w:szCs w:val="22"/>
        </w:rPr>
        <w:t>submissions</w:t>
      </w:r>
      <w:r w:rsidR="001334CD" w:rsidRPr="00440E77">
        <w:rPr>
          <w:rFonts w:ascii="Book Antiqua" w:hAnsi="Book Antiqua"/>
          <w:sz w:val="22"/>
          <w:szCs w:val="22"/>
        </w:rPr>
        <w:t xml:space="preserve"> </w:t>
      </w:r>
      <w:r w:rsidR="00DC79DB" w:rsidRPr="00440E77">
        <w:rPr>
          <w:rFonts w:ascii="Book Antiqua" w:hAnsi="Book Antiqua"/>
          <w:sz w:val="22"/>
          <w:szCs w:val="22"/>
        </w:rPr>
        <w:t>addressed</w:t>
      </w:r>
      <w:r w:rsidR="001334CD" w:rsidRPr="00440E77">
        <w:rPr>
          <w:rFonts w:ascii="Book Antiqua" w:hAnsi="Book Antiqua"/>
          <w:sz w:val="22"/>
          <w:szCs w:val="22"/>
        </w:rPr>
        <w:t xml:space="preserve"> only th</w:t>
      </w:r>
      <w:r w:rsidR="00AC52EB" w:rsidRPr="00440E77">
        <w:rPr>
          <w:rFonts w:ascii="Book Antiqua" w:hAnsi="Book Antiqua"/>
          <w:sz w:val="22"/>
          <w:szCs w:val="22"/>
        </w:rPr>
        <w:t>i</w:t>
      </w:r>
      <w:r w:rsidR="001334CD" w:rsidRPr="00440E77">
        <w:rPr>
          <w:rFonts w:ascii="Book Antiqua" w:hAnsi="Book Antiqua"/>
          <w:sz w:val="22"/>
          <w:szCs w:val="22"/>
        </w:rPr>
        <w:t>s issue</w:t>
      </w:r>
      <w:r w:rsidR="009840FA" w:rsidRPr="00440E77">
        <w:rPr>
          <w:rFonts w:ascii="Book Antiqua" w:hAnsi="Book Antiqua"/>
          <w:sz w:val="22"/>
          <w:szCs w:val="22"/>
        </w:rPr>
        <w:t xml:space="preserve">. </w:t>
      </w:r>
    </w:p>
    <w:p w14:paraId="79BE01E8" w14:textId="617C8DD7" w:rsidR="00565989" w:rsidRPr="00440E77" w:rsidRDefault="003375B0"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The s</w:t>
      </w:r>
      <w:r w:rsidR="0091193D" w:rsidRPr="00440E77">
        <w:rPr>
          <w:rFonts w:ascii="Book Antiqua" w:hAnsi="Book Antiqua"/>
          <w:sz w:val="22"/>
          <w:szCs w:val="22"/>
        </w:rPr>
        <w:t>i</w:t>
      </w:r>
      <w:r w:rsidRPr="00440E77">
        <w:rPr>
          <w:rFonts w:ascii="Book Antiqua" w:hAnsi="Book Antiqua"/>
          <w:sz w:val="22"/>
          <w:szCs w:val="22"/>
        </w:rPr>
        <w:t xml:space="preserve">mple proposal is that </w:t>
      </w:r>
      <w:r w:rsidR="00EB2B9A" w:rsidRPr="00440E77">
        <w:rPr>
          <w:rFonts w:ascii="Book Antiqua" w:hAnsi="Book Antiqua"/>
          <w:sz w:val="22"/>
          <w:szCs w:val="22"/>
        </w:rPr>
        <w:t xml:space="preserve">the Appellant’s </w:t>
      </w:r>
      <w:r w:rsidR="00FE33E9" w:rsidRPr="00440E77">
        <w:rPr>
          <w:rFonts w:ascii="Book Antiqua" w:hAnsi="Book Antiqua"/>
          <w:sz w:val="22"/>
          <w:szCs w:val="22"/>
        </w:rPr>
        <w:t xml:space="preserve">qualification and </w:t>
      </w:r>
      <w:r w:rsidR="00EB2B9A" w:rsidRPr="00440E77">
        <w:rPr>
          <w:rFonts w:ascii="Book Antiqua" w:hAnsi="Book Antiqua"/>
          <w:sz w:val="22"/>
          <w:szCs w:val="22"/>
        </w:rPr>
        <w:t xml:space="preserve">employment as a nurse </w:t>
      </w:r>
      <w:r w:rsidR="00EB4673" w:rsidRPr="00440E77">
        <w:rPr>
          <w:rFonts w:ascii="Book Antiqua" w:hAnsi="Book Antiqua"/>
          <w:sz w:val="22"/>
          <w:szCs w:val="22"/>
        </w:rPr>
        <w:t xml:space="preserve">causes him to be at risk because a </w:t>
      </w:r>
      <w:r w:rsidR="0044315B" w:rsidRPr="00440E77">
        <w:rPr>
          <w:rFonts w:ascii="Book Antiqua" w:hAnsi="Book Antiqua"/>
          <w:sz w:val="22"/>
          <w:szCs w:val="22"/>
        </w:rPr>
        <w:t>nurse is a person asso</w:t>
      </w:r>
      <w:r w:rsidR="00205591" w:rsidRPr="00440E77">
        <w:rPr>
          <w:rFonts w:ascii="Book Antiqua" w:hAnsi="Book Antiqua"/>
          <w:sz w:val="22"/>
          <w:szCs w:val="22"/>
        </w:rPr>
        <w:t xml:space="preserve">ciated with an NGO (or </w:t>
      </w:r>
      <w:r w:rsidR="009B64C7" w:rsidRPr="00440E77">
        <w:rPr>
          <w:rFonts w:ascii="Book Antiqua" w:hAnsi="Book Antiqua"/>
          <w:sz w:val="22"/>
          <w:szCs w:val="22"/>
        </w:rPr>
        <w:t>potentially the government</w:t>
      </w:r>
      <w:r w:rsidR="00823A84" w:rsidRPr="00440E77">
        <w:rPr>
          <w:rFonts w:ascii="Book Antiqua" w:hAnsi="Book Antiqua"/>
          <w:sz w:val="22"/>
          <w:szCs w:val="22"/>
        </w:rPr>
        <w:t xml:space="preserve">) and </w:t>
      </w:r>
      <w:r w:rsidR="00823A84" w:rsidRPr="00440E77">
        <w:rPr>
          <w:rFonts w:ascii="Book Antiqua" w:hAnsi="Book Antiqua"/>
          <w:sz w:val="22"/>
          <w:szCs w:val="22"/>
          <w:u w:val="single"/>
        </w:rPr>
        <w:t>MOJ</w:t>
      </w:r>
      <w:r w:rsidR="00823A84" w:rsidRPr="00440E77">
        <w:rPr>
          <w:rFonts w:ascii="Book Antiqua" w:hAnsi="Book Antiqua"/>
          <w:sz w:val="22"/>
          <w:szCs w:val="22"/>
        </w:rPr>
        <w:t xml:space="preserve"> </w:t>
      </w:r>
      <w:r w:rsidR="00565989" w:rsidRPr="00440E77">
        <w:rPr>
          <w:rFonts w:ascii="Book Antiqua" w:hAnsi="Book Antiqua"/>
          <w:sz w:val="22"/>
          <w:szCs w:val="22"/>
        </w:rPr>
        <w:t>holds that such persons fall within an enhanced risk category.</w:t>
      </w:r>
    </w:p>
    <w:p w14:paraId="46FF29D1" w14:textId="7C6C0545" w:rsidR="00891DBD" w:rsidRPr="00440E77" w:rsidRDefault="004B0DDF"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 xml:space="preserve">MOJ deals with enhanced risk categories in the headnote and </w:t>
      </w:r>
      <w:r w:rsidR="00E0345E" w:rsidRPr="00440E77">
        <w:rPr>
          <w:rFonts w:ascii="Book Antiqua" w:hAnsi="Book Antiqua"/>
          <w:sz w:val="22"/>
          <w:szCs w:val="22"/>
        </w:rPr>
        <w:t xml:space="preserve">at </w:t>
      </w:r>
      <w:r w:rsidR="00F81BCC" w:rsidRPr="00440E77">
        <w:rPr>
          <w:rFonts w:ascii="Book Antiqua" w:hAnsi="Book Antiqua"/>
          <w:sz w:val="22"/>
          <w:szCs w:val="22"/>
        </w:rPr>
        <w:t>p</w:t>
      </w:r>
      <w:r w:rsidR="00E0345E" w:rsidRPr="00440E77">
        <w:rPr>
          <w:rFonts w:ascii="Book Antiqua" w:hAnsi="Book Antiqua"/>
          <w:sz w:val="22"/>
          <w:szCs w:val="22"/>
        </w:rPr>
        <w:t>aragra</w:t>
      </w:r>
      <w:r w:rsidR="0091193D" w:rsidRPr="00440E77">
        <w:rPr>
          <w:rFonts w:ascii="Book Antiqua" w:hAnsi="Book Antiqua"/>
          <w:sz w:val="22"/>
          <w:szCs w:val="22"/>
        </w:rPr>
        <w:t>p</w:t>
      </w:r>
      <w:r w:rsidR="00E0345E" w:rsidRPr="00440E77">
        <w:rPr>
          <w:rFonts w:ascii="Book Antiqua" w:hAnsi="Book Antiqua"/>
          <w:sz w:val="22"/>
          <w:szCs w:val="22"/>
        </w:rPr>
        <w:t>h 407</w:t>
      </w:r>
    </w:p>
    <w:p w14:paraId="79273B5A" w14:textId="5F42BFFA" w:rsidR="00450599" w:rsidRPr="00440E77" w:rsidRDefault="00F81BCC" w:rsidP="00440E77">
      <w:pPr>
        <w:pStyle w:val="ListParagraph"/>
        <w:numPr>
          <w:ilvl w:val="0"/>
          <w:numId w:val="21"/>
        </w:numPr>
        <w:spacing w:before="120" w:after="0"/>
        <w:ind w:left="1135" w:right="567" w:hanging="284"/>
        <w:contextualSpacing w:val="0"/>
        <w:rPr>
          <w:rFonts w:ascii="Arial" w:hAnsi="Arial" w:cs="Arial"/>
        </w:rPr>
      </w:pPr>
      <w:r w:rsidRPr="00440E77">
        <w:rPr>
          <w:rFonts w:ascii="Arial" w:hAnsi="Arial" w:cs="Arial"/>
        </w:rPr>
        <w:t>Generally, a person who is “an ordinary civilian” (i.e. not associated with the security forces; any aspect of government or official administration or any NGO or international organisation) on returning to Mogadishu after a period of absence will face no real risk of persecution or risk of harm such as to require protection under Article 15(c) of the Qualification Directive or Article 3 of the ECHR. In particular, he will not be at real risk simply on account of having lived in a European location for a period of time of being viewed with suspicion either by the authorities as a possible supporter of Al Shabaab or by Al Shabaab as an apostate or someone whose Islamic integrity has been compromised by living in a Western country</w:t>
      </w:r>
    </w:p>
    <w:p w14:paraId="7AC128AF" w14:textId="785305BA" w:rsidR="00450599" w:rsidRPr="00440E77" w:rsidRDefault="00450599" w:rsidP="00440E77">
      <w:pPr>
        <w:pStyle w:val="ListParagraph"/>
        <w:numPr>
          <w:ilvl w:val="0"/>
          <w:numId w:val="21"/>
        </w:numPr>
        <w:spacing w:before="120" w:after="0"/>
        <w:ind w:left="1135" w:right="567" w:hanging="284"/>
        <w:contextualSpacing w:val="0"/>
        <w:rPr>
          <w:rFonts w:ascii="Arial" w:hAnsi="Arial" w:cs="Arial"/>
        </w:rPr>
      </w:pPr>
      <w:r w:rsidRPr="00440E77">
        <w:rPr>
          <w:rFonts w:ascii="Arial" w:hAnsi="Arial" w:cs="Arial"/>
        </w:rPr>
        <w:lastRenderedPageBreak/>
        <w:t>…</w:t>
      </w:r>
    </w:p>
    <w:p w14:paraId="0E3150E2" w14:textId="552EA2C5" w:rsidR="00E12BF9" w:rsidRPr="00440E77" w:rsidRDefault="00E12BF9" w:rsidP="00440E77">
      <w:pPr>
        <w:pStyle w:val="ListParagraph"/>
        <w:numPr>
          <w:ilvl w:val="0"/>
          <w:numId w:val="21"/>
        </w:numPr>
        <w:spacing w:before="120" w:after="0"/>
        <w:ind w:left="1135" w:right="567" w:hanging="284"/>
        <w:contextualSpacing w:val="0"/>
        <w:rPr>
          <w:rFonts w:ascii="Arial" w:hAnsi="Arial" w:cs="Arial"/>
        </w:rPr>
      </w:pPr>
      <w:r w:rsidRPr="00440E77">
        <w:rPr>
          <w:rFonts w:ascii="Arial" w:hAnsi="Arial" w:cs="Arial"/>
        </w:rPr>
        <w:t xml:space="preserve">The level of civilian casualties, excluding non-military casualties that clearly fall within Al Shabaab target groups such as politicians, police officers, government officials and those associated with NGOs and international organisations, cannot be precisely established by the statistical evidence which is incomplete and unreliable. However, it is established by the evidence considered as a whole that there has been a reduction in the level of civilian casualties since 2011, largely due to the cessation of confrontational warfare within the city and Al </w:t>
      </w:r>
      <w:proofErr w:type="spellStart"/>
      <w:r w:rsidRPr="00440E77">
        <w:rPr>
          <w:rFonts w:ascii="Arial" w:hAnsi="Arial" w:cs="Arial"/>
        </w:rPr>
        <w:t>Shabaab’s</w:t>
      </w:r>
      <w:proofErr w:type="spellEnd"/>
      <w:r w:rsidRPr="00440E77">
        <w:rPr>
          <w:rFonts w:ascii="Arial" w:hAnsi="Arial" w:cs="Arial"/>
        </w:rPr>
        <w:t xml:space="preserve"> resort to asymmetrical warfare on carefully selected targets. The present level of casualties does not amount to a sufficient risk to ordinary civilians such as to represent an Article 15(c) risk. </w:t>
      </w:r>
    </w:p>
    <w:p w14:paraId="081DCCD5" w14:textId="74BE4372" w:rsidR="00C01CB0" w:rsidRPr="00440E77" w:rsidRDefault="00506CA0"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 xml:space="preserve">The first point of note must be that </w:t>
      </w:r>
      <w:r w:rsidRPr="00440E77">
        <w:rPr>
          <w:rFonts w:ascii="Book Antiqua" w:hAnsi="Book Antiqua"/>
          <w:sz w:val="22"/>
          <w:szCs w:val="22"/>
          <w:u w:val="single"/>
        </w:rPr>
        <w:t>MOJ</w:t>
      </w:r>
      <w:r w:rsidRPr="00440E77">
        <w:rPr>
          <w:rFonts w:ascii="Book Antiqua" w:hAnsi="Book Antiqua"/>
          <w:sz w:val="22"/>
          <w:szCs w:val="22"/>
        </w:rPr>
        <w:t xml:space="preserve"> does not, as submitted by Mr McGarvey, hold that </w:t>
      </w:r>
      <w:r w:rsidR="00C0244E" w:rsidRPr="00440E77">
        <w:rPr>
          <w:rFonts w:ascii="Book Antiqua" w:hAnsi="Book Antiqua"/>
          <w:sz w:val="22"/>
          <w:szCs w:val="22"/>
        </w:rPr>
        <w:t xml:space="preserve">those associated with the government or an NGO </w:t>
      </w:r>
      <w:r w:rsidR="009F0CFA" w:rsidRPr="00440E77">
        <w:rPr>
          <w:rFonts w:ascii="Book Antiqua" w:hAnsi="Book Antiqua"/>
          <w:sz w:val="22"/>
          <w:szCs w:val="22"/>
        </w:rPr>
        <w:t xml:space="preserve">are at risk rather it holds that those </w:t>
      </w:r>
      <w:r w:rsidR="009F0CFA" w:rsidRPr="00440E77">
        <w:rPr>
          <w:rFonts w:ascii="Book Antiqua" w:hAnsi="Book Antiqua"/>
          <w:sz w:val="22"/>
          <w:szCs w:val="22"/>
          <w:u w:val="single"/>
        </w:rPr>
        <w:t>not</w:t>
      </w:r>
      <w:r w:rsidR="009F0CFA" w:rsidRPr="00440E77">
        <w:rPr>
          <w:rFonts w:ascii="Book Antiqua" w:hAnsi="Book Antiqua"/>
          <w:sz w:val="22"/>
          <w:szCs w:val="22"/>
        </w:rPr>
        <w:t xml:space="preserve"> associated </w:t>
      </w:r>
      <w:r w:rsidR="009A3BEF" w:rsidRPr="00440E77">
        <w:rPr>
          <w:rFonts w:ascii="Book Antiqua" w:hAnsi="Book Antiqua"/>
          <w:sz w:val="22"/>
          <w:szCs w:val="22"/>
        </w:rPr>
        <w:t xml:space="preserve">with the government or an NGO are </w:t>
      </w:r>
      <w:r w:rsidR="00110ADD" w:rsidRPr="00440E77">
        <w:rPr>
          <w:rFonts w:ascii="Book Antiqua" w:hAnsi="Book Antiqua"/>
          <w:sz w:val="22"/>
          <w:szCs w:val="22"/>
        </w:rPr>
        <w:t xml:space="preserve">not </w:t>
      </w:r>
      <w:r w:rsidR="009A3BEF" w:rsidRPr="00440E77">
        <w:rPr>
          <w:rFonts w:ascii="Book Antiqua" w:hAnsi="Book Antiqua"/>
          <w:sz w:val="22"/>
          <w:szCs w:val="22"/>
        </w:rPr>
        <w:t xml:space="preserve">in general at risk. </w:t>
      </w:r>
      <w:r w:rsidR="003B096A" w:rsidRPr="00440E77">
        <w:rPr>
          <w:rFonts w:ascii="Book Antiqua" w:hAnsi="Book Antiqua"/>
          <w:sz w:val="22"/>
          <w:szCs w:val="22"/>
        </w:rPr>
        <w:t xml:space="preserve">It is an important </w:t>
      </w:r>
      <w:r w:rsidR="005B1FDF" w:rsidRPr="00440E77">
        <w:rPr>
          <w:rFonts w:ascii="Book Antiqua" w:hAnsi="Book Antiqua"/>
          <w:sz w:val="22"/>
          <w:szCs w:val="22"/>
        </w:rPr>
        <w:t>distinction</w:t>
      </w:r>
      <w:r w:rsidR="003B096A" w:rsidRPr="00440E77">
        <w:rPr>
          <w:rFonts w:ascii="Book Antiqua" w:hAnsi="Book Antiqua"/>
          <w:sz w:val="22"/>
          <w:szCs w:val="22"/>
        </w:rPr>
        <w:t xml:space="preserve"> because </w:t>
      </w:r>
      <w:r w:rsidR="00A44ED8" w:rsidRPr="00440E77">
        <w:rPr>
          <w:rFonts w:ascii="Book Antiqua" w:hAnsi="Book Antiqua"/>
          <w:sz w:val="22"/>
          <w:szCs w:val="22"/>
          <w:u w:val="single"/>
        </w:rPr>
        <w:t>MOJ</w:t>
      </w:r>
      <w:r w:rsidR="00A44ED8" w:rsidRPr="00440E77">
        <w:rPr>
          <w:rFonts w:ascii="Book Antiqua" w:hAnsi="Book Antiqua"/>
          <w:sz w:val="22"/>
          <w:szCs w:val="22"/>
        </w:rPr>
        <w:t xml:space="preserve"> seeks to define </w:t>
      </w:r>
      <w:r w:rsidR="0035743B" w:rsidRPr="00440E77">
        <w:rPr>
          <w:rFonts w:ascii="Book Antiqua" w:hAnsi="Book Antiqua"/>
          <w:sz w:val="22"/>
          <w:szCs w:val="22"/>
        </w:rPr>
        <w:t xml:space="preserve">‘safe’ categories rather than ‘at risk’ </w:t>
      </w:r>
      <w:r w:rsidR="005B1FDF" w:rsidRPr="00440E77">
        <w:rPr>
          <w:rFonts w:ascii="Book Antiqua" w:hAnsi="Book Antiqua"/>
          <w:sz w:val="22"/>
          <w:szCs w:val="22"/>
        </w:rPr>
        <w:t>categories</w:t>
      </w:r>
      <w:r w:rsidR="001B6D84" w:rsidRPr="00440E77">
        <w:rPr>
          <w:rFonts w:ascii="Book Antiqua" w:hAnsi="Book Antiqua"/>
          <w:sz w:val="22"/>
          <w:szCs w:val="22"/>
        </w:rPr>
        <w:t xml:space="preserve"> and it cannot in my judgement be correct to make a blanket assumption that a person not falling within a safe category is automatically in an </w:t>
      </w:r>
      <w:r w:rsidR="005B1FDF" w:rsidRPr="00440E77">
        <w:rPr>
          <w:rFonts w:ascii="Book Antiqua" w:hAnsi="Book Antiqua"/>
          <w:sz w:val="22"/>
          <w:szCs w:val="22"/>
        </w:rPr>
        <w:t>at-risk</w:t>
      </w:r>
      <w:r w:rsidR="001B6D84" w:rsidRPr="00440E77">
        <w:rPr>
          <w:rFonts w:ascii="Book Antiqua" w:hAnsi="Book Antiqua"/>
          <w:sz w:val="22"/>
          <w:szCs w:val="22"/>
        </w:rPr>
        <w:t xml:space="preserve"> category. </w:t>
      </w:r>
      <w:r w:rsidR="00283D91" w:rsidRPr="00440E77">
        <w:rPr>
          <w:rFonts w:ascii="Book Antiqua" w:hAnsi="Book Antiqua"/>
          <w:sz w:val="22"/>
          <w:szCs w:val="22"/>
        </w:rPr>
        <w:t xml:space="preserve">Paragraph 407.c. does not detract from this </w:t>
      </w:r>
      <w:r w:rsidR="00470A31" w:rsidRPr="00440E77">
        <w:rPr>
          <w:rFonts w:ascii="Book Antiqua" w:hAnsi="Book Antiqua"/>
          <w:sz w:val="22"/>
          <w:szCs w:val="22"/>
        </w:rPr>
        <w:t xml:space="preserve">referring as it does to </w:t>
      </w:r>
      <w:r w:rsidR="00480A99" w:rsidRPr="00440E77">
        <w:rPr>
          <w:rFonts w:ascii="Book Antiqua" w:hAnsi="Book Antiqua"/>
          <w:sz w:val="22"/>
          <w:szCs w:val="22"/>
        </w:rPr>
        <w:t xml:space="preserve">the impossibility of establishing the level of casualties </w:t>
      </w:r>
      <w:r w:rsidR="008203D4" w:rsidRPr="00440E77">
        <w:rPr>
          <w:rFonts w:ascii="Book Antiqua" w:hAnsi="Book Antiqua"/>
          <w:sz w:val="22"/>
          <w:szCs w:val="22"/>
        </w:rPr>
        <w:t>within generalised target groups.</w:t>
      </w:r>
    </w:p>
    <w:p w14:paraId="116A185C" w14:textId="6F8EC148" w:rsidR="009B554F" w:rsidRPr="00440E77" w:rsidRDefault="006F6CDC"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It follows that it was imperative for the Judge to consider the C</w:t>
      </w:r>
      <w:r w:rsidR="00360B98" w:rsidRPr="00440E77">
        <w:rPr>
          <w:rFonts w:ascii="Book Antiqua" w:hAnsi="Book Antiqua"/>
          <w:sz w:val="22"/>
          <w:szCs w:val="22"/>
        </w:rPr>
        <w:t xml:space="preserve">ountry Guidance case of </w:t>
      </w:r>
      <w:r w:rsidR="00360B98" w:rsidRPr="00440E77">
        <w:rPr>
          <w:rFonts w:ascii="Book Antiqua" w:hAnsi="Book Antiqua"/>
          <w:sz w:val="22"/>
          <w:szCs w:val="22"/>
          <w:u w:val="single"/>
        </w:rPr>
        <w:t>MOJ</w:t>
      </w:r>
      <w:r w:rsidR="00360B98" w:rsidRPr="00440E77">
        <w:rPr>
          <w:rFonts w:ascii="Book Antiqua" w:hAnsi="Book Antiqua"/>
          <w:sz w:val="22"/>
          <w:szCs w:val="22"/>
        </w:rPr>
        <w:t xml:space="preserve"> </w:t>
      </w:r>
      <w:r w:rsidR="00D75CD7" w:rsidRPr="00440E77">
        <w:rPr>
          <w:rFonts w:ascii="Book Antiqua" w:hAnsi="Book Antiqua"/>
          <w:sz w:val="22"/>
          <w:szCs w:val="22"/>
        </w:rPr>
        <w:t xml:space="preserve">and in doing so assess whether the Appellant, by virtue of </w:t>
      </w:r>
      <w:r w:rsidR="006A45A0" w:rsidRPr="00440E77">
        <w:rPr>
          <w:rFonts w:ascii="Book Antiqua" w:hAnsi="Book Antiqua"/>
          <w:sz w:val="22"/>
          <w:szCs w:val="22"/>
        </w:rPr>
        <w:t xml:space="preserve">his </w:t>
      </w:r>
      <w:r w:rsidR="00B74C43" w:rsidRPr="00440E77">
        <w:rPr>
          <w:rFonts w:ascii="Book Antiqua" w:hAnsi="Book Antiqua"/>
          <w:sz w:val="22"/>
          <w:szCs w:val="22"/>
        </w:rPr>
        <w:t>status</w:t>
      </w:r>
      <w:r w:rsidR="006A45A0" w:rsidRPr="00440E77">
        <w:rPr>
          <w:rFonts w:ascii="Book Antiqua" w:hAnsi="Book Antiqua"/>
          <w:sz w:val="22"/>
          <w:szCs w:val="22"/>
        </w:rPr>
        <w:t xml:space="preserve"> as a nurse would be at risk. </w:t>
      </w:r>
      <w:r w:rsidR="00BC2F08" w:rsidRPr="00440E77">
        <w:rPr>
          <w:rFonts w:ascii="Book Antiqua" w:hAnsi="Book Antiqua"/>
          <w:sz w:val="22"/>
          <w:szCs w:val="22"/>
        </w:rPr>
        <w:t xml:space="preserve">There can be no doubt that the Judge was alive to the issue. </w:t>
      </w:r>
      <w:r w:rsidR="00785C72" w:rsidRPr="00440E77">
        <w:rPr>
          <w:rFonts w:ascii="Book Antiqua" w:hAnsi="Book Antiqua"/>
          <w:sz w:val="22"/>
          <w:szCs w:val="22"/>
        </w:rPr>
        <w:t xml:space="preserve">He refers to </w:t>
      </w:r>
      <w:r w:rsidR="00785C72" w:rsidRPr="00440E77">
        <w:rPr>
          <w:rFonts w:ascii="Book Antiqua" w:hAnsi="Book Antiqua"/>
          <w:sz w:val="22"/>
          <w:szCs w:val="22"/>
          <w:u w:val="single"/>
        </w:rPr>
        <w:t>MOJ</w:t>
      </w:r>
      <w:r w:rsidR="00785C72" w:rsidRPr="00440E77">
        <w:rPr>
          <w:rFonts w:ascii="Book Antiqua" w:hAnsi="Book Antiqua"/>
          <w:sz w:val="22"/>
          <w:szCs w:val="22"/>
        </w:rPr>
        <w:t xml:space="preserve"> at </w:t>
      </w:r>
      <w:r w:rsidR="005B1FDF" w:rsidRPr="00440E77">
        <w:rPr>
          <w:rFonts w:ascii="Book Antiqua" w:hAnsi="Book Antiqua"/>
          <w:sz w:val="22"/>
          <w:szCs w:val="22"/>
        </w:rPr>
        <w:t>paragraph</w:t>
      </w:r>
      <w:r w:rsidR="00785C72" w:rsidRPr="00440E77">
        <w:rPr>
          <w:rFonts w:ascii="Book Antiqua" w:hAnsi="Book Antiqua"/>
          <w:sz w:val="22"/>
          <w:szCs w:val="22"/>
        </w:rPr>
        <w:t xml:space="preserve"> </w:t>
      </w:r>
      <w:r w:rsidR="00501D0B" w:rsidRPr="00440E77">
        <w:rPr>
          <w:rFonts w:ascii="Book Antiqua" w:hAnsi="Book Antiqua"/>
          <w:sz w:val="22"/>
          <w:szCs w:val="22"/>
        </w:rPr>
        <w:t>12</w:t>
      </w:r>
      <w:r w:rsidR="00FB2544" w:rsidRPr="00440E77">
        <w:rPr>
          <w:rFonts w:ascii="Book Antiqua" w:hAnsi="Book Antiqua"/>
          <w:sz w:val="22"/>
          <w:szCs w:val="22"/>
        </w:rPr>
        <w:t xml:space="preserve"> quoting from the headnote</w:t>
      </w:r>
      <w:r w:rsidR="00884CAA" w:rsidRPr="00440E77">
        <w:rPr>
          <w:rFonts w:ascii="Book Antiqua" w:hAnsi="Book Antiqua"/>
          <w:sz w:val="22"/>
          <w:szCs w:val="22"/>
        </w:rPr>
        <w:t xml:space="preserve"> and </w:t>
      </w:r>
      <w:r w:rsidR="005B1FDF" w:rsidRPr="00440E77">
        <w:rPr>
          <w:rFonts w:ascii="Book Antiqua" w:hAnsi="Book Antiqua"/>
          <w:sz w:val="22"/>
          <w:szCs w:val="22"/>
        </w:rPr>
        <w:t>again</w:t>
      </w:r>
      <w:r w:rsidR="00884CAA" w:rsidRPr="00440E77">
        <w:rPr>
          <w:rFonts w:ascii="Book Antiqua" w:hAnsi="Book Antiqua"/>
          <w:sz w:val="22"/>
          <w:szCs w:val="22"/>
        </w:rPr>
        <w:t xml:space="preserve"> at paragraphs 17, </w:t>
      </w:r>
      <w:r w:rsidR="00BA73FB" w:rsidRPr="00440E77">
        <w:rPr>
          <w:rFonts w:ascii="Book Antiqua" w:hAnsi="Book Antiqua"/>
          <w:sz w:val="22"/>
          <w:szCs w:val="22"/>
        </w:rPr>
        <w:t xml:space="preserve">21, 42, </w:t>
      </w:r>
      <w:r w:rsidR="004F34E7" w:rsidRPr="00440E77">
        <w:rPr>
          <w:rFonts w:ascii="Book Antiqua" w:hAnsi="Book Antiqua"/>
          <w:sz w:val="22"/>
          <w:szCs w:val="22"/>
        </w:rPr>
        <w:t xml:space="preserve">54, 55 and 56. </w:t>
      </w:r>
      <w:r w:rsidR="008437EB" w:rsidRPr="00440E77">
        <w:rPr>
          <w:rFonts w:ascii="Book Antiqua" w:hAnsi="Book Antiqua"/>
          <w:sz w:val="22"/>
          <w:szCs w:val="22"/>
        </w:rPr>
        <w:t xml:space="preserve">It was of course also imperative that the </w:t>
      </w:r>
      <w:r w:rsidR="00B74C43" w:rsidRPr="00440E77">
        <w:rPr>
          <w:rFonts w:ascii="Book Antiqua" w:hAnsi="Book Antiqua"/>
          <w:sz w:val="22"/>
          <w:szCs w:val="22"/>
        </w:rPr>
        <w:t>J</w:t>
      </w:r>
      <w:r w:rsidR="008437EB" w:rsidRPr="00440E77">
        <w:rPr>
          <w:rFonts w:ascii="Book Antiqua" w:hAnsi="Book Antiqua"/>
          <w:sz w:val="22"/>
          <w:szCs w:val="22"/>
        </w:rPr>
        <w:t xml:space="preserve">udge </w:t>
      </w:r>
      <w:r w:rsidR="005B1FDF" w:rsidRPr="00440E77">
        <w:rPr>
          <w:rFonts w:ascii="Book Antiqua" w:hAnsi="Book Antiqua"/>
          <w:sz w:val="22"/>
          <w:szCs w:val="22"/>
        </w:rPr>
        <w:t>considered</w:t>
      </w:r>
      <w:r w:rsidR="00F86560" w:rsidRPr="00440E77">
        <w:rPr>
          <w:rFonts w:ascii="Book Antiqua" w:hAnsi="Book Antiqua"/>
          <w:sz w:val="22"/>
          <w:szCs w:val="22"/>
        </w:rPr>
        <w:t xml:space="preserve"> the </w:t>
      </w:r>
      <w:r w:rsidR="00A5295C" w:rsidRPr="00440E77">
        <w:rPr>
          <w:rFonts w:ascii="Book Antiqua" w:hAnsi="Book Antiqua"/>
          <w:sz w:val="22"/>
          <w:szCs w:val="22"/>
        </w:rPr>
        <w:t xml:space="preserve">evidence and in doing so the expert report submitted on the </w:t>
      </w:r>
      <w:r w:rsidR="005B1FDF" w:rsidRPr="00440E77">
        <w:rPr>
          <w:rFonts w:ascii="Book Antiqua" w:hAnsi="Book Antiqua"/>
          <w:sz w:val="22"/>
          <w:szCs w:val="22"/>
        </w:rPr>
        <w:t>Appellant’s</w:t>
      </w:r>
      <w:r w:rsidR="00A5295C" w:rsidRPr="00440E77">
        <w:rPr>
          <w:rFonts w:ascii="Book Antiqua" w:hAnsi="Book Antiqua"/>
          <w:sz w:val="22"/>
          <w:szCs w:val="22"/>
        </w:rPr>
        <w:t xml:space="preserve"> behalf. The report came from </w:t>
      </w:r>
      <w:r w:rsidR="00A157BF" w:rsidRPr="00440E77">
        <w:rPr>
          <w:rFonts w:ascii="Book Antiqua" w:hAnsi="Book Antiqua"/>
          <w:sz w:val="22"/>
          <w:szCs w:val="22"/>
        </w:rPr>
        <w:t>Mary Harper</w:t>
      </w:r>
      <w:r w:rsidR="006B3DC1" w:rsidRPr="00440E77">
        <w:rPr>
          <w:rFonts w:ascii="Book Antiqua" w:hAnsi="Book Antiqua"/>
          <w:sz w:val="22"/>
          <w:szCs w:val="22"/>
        </w:rPr>
        <w:t xml:space="preserve"> and again it is clear that the Judge was alive to the contents of the report referring to it at paragraphs </w:t>
      </w:r>
      <w:r w:rsidR="003D5B09" w:rsidRPr="00440E77">
        <w:rPr>
          <w:rFonts w:ascii="Book Antiqua" w:hAnsi="Book Antiqua"/>
          <w:sz w:val="22"/>
          <w:szCs w:val="22"/>
        </w:rPr>
        <w:t>15(b),</w:t>
      </w:r>
      <w:r w:rsidR="00C711B4" w:rsidRPr="00440E77">
        <w:rPr>
          <w:rFonts w:ascii="Book Antiqua" w:hAnsi="Book Antiqua"/>
          <w:sz w:val="22"/>
          <w:szCs w:val="22"/>
        </w:rPr>
        <w:t xml:space="preserve"> 17</w:t>
      </w:r>
      <w:r w:rsidR="006A2B8A" w:rsidRPr="00440E77">
        <w:rPr>
          <w:rFonts w:ascii="Book Antiqua" w:hAnsi="Book Antiqua"/>
          <w:sz w:val="22"/>
          <w:szCs w:val="22"/>
        </w:rPr>
        <w:t xml:space="preserve">, </w:t>
      </w:r>
      <w:r w:rsidR="0058683E" w:rsidRPr="00440E77">
        <w:rPr>
          <w:rFonts w:ascii="Book Antiqua" w:hAnsi="Book Antiqua"/>
          <w:sz w:val="22"/>
          <w:szCs w:val="22"/>
        </w:rPr>
        <w:t>42, 46,</w:t>
      </w:r>
      <w:r w:rsidR="00ED7538" w:rsidRPr="00440E77">
        <w:rPr>
          <w:rFonts w:ascii="Book Antiqua" w:hAnsi="Book Antiqua"/>
          <w:sz w:val="22"/>
          <w:szCs w:val="22"/>
        </w:rPr>
        <w:t xml:space="preserve"> 54, 55 and 56</w:t>
      </w:r>
      <w:r w:rsidR="0097113A" w:rsidRPr="00440E77">
        <w:rPr>
          <w:rFonts w:ascii="Book Antiqua" w:hAnsi="Book Antiqua"/>
          <w:sz w:val="22"/>
          <w:szCs w:val="22"/>
        </w:rPr>
        <w:t xml:space="preserve"> as well as quoting extensively from the report at paragraph 18.</w:t>
      </w:r>
    </w:p>
    <w:p w14:paraId="2FB9C61D" w14:textId="673AB687" w:rsidR="00AB2032" w:rsidRPr="00440E77" w:rsidRDefault="00313F53"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 xml:space="preserve">The Judge gives extensive reasoning </w:t>
      </w:r>
      <w:r w:rsidR="00B45423" w:rsidRPr="00440E77">
        <w:rPr>
          <w:rFonts w:ascii="Book Antiqua" w:hAnsi="Book Antiqua"/>
          <w:sz w:val="22"/>
          <w:szCs w:val="22"/>
        </w:rPr>
        <w:t>before reaching the conclusion that the Appellant is not a credible witness so far as the</w:t>
      </w:r>
      <w:r w:rsidR="00280CEC" w:rsidRPr="00440E77">
        <w:rPr>
          <w:rFonts w:ascii="Book Antiqua" w:hAnsi="Book Antiqua"/>
          <w:sz w:val="22"/>
          <w:szCs w:val="22"/>
        </w:rPr>
        <w:t xml:space="preserve"> core aspects of his claim to have been persecuted </w:t>
      </w:r>
      <w:r w:rsidR="00805D56" w:rsidRPr="00440E77">
        <w:rPr>
          <w:rFonts w:ascii="Book Antiqua" w:hAnsi="Book Antiqua"/>
          <w:sz w:val="22"/>
          <w:szCs w:val="22"/>
        </w:rPr>
        <w:t xml:space="preserve">are </w:t>
      </w:r>
      <w:r w:rsidR="005B1FDF" w:rsidRPr="00440E77">
        <w:rPr>
          <w:rFonts w:ascii="Book Antiqua" w:hAnsi="Book Antiqua"/>
          <w:sz w:val="22"/>
          <w:szCs w:val="22"/>
        </w:rPr>
        <w:t>concerned</w:t>
      </w:r>
      <w:r w:rsidR="00805D56" w:rsidRPr="00440E77">
        <w:rPr>
          <w:rFonts w:ascii="Book Antiqua" w:hAnsi="Book Antiqua"/>
          <w:sz w:val="22"/>
          <w:szCs w:val="22"/>
        </w:rPr>
        <w:t xml:space="preserve">. The </w:t>
      </w:r>
      <w:r w:rsidR="00526909" w:rsidRPr="00440E77">
        <w:rPr>
          <w:rFonts w:ascii="Book Antiqua" w:hAnsi="Book Antiqua"/>
          <w:sz w:val="22"/>
          <w:szCs w:val="22"/>
        </w:rPr>
        <w:t>J</w:t>
      </w:r>
      <w:r w:rsidR="00805D56" w:rsidRPr="00440E77">
        <w:rPr>
          <w:rFonts w:ascii="Book Antiqua" w:hAnsi="Book Antiqua"/>
          <w:sz w:val="22"/>
          <w:szCs w:val="22"/>
        </w:rPr>
        <w:t xml:space="preserve">udge’s finding in this respect is not challenged in the grounds of appeal to the Upper Tribunal and it is of course </w:t>
      </w:r>
      <w:r w:rsidR="00F933F5" w:rsidRPr="00440E77">
        <w:rPr>
          <w:rFonts w:ascii="Book Antiqua" w:hAnsi="Book Antiqua"/>
          <w:sz w:val="22"/>
          <w:szCs w:val="22"/>
        </w:rPr>
        <w:t>this adverse cred</w:t>
      </w:r>
      <w:r w:rsidR="00E2001E" w:rsidRPr="00440E77">
        <w:rPr>
          <w:rFonts w:ascii="Book Antiqua" w:hAnsi="Book Antiqua"/>
          <w:sz w:val="22"/>
          <w:szCs w:val="22"/>
        </w:rPr>
        <w:t>ibility</w:t>
      </w:r>
      <w:r w:rsidR="00F933F5" w:rsidRPr="00440E77">
        <w:rPr>
          <w:rFonts w:ascii="Book Antiqua" w:hAnsi="Book Antiqua"/>
          <w:sz w:val="22"/>
          <w:szCs w:val="22"/>
        </w:rPr>
        <w:t xml:space="preserve"> finding that informs the Judge’s decision about the risk to the </w:t>
      </w:r>
      <w:r w:rsidR="00714211" w:rsidRPr="00440E77">
        <w:rPr>
          <w:rFonts w:ascii="Book Antiqua" w:hAnsi="Book Antiqua"/>
          <w:sz w:val="22"/>
          <w:szCs w:val="22"/>
        </w:rPr>
        <w:t>Appellant</w:t>
      </w:r>
      <w:r w:rsidR="00F933F5" w:rsidRPr="00440E77">
        <w:rPr>
          <w:rFonts w:ascii="Book Antiqua" w:hAnsi="Book Antiqua"/>
          <w:sz w:val="22"/>
          <w:szCs w:val="22"/>
        </w:rPr>
        <w:t xml:space="preserve"> </w:t>
      </w:r>
      <w:r w:rsidR="00881F1D" w:rsidRPr="00440E77">
        <w:rPr>
          <w:rFonts w:ascii="Book Antiqua" w:hAnsi="Book Antiqua"/>
          <w:sz w:val="22"/>
          <w:szCs w:val="22"/>
        </w:rPr>
        <w:t xml:space="preserve">as a nurse. </w:t>
      </w:r>
      <w:r w:rsidR="00664CAB" w:rsidRPr="00440E77">
        <w:rPr>
          <w:rFonts w:ascii="Book Antiqua" w:hAnsi="Book Antiqua"/>
          <w:sz w:val="22"/>
          <w:szCs w:val="22"/>
        </w:rPr>
        <w:t xml:space="preserve">The only positive finding made about the </w:t>
      </w:r>
      <w:r w:rsidR="005B1FDF" w:rsidRPr="00440E77">
        <w:rPr>
          <w:rFonts w:ascii="Book Antiqua" w:hAnsi="Book Antiqua"/>
          <w:sz w:val="22"/>
          <w:szCs w:val="22"/>
        </w:rPr>
        <w:t>Appellant’s</w:t>
      </w:r>
      <w:r w:rsidR="00664CAB" w:rsidRPr="00440E77">
        <w:rPr>
          <w:rFonts w:ascii="Book Antiqua" w:hAnsi="Book Antiqua"/>
          <w:sz w:val="22"/>
          <w:szCs w:val="22"/>
        </w:rPr>
        <w:t xml:space="preserve"> cred</w:t>
      </w:r>
      <w:r w:rsidR="005B1FDF" w:rsidRPr="00440E77">
        <w:rPr>
          <w:rFonts w:ascii="Book Antiqua" w:hAnsi="Book Antiqua"/>
          <w:sz w:val="22"/>
          <w:szCs w:val="22"/>
        </w:rPr>
        <w:t>ibil</w:t>
      </w:r>
      <w:r w:rsidR="00664CAB" w:rsidRPr="00440E77">
        <w:rPr>
          <w:rFonts w:ascii="Book Antiqua" w:hAnsi="Book Antiqua"/>
          <w:sz w:val="22"/>
          <w:szCs w:val="22"/>
        </w:rPr>
        <w:t xml:space="preserve">ity is to be found in </w:t>
      </w:r>
      <w:r w:rsidR="005B1FDF" w:rsidRPr="00440E77">
        <w:rPr>
          <w:rFonts w:ascii="Book Antiqua" w:hAnsi="Book Antiqua"/>
          <w:sz w:val="22"/>
          <w:szCs w:val="22"/>
        </w:rPr>
        <w:t>paragraph</w:t>
      </w:r>
      <w:r w:rsidR="00664CAB" w:rsidRPr="00440E77">
        <w:rPr>
          <w:rFonts w:ascii="Book Antiqua" w:hAnsi="Book Antiqua"/>
          <w:sz w:val="22"/>
          <w:szCs w:val="22"/>
        </w:rPr>
        <w:t xml:space="preserve"> 53 of the decision. That is that the </w:t>
      </w:r>
      <w:r w:rsidR="005B1FDF" w:rsidRPr="00440E77">
        <w:rPr>
          <w:rFonts w:ascii="Book Antiqua" w:hAnsi="Book Antiqua"/>
          <w:sz w:val="22"/>
          <w:szCs w:val="22"/>
        </w:rPr>
        <w:t>Appellant</w:t>
      </w:r>
      <w:r w:rsidR="00664CAB" w:rsidRPr="00440E77">
        <w:rPr>
          <w:rFonts w:ascii="Book Antiqua" w:hAnsi="Book Antiqua"/>
          <w:sz w:val="22"/>
          <w:szCs w:val="22"/>
        </w:rPr>
        <w:t xml:space="preserve"> is a qualified </w:t>
      </w:r>
      <w:r w:rsidR="00F712CD" w:rsidRPr="00440E77">
        <w:rPr>
          <w:rFonts w:ascii="Book Antiqua" w:hAnsi="Book Antiqua"/>
          <w:sz w:val="22"/>
          <w:szCs w:val="22"/>
        </w:rPr>
        <w:t xml:space="preserve">nursed who graduated in 2012 and who worked at Arafat </w:t>
      </w:r>
      <w:r w:rsidR="005B1FDF" w:rsidRPr="00440E77">
        <w:rPr>
          <w:rFonts w:ascii="Book Antiqua" w:hAnsi="Book Antiqua"/>
          <w:sz w:val="22"/>
          <w:szCs w:val="22"/>
        </w:rPr>
        <w:t>Hospital</w:t>
      </w:r>
      <w:r w:rsidR="00F712CD" w:rsidRPr="00440E77">
        <w:rPr>
          <w:rFonts w:ascii="Book Antiqua" w:hAnsi="Book Antiqua"/>
          <w:sz w:val="22"/>
          <w:szCs w:val="22"/>
        </w:rPr>
        <w:t xml:space="preserve"> from 2010 to 2011</w:t>
      </w:r>
      <w:r w:rsidR="00922F26" w:rsidRPr="00440E77">
        <w:rPr>
          <w:rFonts w:ascii="Book Antiqua" w:hAnsi="Book Antiqua"/>
          <w:sz w:val="22"/>
          <w:szCs w:val="22"/>
        </w:rPr>
        <w:t xml:space="preserve"> during his </w:t>
      </w:r>
      <w:r w:rsidR="005B1FDF" w:rsidRPr="00440E77">
        <w:rPr>
          <w:rFonts w:ascii="Book Antiqua" w:hAnsi="Book Antiqua"/>
          <w:sz w:val="22"/>
          <w:szCs w:val="22"/>
        </w:rPr>
        <w:t>training</w:t>
      </w:r>
      <w:r w:rsidR="00922F26" w:rsidRPr="00440E77">
        <w:rPr>
          <w:rFonts w:ascii="Book Antiqua" w:hAnsi="Book Antiqua"/>
          <w:sz w:val="22"/>
          <w:szCs w:val="22"/>
        </w:rPr>
        <w:t xml:space="preserve">. </w:t>
      </w:r>
    </w:p>
    <w:p w14:paraId="6ECDF979" w14:textId="2CE784D8" w:rsidR="00AB18C3" w:rsidRPr="00440E77" w:rsidRDefault="00AB2032"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 xml:space="preserve">Having referred to the Country Guidance case of </w:t>
      </w:r>
      <w:r w:rsidRPr="00440E77">
        <w:rPr>
          <w:rFonts w:ascii="Book Antiqua" w:hAnsi="Book Antiqua"/>
          <w:sz w:val="22"/>
          <w:szCs w:val="22"/>
          <w:u w:val="single"/>
        </w:rPr>
        <w:t>MOJ</w:t>
      </w:r>
      <w:r w:rsidRPr="00440E77">
        <w:rPr>
          <w:rFonts w:ascii="Book Antiqua" w:hAnsi="Book Antiqua"/>
          <w:sz w:val="22"/>
          <w:szCs w:val="22"/>
        </w:rPr>
        <w:t xml:space="preserve"> and the expert’s report </w:t>
      </w:r>
      <w:r w:rsidR="005B1FDF" w:rsidRPr="00440E77">
        <w:rPr>
          <w:rFonts w:ascii="Book Antiqua" w:hAnsi="Book Antiqua"/>
          <w:sz w:val="22"/>
          <w:szCs w:val="22"/>
        </w:rPr>
        <w:t>extensively</w:t>
      </w:r>
      <w:r w:rsidRPr="00440E77">
        <w:rPr>
          <w:rFonts w:ascii="Book Antiqua" w:hAnsi="Book Antiqua"/>
          <w:sz w:val="22"/>
          <w:szCs w:val="22"/>
        </w:rPr>
        <w:t xml:space="preserve"> the </w:t>
      </w:r>
      <w:r w:rsidR="00411262" w:rsidRPr="00440E77">
        <w:rPr>
          <w:rFonts w:ascii="Book Antiqua" w:hAnsi="Book Antiqua"/>
          <w:sz w:val="22"/>
          <w:szCs w:val="22"/>
        </w:rPr>
        <w:t xml:space="preserve">Judge </w:t>
      </w:r>
      <w:r w:rsidR="005B1FDF" w:rsidRPr="00440E77">
        <w:rPr>
          <w:rFonts w:ascii="Book Antiqua" w:hAnsi="Book Antiqua"/>
          <w:sz w:val="22"/>
          <w:szCs w:val="22"/>
        </w:rPr>
        <w:t>considers</w:t>
      </w:r>
      <w:r w:rsidR="00411262" w:rsidRPr="00440E77">
        <w:rPr>
          <w:rFonts w:ascii="Book Antiqua" w:hAnsi="Book Antiqua"/>
          <w:sz w:val="22"/>
          <w:szCs w:val="22"/>
        </w:rPr>
        <w:t xml:space="preserve"> at </w:t>
      </w:r>
      <w:r w:rsidR="005B1FDF" w:rsidRPr="00440E77">
        <w:rPr>
          <w:rFonts w:ascii="Book Antiqua" w:hAnsi="Book Antiqua"/>
          <w:sz w:val="22"/>
          <w:szCs w:val="22"/>
        </w:rPr>
        <w:t>paragraph</w:t>
      </w:r>
      <w:r w:rsidR="004B762A" w:rsidRPr="00440E77">
        <w:rPr>
          <w:rFonts w:ascii="Book Antiqua" w:hAnsi="Book Antiqua"/>
          <w:sz w:val="22"/>
          <w:szCs w:val="22"/>
        </w:rPr>
        <w:t>s</w:t>
      </w:r>
      <w:r w:rsidR="00411262" w:rsidRPr="00440E77">
        <w:rPr>
          <w:rFonts w:ascii="Book Antiqua" w:hAnsi="Book Antiqua"/>
          <w:sz w:val="22"/>
          <w:szCs w:val="22"/>
        </w:rPr>
        <w:t xml:space="preserve"> 55-57 </w:t>
      </w:r>
      <w:r w:rsidR="005B1FDF" w:rsidRPr="00440E77">
        <w:rPr>
          <w:rFonts w:ascii="Book Antiqua" w:hAnsi="Book Antiqua"/>
          <w:sz w:val="22"/>
          <w:szCs w:val="22"/>
        </w:rPr>
        <w:t>whether</w:t>
      </w:r>
      <w:r w:rsidR="00411262" w:rsidRPr="00440E77">
        <w:rPr>
          <w:rFonts w:ascii="Book Antiqua" w:hAnsi="Book Antiqua"/>
          <w:sz w:val="22"/>
          <w:szCs w:val="22"/>
        </w:rPr>
        <w:t xml:space="preserve"> </w:t>
      </w:r>
      <w:r w:rsidR="00C32256" w:rsidRPr="00440E77">
        <w:rPr>
          <w:rFonts w:ascii="Book Antiqua" w:hAnsi="Book Antiqua"/>
          <w:sz w:val="22"/>
          <w:szCs w:val="22"/>
        </w:rPr>
        <w:t xml:space="preserve">a nurse </w:t>
      </w:r>
      <w:r w:rsidR="00191829" w:rsidRPr="00440E77">
        <w:rPr>
          <w:rFonts w:ascii="Book Antiqua" w:hAnsi="Book Antiqua"/>
          <w:sz w:val="22"/>
          <w:szCs w:val="22"/>
        </w:rPr>
        <w:t>falls within a category of potential targets identi</w:t>
      </w:r>
      <w:r w:rsidR="005B1FDF" w:rsidRPr="00440E77">
        <w:rPr>
          <w:rFonts w:ascii="Book Antiqua" w:hAnsi="Book Antiqua"/>
          <w:sz w:val="22"/>
          <w:szCs w:val="22"/>
        </w:rPr>
        <w:t>fi</w:t>
      </w:r>
      <w:r w:rsidR="00191829" w:rsidRPr="00440E77">
        <w:rPr>
          <w:rFonts w:ascii="Book Antiqua" w:hAnsi="Book Antiqua"/>
          <w:sz w:val="22"/>
          <w:szCs w:val="22"/>
        </w:rPr>
        <w:t xml:space="preserve">ed within </w:t>
      </w:r>
      <w:r w:rsidR="00191829" w:rsidRPr="00440E77">
        <w:rPr>
          <w:rFonts w:ascii="Book Antiqua" w:hAnsi="Book Antiqua"/>
          <w:sz w:val="22"/>
          <w:szCs w:val="22"/>
          <w:u w:val="single"/>
        </w:rPr>
        <w:t>MOJ</w:t>
      </w:r>
      <w:r w:rsidR="00191829" w:rsidRPr="00440E77">
        <w:rPr>
          <w:rFonts w:ascii="Book Antiqua" w:hAnsi="Book Antiqua"/>
          <w:sz w:val="22"/>
          <w:szCs w:val="22"/>
        </w:rPr>
        <w:t xml:space="preserve"> and </w:t>
      </w:r>
      <w:r w:rsidR="005B1FDF" w:rsidRPr="00440E77">
        <w:rPr>
          <w:rFonts w:ascii="Book Antiqua" w:hAnsi="Book Antiqua"/>
          <w:sz w:val="22"/>
          <w:szCs w:val="22"/>
        </w:rPr>
        <w:t>comes</w:t>
      </w:r>
      <w:r w:rsidR="00191829" w:rsidRPr="00440E77">
        <w:rPr>
          <w:rFonts w:ascii="Book Antiqua" w:hAnsi="Book Antiqua"/>
          <w:sz w:val="22"/>
          <w:szCs w:val="22"/>
        </w:rPr>
        <w:t xml:space="preserve"> to the conclusion that </w:t>
      </w:r>
      <w:r w:rsidR="006A532A" w:rsidRPr="00440E77">
        <w:rPr>
          <w:rFonts w:ascii="Book Antiqua" w:hAnsi="Book Antiqua"/>
          <w:sz w:val="22"/>
          <w:szCs w:val="22"/>
        </w:rPr>
        <w:t xml:space="preserve">it does not. Mr McGarvey, in effect, suggests that such </w:t>
      </w:r>
      <w:r w:rsidR="005B1FDF" w:rsidRPr="00440E77">
        <w:rPr>
          <w:rFonts w:ascii="Book Antiqua" w:hAnsi="Book Antiqua"/>
          <w:sz w:val="22"/>
          <w:szCs w:val="22"/>
        </w:rPr>
        <w:t>conclusion</w:t>
      </w:r>
      <w:r w:rsidR="006A532A" w:rsidRPr="00440E77">
        <w:rPr>
          <w:rFonts w:ascii="Book Antiqua" w:hAnsi="Book Antiqua"/>
          <w:sz w:val="22"/>
          <w:szCs w:val="22"/>
        </w:rPr>
        <w:t xml:space="preserve"> is irrational. </w:t>
      </w:r>
      <w:r w:rsidR="007352CB" w:rsidRPr="00440E77">
        <w:rPr>
          <w:rFonts w:ascii="Book Antiqua" w:hAnsi="Book Antiqua"/>
          <w:sz w:val="22"/>
          <w:szCs w:val="22"/>
        </w:rPr>
        <w:t xml:space="preserve">In my judgement it is not. </w:t>
      </w:r>
      <w:r w:rsidR="0024405B" w:rsidRPr="00440E77">
        <w:rPr>
          <w:rFonts w:ascii="Book Antiqua" w:hAnsi="Book Antiqua"/>
          <w:sz w:val="22"/>
          <w:szCs w:val="22"/>
          <w:u w:val="single"/>
        </w:rPr>
        <w:t>MOJ</w:t>
      </w:r>
      <w:r w:rsidR="0024405B" w:rsidRPr="00440E77">
        <w:rPr>
          <w:rFonts w:ascii="Book Antiqua" w:hAnsi="Book Antiqua"/>
          <w:sz w:val="22"/>
          <w:szCs w:val="22"/>
        </w:rPr>
        <w:t xml:space="preserve"> gi</w:t>
      </w:r>
      <w:r w:rsidR="000473B5" w:rsidRPr="00440E77">
        <w:rPr>
          <w:rFonts w:ascii="Book Antiqua" w:hAnsi="Book Antiqua"/>
          <w:sz w:val="22"/>
          <w:szCs w:val="22"/>
        </w:rPr>
        <w:t>v</w:t>
      </w:r>
      <w:r w:rsidR="0024405B" w:rsidRPr="00440E77">
        <w:rPr>
          <w:rFonts w:ascii="Book Antiqua" w:hAnsi="Book Antiqua"/>
          <w:sz w:val="22"/>
          <w:szCs w:val="22"/>
        </w:rPr>
        <w:t xml:space="preserve">es very general guidance, </w:t>
      </w:r>
      <w:r w:rsidR="00332AC1" w:rsidRPr="00440E77">
        <w:rPr>
          <w:rFonts w:ascii="Book Antiqua" w:hAnsi="Book Antiqua"/>
          <w:sz w:val="22"/>
          <w:szCs w:val="22"/>
        </w:rPr>
        <w:t>“</w:t>
      </w:r>
      <w:r w:rsidR="00B42484" w:rsidRPr="00440E77">
        <w:rPr>
          <w:rFonts w:ascii="Book Antiqua" w:hAnsi="Book Antiqua"/>
          <w:sz w:val="22"/>
          <w:szCs w:val="22"/>
        </w:rPr>
        <w:t xml:space="preserve">government officials and </w:t>
      </w:r>
      <w:r w:rsidR="008640B8" w:rsidRPr="00440E77">
        <w:rPr>
          <w:rFonts w:ascii="Book Antiqua" w:hAnsi="Book Antiqua"/>
          <w:sz w:val="22"/>
          <w:szCs w:val="22"/>
        </w:rPr>
        <w:t>those</w:t>
      </w:r>
      <w:r w:rsidR="00B42484" w:rsidRPr="00440E77">
        <w:rPr>
          <w:rFonts w:ascii="Book Antiqua" w:hAnsi="Book Antiqua"/>
          <w:sz w:val="22"/>
          <w:szCs w:val="22"/>
        </w:rPr>
        <w:t xml:space="preserve"> associated with NGOs…”</w:t>
      </w:r>
      <w:r w:rsidR="00952382" w:rsidRPr="00440E77">
        <w:rPr>
          <w:rFonts w:ascii="Book Antiqua" w:hAnsi="Book Antiqua"/>
          <w:sz w:val="22"/>
          <w:szCs w:val="22"/>
        </w:rPr>
        <w:t xml:space="preserve"> without giving any clear definition of what a “government official” may be or what </w:t>
      </w:r>
      <w:r w:rsidR="005B1FDF" w:rsidRPr="00440E77">
        <w:rPr>
          <w:rFonts w:ascii="Book Antiqua" w:hAnsi="Book Antiqua"/>
          <w:sz w:val="22"/>
          <w:szCs w:val="22"/>
        </w:rPr>
        <w:t>constitutes</w:t>
      </w:r>
      <w:r w:rsidR="009C263E" w:rsidRPr="00440E77">
        <w:rPr>
          <w:rFonts w:ascii="Book Antiqua" w:hAnsi="Book Antiqua"/>
          <w:sz w:val="22"/>
          <w:szCs w:val="22"/>
        </w:rPr>
        <w:t xml:space="preserve"> an </w:t>
      </w:r>
      <w:r w:rsidR="009C263E" w:rsidRPr="00440E77">
        <w:rPr>
          <w:rFonts w:ascii="Book Antiqua" w:hAnsi="Book Antiqua"/>
          <w:sz w:val="22"/>
          <w:szCs w:val="22"/>
        </w:rPr>
        <w:lastRenderedPageBreak/>
        <w:t xml:space="preserve">“association” with an NGO. </w:t>
      </w:r>
      <w:r w:rsidR="00332AC1" w:rsidRPr="00440E77">
        <w:rPr>
          <w:rFonts w:ascii="Book Antiqua" w:hAnsi="Book Antiqua"/>
          <w:sz w:val="22"/>
          <w:szCs w:val="22"/>
        </w:rPr>
        <w:t xml:space="preserve"> </w:t>
      </w:r>
      <w:r w:rsidR="00CE0AA4" w:rsidRPr="00440E77">
        <w:rPr>
          <w:rFonts w:ascii="Book Antiqua" w:hAnsi="Book Antiqua"/>
          <w:sz w:val="22"/>
          <w:szCs w:val="22"/>
        </w:rPr>
        <w:t xml:space="preserve">There is perhaps some </w:t>
      </w:r>
      <w:r w:rsidR="005B1FDF" w:rsidRPr="00440E77">
        <w:rPr>
          <w:rFonts w:ascii="Book Antiqua" w:hAnsi="Book Antiqua"/>
          <w:sz w:val="22"/>
          <w:szCs w:val="22"/>
        </w:rPr>
        <w:t>clarification</w:t>
      </w:r>
      <w:r w:rsidR="00CE0AA4" w:rsidRPr="00440E77">
        <w:rPr>
          <w:rFonts w:ascii="Book Antiqua" w:hAnsi="Book Antiqua"/>
          <w:sz w:val="22"/>
          <w:szCs w:val="22"/>
        </w:rPr>
        <w:t xml:space="preserve"> of the g</w:t>
      </w:r>
      <w:r w:rsidR="00720FC5" w:rsidRPr="00440E77">
        <w:rPr>
          <w:rFonts w:ascii="Book Antiqua" w:hAnsi="Book Antiqua"/>
          <w:sz w:val="22"/>
          <w:szCs w:val="22"/>
        </w:rPr>
        <w:t>u</w:t>
      </w:r>
      <w:r w:rsidR="00CE0AA4" w:rsidRPr="00440E77">
        <w:rPr>
          <w:rFonts w:ascii="Book Antiqua" w:hAnsi="Book Antiqua"/>
          <w:sz w:val="22"/>
          <w:szCs w:val="22"/>
        </w:rPr>
        <w:t>i</w:t>
      </w:r>
      <w:r w:rsidR="00113F2E" w:rsidRPr="00440E77">
        <w:rPr>
          <w:rFonts w:ascii="Book Antiqua" w:hAnsi="Book Antiqua"/>
          <w:sz w:val="22"/>
          <w:szCs w:val="22"/>
        </w:rPr>
        <w:t>d</w:t>
      </w:r>
      <w:r w:rsidR="00CE0AA4" w:rsidRPr="00440E77">
        <w:rPr>
          <w:rFonts w:ascii="Book Antiqua" w:hAnsi="Book Antiqua"/>
          <w:sz w:val="22"/>
          <w:szCs w:val="22"/>
        </w:rPr>
        <w:t>ance at paragraph 404</w:t>
      </w:r>
      <w:r w:rsidR="0018591C" w:rsidRPr="00440E77">
        <w:rPr>
          <w:rFonts w:ascii="Book Antiqua" w:hAnsi="Book Antiqua"/>
          <w:sz w:val="22"/>
          <w:szCs w:val="22"/>
        </w:rPr>
        <w:t xml:space="preserve"> of </w:t>
      </w:r>
      <w:r w:rsidR="0018591C" w:rsidRPr="00440E77">
        <w:rPr>
          <w:rFonts w:ascii="Book Antiqua" w:hAnsi="Book Antiqua"/>
          <w:sz w:val="22"/>
          <w:szCs w:val="22"/>
          <w:u w:val="single"/>
        </w:rPr>
        <w:t>MOJ</w:t>
      </w:r>
    </w:p>
    <w:p w14:paraId="3A938375" w14:textId="719B5C70" w:rsidR="00720FC5" w:rsidRPr="00440E77" w:rsidRDefault="00440E77" w:rsidP="00440E77">
      <w:pPr>
        <w:spacing w:before="120"/>
        <w:ind w:left="851" w:right="567"/>
        <w:jc w:val="both"/>
        <w:rPr>
          <w:rFonts w:ascii="Arial" w:hAnsi="Arial" w:cs="Arial"/>
          <w:sz w:val="22"/>
          <w:szCs w:val="22"/>
        </w:rPr>
      </w:pPr>
      <w:r w:rsidRPr="00440E77">
        <w:rPr>
          <w:rFonts w:ascii="Arial" w:hAnsi="Arial" w:cs="Arial"/>
          <w:sz w:val="22"/>
          <w:szCs w:val="22"/>
        </w:rPr>
        <w:t>“</w:t>
      </w:r>
      <w:r w:rsidR="00720FC5" w:rsidRPr="00440E77">
        <w:rPr>
          <w:rFonts w:ascii="Arial" w:hAnsi="Arial" w:cs="Arial"/>
          <w:sz w:val="22"/>
          <w:szCs w:val="22"/>
        </w:rPr>
        <w:t>Our conclusion that there is an absence of an Article 15(c) risk is based upon a person who is an “ordinary civilian”. A person who works, for example, as a police officer, a government official, or in any capacity for the security forces or the government administrative machine will not be an “ordinary citizen” and he will experience a higher level of risk, even if not individually targeted on that account, because his daily life will bring him to the very areas of the city that are subject to an enhanced likelihood of being selected as a target for an Al Shabaab attack. But given what we have said about the opportunities to access other means of securing a livelihood, a person who works in a capacity of the type described, which brings with it an enhanced level of risk, will have done so as a matter of choice. That choice will have been informed by his overall circumstances, including his personal security arrangements that may relate to the means of travelling around the city and to his place of residence and the level of security in which he is able to live.</w:t>
      </w:r>
      <w:r w:rsidRPr="00440E77">
        <w:rPr>
          <w:rFonts w:ascii="Arial" w:hAnsi="Arial" w:cs="Arial"/>
          <w:sz w:val="22"/>
          <w:szCs w:val="22"/>
        </w:rPr>
        <w:t>”</w:t>
      </w:r>
      <w:r w:rsidR="00720FC5" w:rsidRPr="00440E77">
        <w:rPr>
          <w:rFonts w:ascii="Arial" w:hAnsi="Arial" w:cs="Arial"/>
          <w:sz w:val="22"/>
          <w:szCs w:val="22"/>
        </w:rPr>
        <w:t xml:space="preserve"> </w:t>
      </w:r>
    </w:p>
    <w:p w14:paraId="4AA178F1" w14:textId="3F4AFEC3" w:rsidR="00970C43" w:rsidRPr="00440E77" w:rsidRDefault="00113F2E"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An ordinary civilian</w:t>
      </w:r>
      <w:r w:rsidR="00B235F8" w:rsidRPr="00440E77">
        <w:rPr>
          <w:rFonts w:ascii="Book Antiqua" w:hAnsi="Book Antiqua"/>
          <w:sz w:val="22"/>
          <w:szCs w:val="22"/>
        </w:rPr>
        <w:t xml:space="preserve"> will not be at 15(c) </w:t>
      </w:r>
      <w:proofErr w:type="gramStart"/>
      <w:r w:rsidR="00B235F8" w:rsidRPr="00440E77">
        <w:rPr>
          <w:rFonts w:ascii="Book Antiqua" w:hAnsi="Book Antiqua"/>
          <w:sz w:val="22"/>
          <w:szCs w:val="22"/>
        </w:rPr>
        <w:t>risk</w:t>
      </w:r>
      <w:proofErr w:type="gramEnd"/>
      <w:r w:rsidR="00B235F8" w:rsidRPr="00440E77">
        <w:rPr>
          <w:rFonts w:ascii="Book Antiqua" w:hAnsi="Book Antiqua"/>
          <w:sz w:val="22"/>
          <w:szCs w:val="22"/>
        </w:rPr>
        <w:t xml:space="preserve"> but a </w:t>
      </w:r>
      <w:r w:rsidR="00DD580E" w:rsidRPr="00440E77">
        <w:rPr>
          <w:rFonts w:ascii="Book Antiqua" w:hAnsi="Book Antiqua"/>
          <w:sz w:val="22"/>
          <w:szCs w:val="22"/>
        </w:rPr>
        <w:t>government official</w:t>
      </w:r>
      <w:r w:rsidR="00AC211A" w:rsidRPr="00440E77">
        <w:rPr>
          <w:rFonts w:ascii="Book Antiqua" w:hAnsi="Book Antiqua"/>
          <w:sz w:val="22"/>
          <w:szCs w:val="22"/>
        </w:rPr>
        <w:t xml:space="preserve"> or someone who is part of the government </w:t>
      </w:r>
      <w:r w:rsidR="005B1FDF" w:rsidRPr="00440E77">
        <w:rPr>
          <w:rFonts w:ascii="Book Antiqua" w:hAnsi="Book Antiqua"/>
          <w:sz w:val="22"/>
          <w:szCs w:val="22"/>
        </w:rPr>
        <w:t>administrative</w:t>
      </w:r>
      <w:r w:rsidR="00AC211A" w:rsidRPr="00440E77">
        <w:rPr>
          <w:rFonts w:ascii="Book Antiqua" w:hAnsi="Book Antiqua"/>
          <w:sz w:val="22"/>
          <w:szCs w:val="22"/>
        </w:rPr>
        <w:t xml:space="preserve"> machine may be </w:t>
      </w:r>
      <w:r w:rsidR="007C6AEF" w:rsidRPr="00440E77">
        <w:rPr>
          <w:rFonts w:ascii="Book Antiqua" w:hAnsi="Book Antiqua"/>
          <w:sz w:val="22"/>
          <w:szCs w:val="22"/>
        </w:rPr>
        <w:t xml:space="preserve">but whether or not he </w:t>
      </w:r>
      <w:r w:rsidR="0088656D" w:rsidRPr="00440E77">
        <w:rPr>
          <w:rFonts w:ascii="Book Antiqua" w:hAnsi="Book Antiqua"/>
          <w:sz w:val="22"/>
          <w:szCs w:val="22"/>
        </w:rPr>
        <w:t>i</w:t>
      </w:r>
      <w:r w:rsidR="007C6AEF" w:rsidRPr="00440E77">
        <w:rPr>
          <w:rFonts w:ascii="Book Antiqua" w:hAnsi="Book Antiqua"/>
          <w:sz w:val="22"/>
          <w:szCs w:val="22"/>
        </w:rPr>
        <w:t>s will need a careful assessment of his overall circ</w:t>
      </w:r>
      <w:r w:rsidR="005B1FDF" w:rsidRPr="00440E77">
        <w:rPr>
          <w:rFonts w:ascii="Book Antiqua" w:hAnsi="Book Antiqua"/>
          <w:sz w:val="22"/>
          <w:szCs w:val="22"/>
        </w:rPr>
        <w:t>u</w:t>
      </w:r>
      <w:r w:rsidR="007C6AEF" w:rsidRPr="00440E77">
        <w:rPr>
          <w:rFonts w:ascii="Book Antiqua" w:hAnsi="Book Antiqua"/>
          <w:sz w:val="22"/>
          <w:szCs w:val="22"/>
        </w:rPr>
        <w:t>m</w:t>
      </w:r>
      <w:r w:rsidR="005B1FDF" w:rsidRPr="00440E77">
        <w:rPr>
          <w:rFonts w:ascii="Book Antiqua" w:hAnsi="Book Antiqua"/>
          <w:sz w:val="22"/>
          <w:szCs w:val="22"/>
        </w:rPr>
        <w:t>s</w:t>
      </w:r>
      <w:r w:rsidR="007C6AEF" w:rsidRPr="00440E77">
        <w:rPr>
          <w:rFonts w:ascii="Book Antiqua" w:hAnsi="Book Antiqua"/>
          <w:sz w:val="22"/>
          <w:szCs w:val="22"/>
        </w:rPr>
        <w:t>t</w:t>
      </w:r>
      <w:r w:rsidR="005B1FDF" w:rsidRPr="00440E77">
        <w:rPr>
          <w:rFonts w:ascii="Book Antiqua" w:hAnsi="Book Antiqua"/>
          <w:sz w:val="22"/>
          <w:szCs w:val="22"/>
        </w:rPr>
        <w:t>anc</w:t>
      </w:r>
      <w:r w:rsidR="007C6AEF" w:rsidRPr="00440E77">
        <w:rPr>
          <w:rFonts w:ascii="Book Antiqua" w:hAnsi="Book Antiqua"/>
          <w:sz w:val="22"/>
          <w:szCs w:val="22"/>
        </w:rPr>
        <w:t>es (</w:t>
      </w:r>
      <w:r w:rsidR="005B1FDF" w:rsidRPr="00440E77">
        <w:rPr>
          <w:rFonts w:ascii="Book Antiqua" w:hAnsi="Book Antiqua"/>
          <w:sz w:val="22"/>
          <w:szCs w:val="22"/>
        </w:rPr>
        <w:t>paragraph</w:t>
      </w:r>
      <w:r w:rsidR="007C6AEF" w:rsidRPr="00440E77">
        <w:rPr>
          <w:rFonts w:ascii="Book Antiqua" w:hAnsi="Book Antiqua"/>
          <w:sz w:val="22"/>
          <w:szCs w:val="22"/>
        </w:rPr>
        <w:t xml:space="preserve"> 405). </w:t>
      </w:r>
      <w:r w:rsidR="00AF67C1" w:rsidRPr="00440E77">
        <w:rPr>
          <w:rFonts w:ascii="Book Antiqua" w:hAnsi="Book Antiqua"/>
          <w:sz w:val="22"/>
          <w:szCs w:val="22"/>
        </w:rPr>
        <w:t>A person</w:t>
      </w:r>
      <w:r w:rsidR="004165DD" w:rsidRPr="00440E77">
        <w:rPr>
          <w:rFonts w:ascii="Book Antiqua" w:hAnsi="Book Antiqua"/>
          <w:sz w:val="22"/>
          <w:szCs w:val="22"/>
        </w:rPr>
        <w:t xml:space="preserve"> who falls into one of these categories is not automatically at 15(c) </w:t>
      </w:r>
      <w:proofErr w:type="gramStart"/>
      <w:r w:rsidR="004165DD" w:rsidRPr="00440E77">
        <w:rPr>
          <w:rFonts w:ascii="Book Antiqua" w:hAnsi="Book Antiqua"/>
          <w:sz w:val="22"/>
          <w:szCs w:val="22"/>
        </w:rPr>
        <w:t>risk</w:t>
      </w:r>
      <w:proofErr w:type="gramEnd"/>
      <w:r w:rsidR="004165DD" w:rsidRPr="00440E77">
        <w:rPr>
          <w:rFonts w:ascii="Book Antiqua" w:hAnsi="Book Antiqua"/>
          <w:sz w:val="22"/>
          <w:szCs w:val="22"/>
        </w:rPr>
        <w:t xml:space="preserve">. </w:t>
      </w:r>
      <w:r w:rsidR="00E9005B" w:rsidRPr="00440E77">
        <w:rPr>
          <w:rFonts w:ascii="Book Antiqua" w:hAnsi="Book Antiqua"/>
          <w:sz w:val="22"/>
          <w:szCs w:val="22"/>
        </w:rPr>
        <w:t xml:space="preserve">The </w:t>
      </w:r>
      <w:r w:rsidR="00E9005B" w:rsidRPr="00440E77">
        <w:rPr>
          <w:rFonts w:ascii="Book Antiqua" w:hAnsi="Book Antiqua"/>
          <w:sz w:val="22"/>
          <w:szCs w:val="22"/>
          <w:u w:val="single"/>
        </w:rPr>
        <w:t>Elgafagi</w:t>
      </w:r>
      <w:r w:rsidR="00E9005B" w:rsidRPr="00440E77">
        <w:rPr>
          <w:rFonts w:ascii="Book Antiqua" w:hAnsi="Book Antiqua"/>
          <w:sz w:val="22"/>
          <w:szCs w:val="22"/>
        </w:rPr>
        <w:t xml:space="preserve"> sliding scale </w:t>
      </w:r>
      <w:r w:rsidR="0087233F" w:rsidRPr="00440E77">
        <w:rPr>
          <w:rFonts w:ascii="Book Antiqua" w:hAnsi="Book Antiqua"/>
          <w:sz w:val="22"/>
          <w:szCs w:val="22"/>
        </w:rPr>
        <w:t>will</w:t>
      </w:r>
      <w:r w:rsidR="00E9005B" w:rsidRPr="00440E77">
        <w:rPr>
          <w:rFonts w:ascii="Book Antiqua" w:hAnsi="Book Antiqua"/>
          <w:sz w:val="22"/>
          <w:szCs w:val="22"/>
        </w:rPr>
        <w:t xml:space="preserve"> apply. </w:t>
      </w:r>
    </w:p>
    <w:p w14:paraId="70E81804" w14:textId="35DBE983" w:rsidR="00636760" w:rsidRPr="00440E77" w:rsidRDefault="00970C43"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Tur</w:t>
      </w:r>
      <w:r w:rsidR="0091193D" w:rsidRPr="00440E77">
        <w:rPr>
          <w:rFonts w:ascii="Book Antiqua" w:hAnsi="Book Antiqua"/>
          <w:sz w:val="22"/>
          <w:szCs w:val="22"/>
        </w:rPr>
        <w:t>n</w:t>
      </w:r>
      <w:r w:rsidRPr="00440E77">
        <w:rPr>
          <w:rFonts w:ascii="Book Antiqua" w:hAnsi="Book Antiqua"/>
          <w:sz w:val="22"/>
          <w:szCs w:val="22"/>
        </w:rPr>
        <w:t xml:space="preserve">ing </w:t>
      </w:r>
      <w:r w:rsidR="00C3533E" w:rsidRPr="00440E77">
        <w:rPr>
          <w:rFonts w:ascii="Book Antiqua" w:hAnsi="Book Antiqua"/>
          <w:sz w:val="22"/>
          <w:szCs w:val="22"/>
        </w:rPr>
        <w:t xml:space="preserve">to the </w:t>
      </w:r>
      <w:r w:rsidR="005B1FDF" w:rsidRPr="00440E77">
        <w:rPr>
          <w:rFonts w:ascii="Book Antiqua" w:hAnsi="Book Antiqua"/>
          <w:sz w:val="22"/>
          <w:szCs w:val="22"/>
        </w:rPr>
        <w:t>Appellant’s</w:t>
      </w:r>
      <w:r w:rsidR="00C3533E" w:rsidRPr="00440E77">
        <w:rPr>
          <w:rFonts w:ascii="Book Antiqua" w:hAnsi="Book Antiqua"/>
          <w:sz w:val="22"/>
          <w:szCs w:val="22"/>
        </w:rPr>
        <w:t xml:space="preserve"> </w:t>
      </w:r>
      <w:r w:rsidR="005B1FDF" w:rsidRPr="00440E77">
        <w:rPr>
          <w:rFonts w:ascii="Book Antiqua" w:hAnsi="Book Antiqua"/>
          <w:sz w:val="22"/>
          <w:szCs w:val="22"/>
        </w:rPr>
        <w:t>overall</w:t>
      </w:r>
      <w:r w:rsidR="00C3533E" w:rsidRPr="00440E77">
        <w:rPr>
          <w:rFonts w:ascii="Book Antiqua" w:hAnsi="Book Antiqua"/>
          <w:sz w:val="22"/>
          <w:szCs w:val="22"/>
        </w:rPr>
        <w:t xml:space="preserve"> c</w:t>
      </w:r>
      <w:r w:rsidR="005B1FDF" w:rsidRPr="00440E77">
        <w:rPr>
          <w:rFonts w:ascii="Book Antiqua" w:hAnsi="Book Antiqua"/>
          <w:sz w:val="22"/>
          <w:szCs w:val="22"/>
        </w:rPr>
        <w:t>ir</w:t>
      </w:r>
      <w:r w:rsidR="00C3533E" w:rsidRPr="00440E77">
        <w:rPr>
          <w:rFonts w:ascii="Book Antiqua" w:hAnsi="Book Antiqua"/>
          <w:sz w:val="22"/>
          <w:szCs w:val="22"/>
        </w:rPr>
        <w:t>c</w:t>
      </w:r>
      <w:r w:rsidR="005B1FDF" w:rsidRPr="00440E77">
        <w:rPr>
          <w:rFonts w:ascii="Book Antiqua" w:hAnsi="Book Antiqua"/>
          <w:sz w:val="22"/>
          <w:szCs w:val="22"/>
        </w:rPr>
        <w:t>u</w:t>
      </w:r>
      <w:r w:rsidR="00C3533E" w:rsidRPr="00440E77">
        <w:rPr>
          <w:rFonts w:ascii="Book Antiqua" w:hAnsi="Book Antiqua"/>
          <w:sz w:val="22"/>
          <w:szCs w:val="22"/>
        </w:rPr>
        <w:t>m</w:t>
      </w:r>
      <w:r w:rsidR="005B1FDF" w:rsidRPr="00440E77">
        <w:rPr>
          <w:rFonts w:ascii="Book Antiqua" w:hAnsi="Book Antiqua"/>
          <w:sz w:val="22"/>
          <w:szCs w:val="22"/>
        </w:rPr>
        <w:t>s</w:t>
      </w:r>
      <w:r w:rsidR="00C3533E" w:rsidRPr="00440E77">
        <w:rPr>
          <w:rFonts w:ascii="Book Antiqua" w:hAnsi="Book Antiqua"/>
          <w:sz w:val="22"/>
          <w:szCs w:val="22"/>
        </w:rPr>
        <w:t>t</w:t>
      </w:r>
      <w:r w:rsidR="005B1FDF" w:rsidRPr="00440E77">
        <w:rPr>
          <w:rFonts w:ascii="Book Antiqua" w:hAnsi="Book Antiqua"/>
          <w:sz w:val="22"/>
          <w:szCs w:val="22"/>
        </w:rPr>
        <w:t>an</w:t>
      </w:r>
      <w:r w:rsidR="00C3533E" w:rsidRPr="00440E77">
        <w:rPr>
          <w:rFonts w:ascii="Book Antiqua" w:hAnsi="Book Antiqua"/>
          <w:sz w:val="22"/>
          <w:szCs w:val="22"/>
        </w:rPr>
        <w:t>ces the adverse credi</w:t>
      </w:r>
      <w:r w:rsidR="005B1FDF" w:rsidRPr="00440E77">
        <w:rPr>
          <w:rFonts w:ascii="Book Antiqua" w:hAnsi="Book Antiqua"/>
          <w:sz w:val="22"/>
          <w:szCs w:val="22"/>
        </w:rPr>
        <w:t>bi</w:t>
      </w:r>
      <w:r w:rsidR="00C3533E" w:rsidRPr="00440E77">
        <w:rPr>
          <w:rFonts w:ascii="Book Antiqua" w:hAnsi="Book Antiqua"/>
          <w:sz w:val="22"/>
          <w:szCs w:val="22"/>
        </w:rPr>
        <w:t>li</w:t>
      </w:r>
      <w:r w:rsidR="005B1FDF" w:rsidRPr="00440E77">
        <w:rPr>
          <w:rFonts w:ascii="Book Antiqua" w:hAnsi="Book Antiqua"/>
          <w:sz w:val="22"/>
          <w:szCs w:val="22"/>
        </w:rPr>
        <w:t>t</w:t>
      </w:r>
      <w:r w:rsidR="00C3533E" w:rsidRPr="00440E77">
        <w:rPr>
          <w:rFonts w:ascii="Book Antiqua" w:hAnsi="Book Antiqua"/>
          <w:sz w:val="22"/>
          <w:szCs w:val="22"/>
        </w:rPr>
        <w:t>y finding made cannot be avoided</w:t>
      </w:r>
      <w:r w:rsidR="0007694C" w:rsidRPr="00440E77">
        <w:rPr>
          <w:rFonts w:ascii="Book Antiqua" w:hAnsi="Book Antiqua"/>
          <w:sz w:val="22"/>
          <w:szCs w:val="22"/>
        </w:rPr>
        <w:t xml:space="preserve">. The only relevance of his </w:t>
      </w:r>
      <w:r w:rsidR="005B1FDF" w:rsidRPr="00440E77">
        <w:rPr>
          <w:rFonts w:ascii="Book Antiqua" w:hAnsi="Book Antiqua"/>
          <w:sz w:val="22"/>
          <w:szCs w:val="22"/>
        </w:rPr>
        <w:t>personal</w:t>
      </w:r>
      <w:r w:rsidR="0007694C" w:rsidRPr="00440E77">
        <w:rPr>
          <w:rFonts w:ascii="Book Antiqua" w:hAnsi="Book Antiqua"/>
          <w:sz w:val="22"/>
          <w:szCs w:val="22"/>
        </w:rPr>
        <w:t xml:space="preserve"> circ</w:t>
      </w:r>
      <w:r w:rsidR="005B1FDF" w:rsidRPr="00440E77">
        <w:rPr>
          <w:rFonts w:ascii="Book Antiqua" w:hAnsi="Book Antiqua"/>
          <w:sz w:val="22"/>
          <w:szCs w:val="22"/>
        </w:rPr>
        <w:t>u</w:t>
      </w:r>
      <w:r w:rsidR="0007694C" w:rsidRPr="00440E77">
        <w:rPr>
          <w:rFonts w:ascii="Book Antiqua" w:hAnsi="Book Antiqua"/>
          <w:sz w:val="22"/>
          <w:szCs w:val="22"/>
        </w:rPr>
        <w:t>m</w:t>
      </w:r>
      <w:r w:rsidR="005B1FDF" w:rsidRPr="00440E77">
        <w:rPr>
          <w:rFonts w:ascii="Book Antiqua" w:hAnsi="Book Antiqua"/>
          <w:sz w:val="22"/>
          <w:szCs w:val="22"/>
        </w:rPr>
        <w:t>s</w:t>
      </w:r>
      <w:r w:rsidR="0007694C" w:rsidRPr="00440E77">
        <w:rPr>
          <w:rFonts w:ascii="Book Antiqua" w:hAnsi="Book Antiqua"/>
          <w:sz w:val="22"/>
          <w:szCs w:val="22"/>
        </w:rPr>
        <w:t>t</w:t>
      </w:r>
      <w:r w:rsidR="005B1FDF" w:rsidRPr="00440E77">
        <w:rPr>
          <w:rFonts w:ascii="Book Antiqua" w:hAnsi="Book Antiqua"/>
          <w:sz w:val="22"/>
          <w:szCs w:val="22"/>
        </w:rPr>
        <w:t>a</w:t>
      </w:r>
      <w:r w:rsidR="0007694C" w:rsidRPr="00440E77">
        <w:rPr>
          <w:rFonts w:ascii="Book Antiqua" w:hAnsi="Book Antiqua"/>
          <w:sz w:val="22"/>
          <w:szCs w:val="22"/>
        </w:rPr>
        <w:t>n</w:t>
      </w:r>
      <w:r w:rsidR="005B1FDF" w:rsidRPr="00440E77">
        <w:rPr>
          <w:rFonts w:ascii="Book Antiqua" w:hAnsi="Book Antiqua"/>
          <w:sz w:val="22"/>
          <w:szCs w:val="22"/>
        </w:rPr>
        <w:t>c</w:t>
      </w:r>
      <w:r w:rsidR="0007694C" w:rsidRPr="00440E77">
        <w:rPr>
          <w:rFonts w:ascii="Book Antiqua" w:hAnsi="Book Antiqua"/>
          <w:sz w:val="22"/>
          <w:szCs w:val="22"/>
        </w:rPr>
        <w:t xml:space="preserve">es to the </w:t>
      </w:r>
      <w:r w:rsidR="005B1FDF" w:rsidRPr="00440E77">
        <w:rPr>
          <w:rFonts w:ascii="Book Antiqua" w:hAnsi="Book Antiqua"/>
          <w:sz w:val="22"/>
          <w:szCs w:val="22"/>
        </w:rPr>
        <w:t>sliding</w:t>
      </w:r>
      <w:r w:rsidR="0007694C" w:rsidRPr="00440E77">
        <w:rPr>
          <w:rFonts w:ascii="Book Antiqua" w:hAnsi="Book Antiqua"/>
          <w:sz w:val="22"/>
          <w:szCs w:val="22"/>
        </w:rPr>
        <w:t xml:space="preserve"> scale is that he </w:t>
      </w:r>
      <w:r w:rsidR="005B1FDF" w:rsidRPr="00440E77">
        <w:rPr>
          <w:rFonts w:ascii="Book Antiqua" w:hAnsi="Book Antiqua"/>
          <w:sz w:val="22"/>
          <w:szCs w:val="22"/>
        </w:rPr>
        <w:t>trained</w:t>
      </w:r>
      <w:r w:rsidR="0007694C" w:rsidRPr="00440E77">
        <w:rPr>
          <w:rFonts w:ascii="Book Antiqua" w:hAnsi="Book Antiqua"/>
          <w:sz w:val="22"/>
          <w:szCs w:val="22"/>
        </w:rPr>
        <w:t xml:space="preserve"> and qualified </w:t>
      </w:r>
      <w:r w:rsidR="005B1FDF" w:rsidRPr="00440E77">
        <w:rPr>
          <w:rFonts w:ascii="Book Antiqua" w:hAnsi="Book Antiqua"/>
          <w:sz w:val="22"/>
          <w:szCs w:val="22"/>
        </w:rPr>
        <w:t>as</w:t>
      </w:r>
      <w:r w:rsidR="0007694C" w:rsidRPr="00440E77">
        <w:rPr>
          <w:rFonts w:ascii="Book Antiqua" w:hAnsi="Book Antiqua"/>
          <w:sz w:val="22"/>
          <w:szCs w:val="22"/>
        </w:rPr>
        <w:t xml:space="preserve"> a nurse. </w:t>
      </w:r>
      <w:r w:rsidR="0087233F" w:rsidRPr="00440E77">
        <w:rPr>
          <w:rFonts w:ascii="Book Antiqua" w:hAnsi="Book Antiqua"/>
          <w:sz w:val="22"/>
          <w:szCs w:val="22"/>
        </w:rPr>
        <w:t xml:space="preserve">Nothing further was put forward by Mr McGarvey. </w:t>
      </w:r>
      <w:r w:rsidR="002A6E57" w:rsidRPr="00440E77">
        <w:rPr>
          <w:rFonts w:ascii="Book Antiqua" w:hAnsi="Book Antiqua"/>
          <w:sz w:val="22"/>
          <w:szCs w:val="22"/>
        </w:rPr>
        <w:t xml:space="preserve">The fact that during his training he worked at a </w:t>
      </w:r>
      <w:r w:rsidR="005B1FDF" w:rsidRPr="00440E77">
        <w:rPr>
          <w:rFonts w:ascii="Book Antiqua" w:hAnsi="Book Antiqua"/>
          <w:sz w:val="22"/>
          <w:szCs w:val="22"/>
        </w:rPr>
        <w:t>hospital</w:t>
      </w:r>
      <w:r w:rsidR="002A6E57" w:rsidRPr="00440E77">
        <w:rPr>
          <w:rFonts w:ascii="Book Antiqua" w:hAnsi="Book Antiqua"/>
          <w:sz w:val="22"/>
          <w:szCs w:val="22"/>
        </w:rPr>
        <w:t xml:space="preserve"> run by an NGO </w:t>
      </w:r>
      <w:r w:rsidR="00E33073" w:rsidRPr="00440E77">
        <w:rPr>
          <w:rFonts w:ascii="Book Antiqua" w:hAnsi="Book Antiqua"/>
          <w:sz w:val="22"/>
          <w:szCs w:val="22"/>
        </w:rPr>
        <w:t xml:space="preserve">does </w:t>
      </w:r>
      <w:r w:rsidR="005B1FDF" w:rsidRPr="00440E77">
        <w:rPr>
          <w:rFonts w:ascii="Book Antiqua" w:hAnsi="Book Antiqua"/>
          <w:sz w:val="22"/>
          <w:szCs w:val="22"/>
        </w:rPr>
        <w:t>not</w:t>
      </w:r>
      <w:r w:rsidR="00E33073" w:rsidRPr="00440E77">
        <w:rPr>
          <w:rFonts w:ascii="Book Antiqua" w:hAnsi="Book Antiqua"/>
          <w:sz w:val="22"/>
          <w:szCs w:val="22"/>
        </w:rPr>
        <w:t xml:space="preserve"> in my </w:t>
      </w:r>
      <w:r w:rsidR="005B1FDF" w:rsidRPr="00440E77">
        <w:rPr>
          <w:rFonts w:ascii="Book Antiqua" w:hAnsi="Book Antiqua"/>
          <w:sz w:val="22"/>
          <w:szCs w:val="22"/>
        </w:rPr>
        <w:t>judgement</w:t>
      </w:r>
      <w:r w:rsidR="00E33073" w:rsidRPr="00440E77">
        <w:rPr>
          <w:rFonts w:ascii="Book Antiqua" w:hAnsi="Book Antiqua"/>
          <w:sz w:val="22"/>
          <w:szCs w:val="22"/>
        </w:rPr>
        <w:t xml:space="preserve"> establish a close connection with an NGO </w:t>
      </w:r>
      <w:r w:rsidR="005B1FDF" w:rsidRPr="00440E77">
        <w:rPr>
          <w:rFonts w:ascii="Book Antiqua" w:hAnsi="Book Antiqua"/>
          <w:sz w:val="22"/>
          <w:szCs w:val="22"/>
        </w:rPr>
        <w:t>still</w:t>
      </w:r>
      <w:r w:rsidR="00E33073" w:rsidRPr="00440E77">
        <w:rPr>
          <w:rFonts w:ascii="Book Antiqua" w:hAnsi="Book Antiqua"/>
          <w:sz w:val="22"/>
          <w:szCs w:val="22"/>
        </w:rPr>
        <w:t xml:space="preserve"> less a connection that causes him </w:t>
      </w:r>
      <w:r w:rsidR="00E22DBC" w:rsidRPr="00440E77">
        <w:rPr>
          <w:rFonts w:ascii="Book Antiqua" w:hAnsi="Book Antiqua"/>
          <w:sz w:val="22"/>
          <w:szCs w:val="22"/>
        </w:rPr>
        <w:t xml:space="preserve">to face an enhanced risk on the </w:t>
      </w:r>
      <w:r w:rsidR="005B1FDF" w:rsidRPr="00440E77">
        <w:rPr>
          <w:rFonts w:ascii="Book Antiqua" w:hAnsi="Book Antiqua"/>
          <w:sz w:val="22"/>
          <w:szCs w:val="22"/>
          <w:u w:val="single"/>
        </w:rPr>
        <w:t>Elgafagi</w:t>
      </w:r>
      <w:r w:rsidR="00E22DBC" w:rsidRPr="00440E77">
        <w:rPr>
          <w:rFonts w:ascii="Book Antiqua" w:hAnsi="Book Antiqua"/>
          <w:sz w:val="22"/>
          <w:szCs w:val="22"/>
          <w:u w:val="single"/>
        </w:rPr>
        <w:t xml:space="preserve"> </w:t>
      </w:r>
      <w:r w:rsidR="00E22DBC" w:rsidRPr="00440E77">
        <w:rPr>
          <w:rFonts w:ascii="Book Antiqua" w:hAnsi="Book Antiqua"/>
          <w:sz w:val="22"/>
          <w:szCs w:val="22"/>
        </w:rPr>
        <w:t xml:space="preserve">scale. </w:t>
      </w:r>
      <w:r w:rsidR="004D537A" w:rsidRPr="00440E77">
        <w:rPr>
          <w:rFonts w:ascii="Book Antiqua" w:hAnsi="Book Antiqua"/>
          <w:sz w:val="22"/>
          <w:szCs w:val="22"/>
        </w:rPr>
        <w:t>No argument was put forward as to why this might be the case</w:t>
      </w:r>
      <w:r w:rsidR="004C0F1F" w:rsidRPr="00440E77">
        <w:rPr>
          <w:rFonts w:ascii="Book Antiqua" w:hAnsi="Book Antiqua"/>
          <w:sz w:val="22"/>
          <w:szCs w:val="22"/>
        </w:rPr>
        <w:t xml:space="preserve">. The only argument was that the Appellant was at enhanced risk because he was a nurse. </w:t>
      </w:r>
      <w:r w:rsidR="00E22DBC" w:rsidRPr="00440E77">
        <w:rPr>
          <w:rFonts w:ascii="Book Antiqua" w:hAnsi="Book Antiqua"/>
          <w:sz w:val="22"/>
          <w:szCs w:val="22"/>
        </w:rPr>
        <w:t xml:space="preserve">In this </w:t>
      </w:r>
      <w:r w:rsidR="005B1FDF" w:rsidRPr="00440E77">
        <w:rPr>
          <w:rFonts w:ascii="Book Antiqua" w:hAnsi="Book Antiqua"/>
          <w:sz w:val="22"/>
          <w:szCs w:val="22"/>
        </w:rPr>
        <w:t>respect</w:t>
      </w:r>
      <w:r w:rsidR="00E22DBC" w:rsidRPr="00440E77">
        <w:rPr>
          <w:rFonts w:ascii="Book Antiqua" w:hAnsi="Book Antiqua"/>
          <w:sz w:val="22"/>
          <w:szCs w:val="22"/>
        </w:rPr>
        <w:t xml:space="preserve"> it is perhaps </w:t>
      </w:r>
      <w:r w:rsidR="005B1FDF" w:rsidRPr="00440E77">
        <w:rPr>
          <w:rFonts w:ascii="Book Antiqua" w:hAnsi="Book Antiqua"/>
          <w:sz w:val="22"/>
          <w:szCs w:val="22"/>
        </w:rPr>
        <w:t>pertinent</w:t>
      </w:r>
      <w:r w:rsidR="00E22DBC" w:rsidRPr="00440E77">
        <w:rPr>
          <w:rFonts w:ascii="Book Antiqua" w:hAnsi="Book Antiqua"/>
          <w:sz w:val="22"/>
          <w:szCs w:val="22"/>
        </w:rPr>
        <w:t xml:space="preserve"> to </w:t>
      </w:r>
      <w:r w:rsidR="005B1FDF" w:rsidRPr="00440E77">
        <w:rPr>
          <w:rFonts w:ascii="Book Antiqua" w:hAnsi="Book Antiqua"/>
          <w:sz w:val="22"/>
          <w:szCs w:val="22"/>
        </w:rPr>
        <w:t>note</w:t>
      </w:r>
      <w:r w:rsidR="00E22DBC" w:rsidRPr="00440E77">
        <w:rPr>
          <w:rFonts w:ascii="Book Antiqua" w:hAnsi="Book Antiqua"/>
          <w:sz w:val="22"/>
          <w:szCs w:val="22"/>
        </w:rPr>
        <w:t xml:space="preserve"> Ms Harp</w:t>
      </w:r>
      <w:r w:rsidR="00270300" w:rsidRPr="00440E77">
        <w:rPr>
          <w:rFonts w:ascii="Book Antiqua" w:hAnsi="Book Antiqua"/>
          <w:sz w:val="22"/>
          <w:szCs w:val="22"/>
        </w:rPr>
        <w:t xml:space="preserve">ers collation of information recorded in </w:t>
      </w:r>
      <w:r w:rsidR="00270300" w:rsidRPr="00440E77">
        <w:rPr>
          <w:rFonts w:ascii="Book Antiqua" w:hAnsi="Book Antiqua"/>
          <w:sz w:val="22"/>
          <w:szCs w:val="22"/>
          <w:u w:val="single"/>
        </w:rPr>
        <w:t xml:space="preserve">MOJ </w:t>
      </w:r>
      <w:r w:rsidR="00270300" w:rsidRPr="00440E77">
        <w:rPr>
          <w:rFonts w:ascii="Book Antiqua" w:hAnsi="Book Antiqua"/>
          <w:sz w:val="22"/>
          <w:szCs w:val="22"/>
        </w:rPr>
        <w:t xml:space="preserve">as </w:t>
      </w:r>
      <w:r w:rsidR="005B1FDF" w:rsidRPr="00440E77">
        <w:rPr>
          <w:rFonts w:ascii="Book Antiqua" w:hAnsi="Book Antiqua"/>
          <w:sz w:val="22"/>
          <w:szCs w:val="22"/>
        </w:rPr>
        <w:t>it</w:t>
      </w:r>
      <w:r w:rsidR="00270300" w:rsidRPr="00440E77">
        <w:rPr>
          <w:rFonts w:ascii="Book Antiqua" w:hAnsi="Book Antiqua"/>
          <w:sz w:val="22"/>
          <w:szCs w:val="22"/>
        </w:rPr>
        <w:t xml:space="preserve"> relates to </w:t>
      </w:r>
      <w:r w:rsidR="005B1FDF" w:rsidRPr="00440E77">
        <w:rPr>
          <w:rFonts w:ascii="Book Antiqua" w:hAnsi="Book Antiqua"/>
          <w:sz w:val="22"/>
          <w:szCs w:val="22"/>
        </w:rPr>
        <w:t>hospitals</w:t>
      </w:r>
      <w:r w:rsidR="00270300" w:rsidRPr="00440E77">
        <w:rPr>
          <w:rFonts w:ascii="Book Antiqua" w:hAnsi="Book Antiqua"/>
          <w:sz w:val="22"/>
          <w:szCs w:val="22"/>
        </w:rPr>
        <w:t xml:space="preserve"> at paragraph 380</w:t>
      </w:r>
    </w:p>
    <w:p w14:paraId="0A6B55F2" w14:textId="77777777" w:rsidR="00670AEE" w:rsidRPr="00440E77" w:rsidRDefault="00670AEE" w:rsidP="00440E77">
      <w:pPr>
        <w:spacing w:before="120"/>
        <w:ind w:left="851" w:right="567"/>
        <w:jc w:val="both"/>
        <w:rPr>
          <w:rFonts w:ascii="Arial" w:hAnsi="Arial" w:cs="Arial"/>
          <w:sz w:val="22"/>
          <w:szCs w:val="22"/>
        </w:rPr>
      </w:pPr>
      <w:r w:rsidRPr="00440E77">
        <w:rPr>
          <w:rFonts w:ascii="Arial" w:hAnsi="Arial" w:cs="Arial"/>
          <w:sz w:val="22"/>
          <w:szCs w:val="22"/>
        </w:rPr>
        <w:t>Ms Harper collated the information available from the WHO supported hospitals:</w:t>
      </w:r>
    </w:p>
    <w:p w14:paraId="1A3CA77B" w14:textId="77777777" w:rsidR="00670AEE" w:rsidRPr="00440E77" w:rsidRDefault="00670AEE" w:rsidP="00440E77">
      <w:pPr>
        <w:spacing w:before="120"/>
        <w:ind w:left="1134" w:right="567"/>
        <w:jc w:val="both"/>
        <w:rPr>
          <w:rFonts w:ascii="Arial" w:hAnsi="Arial" w:cs="Arial"/>
          <w:sz w:val="22"/>
          <w:szCs w:val="22"/>
        </w:rPr>
      </w:pPr>
      <w:r w:rsidRPr="00440E77">
        <w:rPr>
          <w:rFonts w:ascii="Arial" w:hAnsi="Arial" w:cs="Arial"/>
          <w:sz w:val="22"/>
          <w:szCs w:val="22"/>
        </w:rPr>
        <w:t>January – December 2010: 5279 casualties from weapons related casualties were treated at the three major hospitals in Mogadishu</w:t>
      </w:r>
    </w:p>
    <w:p w14:paraId="23F1E597" w14:textId="77777777" w:rsidR="00670AEE" w:rsidRPr="00440E77" w:rsidRDefault="00670AEE" w:rsidP="00440E77">
      <w:pPr>
        <w:spacing w:before="120"/>
        <w:ind w:left="1134" w:right="567"/>
        <w:jc w:val="both"/>
        <w:rPr>
          <w:rFonts w:ascii="Arial" w:hAnsi="Arial" w:cs="Arial"/>
          <w:sz w:val="22"/>
          <w:szCs w:val="22"/>
        </w:rPr>
      </w:pPr>
      <w:r w:rsidRPr="00440E77">
        <w:rPr>
          <w:rFonts w:ascii="Arial" w:hAnsi="Arial" w:cs="Arial"/>
          <w:sz w:val="22"/>
          <w:szCs w:val="22"/>
        </w:rPr>
        <w:t>January – December 2011: 9689 casualties from weapons related casualties were treated at the three major hospitals in Mogadishu</w:t>
      </w:r>
    </w:p>
    <w:p w14:paraId="12018569" w14:textId="77777777" w:rsidR="00670AEE" w:rsidRPr="00440E77" w:rsidRDefault="00670AEE" w:rsidP="00440E77">
      <w:pPr>
        <w:spacing w:before="120"/>
        <w:ind w:left="1134" w:right="567"/>
        <w:jc w:val="both"/>
        <w:rPr>
          <w:rFonts w:ascii="Arial" w:hAnsi="Arial" w:cs="Arial"/>
          <w:sz w:val="22"/>
          <w:szCs w:val="22"/>
        </w:rPr>
      </w:pPr>
      <w:r w:rsidRPr="00440E77">
        <w:rPr>
          <w:rFonts w:ascii="Arial" w:hAnsi="Arial" w:cs="Arial"/>
          <w:sz w:val="22"/>
          <w:szCs w:val="22"/>
        </w:rPr>
        <w:t xml:space="preserve">January – December 2012: 6687 casualties from weapons related casualties were treated in four hospitals in Mogadishu </w:t>
      </w:r>
    </w:p>
    <w:p w14:paraId="5F67BF6B" w14:textId="77777777" w:rsidR="00670AEE" w:rsidRPr="00440E77" w:rsidRDefault="00670AEE" w:rsidP="00440E77">
      <w:pPr>
        <w:spacing w:before="120"/>
        <w:ind w:left="1134" w:right="567"/>
        <w:jc w:val="both"/>
        <w:rPr>
          <w:rFonts w:ascii="Arial" w:hAnsi="Arial" w:cs="Arial"/>
          <w:sz w:val="22"/>
          <w:szCs w:val="22"/>
        </w:rPr>
      </w:pPr>
      <w:r w:rsidRPr="00440E77">
        <w:rPr>
          <w:rFonts w:ascii="Arial" w:hAnsi="Arial" w:cs="Arial"/>
          <w:sz w:val="22"/>
          <w:szCs w:val="22"/>
        </w:rPr>
        <w:t>January – October 2013: 3889 casualties from weapons related casualties were treated in four hospitals in Mogadishu</w:t>
      </w:r>
    </w:p>
    <w:p w14:paraId="60BFA7B0" w14:textId="76B00D65" w:rsidR="00600A20" w:rsidRPr="00440E77" w:rsidRDefault="004E1474"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This is detailed st</w:t>
      </w:r>
      <w:r w:rsidR="00730E79" w:rsidRPr="00440E77">
        <w:rPr>
          <w:rFonts w:ascii="Book Antiqua" w:hAnsi="Book Antiqua"/>
          <w:sz w:val="22"/>
          <w:szCs w:val="22"/>
        </w:rPr>
        <w:t>atisti</w:t>
      </w:r>
      <w:r w:rsidRPr="00440E77">
        <w:rPr>
          <w:rFonts w:ascii="Book Antiqua" w:hAnsi="Book Antiqua"/>
          <w:sz w:val="22"/>
          <w:szCs w:val="22"/>
        </w:rPr>
        <w:t xml:space="preserve">cal information on the treatment of </w:t>
      </w:r>
      <w:r w:rsidR="00730E79" w:rsidRPr="00440E77">
        <w:rPr>
          <w:rFonts w:ascii="Book Antiqua" w:hAnsi="Book Antiqua"/>
          <w:sz w:val="22"/>
          <w:szCs w:val="22"/>
        </w:rPr>
        <w:t>causalities</w:t>
      </w:r>
      <w:r w:rsidRPr="00440E77">
        <w:rPr>
          <w:rFonts w:ascii="Book Antiqua" w:hAnsi="Book Antiqua"/>
          <w:sz w:val="22"/>
          <w:szCs w:val="22"/>
        </w:rPr>
        <w:t xml:space="preserve"> </w:t>
      </w:r>
      <w:r w:rsidR="002E0F89" w:rsidRPr="00440E77">
        <w:rPr>
          <w:rFonts w:ascii="Book Antiqua" w:hAnsi="Book Antiqua"/>
          <w:sz w:val="22"/>
          <w:szCs w:val="22"/>
        </w:rPr>
        <w:t xml:space="preserve">at </w:t>
      </w:r>
      <w:r w:rsidR="00730E79" w:rsidRPr="00440E77">
        <w:rPr>
          <w:rFonts w:ascii="Book Antiqua" w:hAnsi="Book Antiqua"/>
          <w:sz w:val="22"/>
          <w:szCs w:val="22"/>
        </w:rPr>
        <w:t>hospitals</w:t>
      </w:r>
      <w:r w:rsidR="002E0F89" w:rsidRPr="00440E77">
        <w:rPr>
          <w:rFonts w:ascii="Book Antiqua" w:hAnsi="Book Antiqua"/>
          <w:sz w:val="22"/>
          <w:szCs w:val="22"/>
        </w:rPr>
        <w:t xml:space="preserve"> in </w:t>
      </w:r>
      <w:r w:rsidR="00730E79" w:rsidRPr="00440E77">
        <w:rPr>
          <w:rFonts w:ascii="Book Antiqua" w:hAnsi="Book Antiqua"/>
          <w:sz w:val="22"/>
          <w:szCs w:val="22"/>
        </w:rPr>
        <w:t>Mogadishu</w:t>
      </w:r>
      <w:r w:rsidR="002E0F89" w:rsidRPr="00440E77">
        <w:rPr>
          <w:rFonts w:ascii="Book Antiqua" w:hAnsi="Book Antiqua"/>
          <w:sz w:val="22"/>
          <w:szCs w:val="22"/>
        </w:rPr>
        <w:t xml:space="preserve"> supported by the World Health </w:t>
      </w:r>
      <w:r w:rsidR="00730E79" w:rsidRPr="00440E77">
        <w:rPr>
          <w:rFonts w:ascii="Book Antiqua" w:hAnsi="Book Antiqua"/>
          <w:sz w:val="22"/>
          <w:szCs w:val="22"/>
        </w:rPr>
        <w:t>Organisation</w:t>
      </w:r>
      <w:r w:rsidR="00195195" w:rsidRPr="00440E77">
        <w:rPr>
          <w:rFonts w:ascii="Book Antiqua" w:hAnsi="Book Antiqua"/>
          <w:sz w:val="22"/>
          <w:szCs w:val="22"/>
        </w:rPr>
        <w:t xml:space="preserve"> (an NGO)</w:t>
      </w:r>
      <w:r w:rsidR="00CC5334" w:rsidRPr="00440E77">
        <w:rPr>
          <w:rFonts w:ascii="Book Antiqua" w:hAnsi="Book Antiqua"/>
          <w:sz w:val="22"/>
          <w:szCs w:val="22"/>
        </w:rPr>
        <w:t xml:space="preserve"> with no suggestion that </w:t>
      </w:r>
      <w:r w:rsidR="00730E79" w:rsidRPr="00440E77">
        <w:rPr>
          <w:rFonts w:ascii="Book Antiqua" w:hAnsi="Book Antiqua"/>
          <w:sz w:val="22"/>
          <w:szCs w:val="22"/>
        </w:rPr>
        <w:t>hospitals</w:t>
      </w:r>
      <w:r w:rsidR="00CC5334" w:rsidRPr="00440E77">
        <w:rPr>
          <w:rFonts w:ascii="Book Antiqua" w:hAnsi="Book Antiqua"/>
          <w:sz w:val="22"/>
          <w:szCs w:val="22"/>
        </w:rPr>
        <w:t xml:space="preserve"> are targeted or that hospital workers are targeted. </w:t>
      </w:r>
      <w:r w:rsidR="00DC065D" w:rsidRPr="00440E77">
        <w:rPr>
          <w:rFonts w:ascii="Book Antiqua" w:hAnsi="Book Antiqua"/>
          <w:sz w:val="22"/>
          <w:szCs w:val="22"/>
        </w:rPr>
        <w:t xml:space="preserve">Ms Harper’s report for the </w:t>
      </w:r>
      <w:r w:rsidR="00730E79" w:rsidRPr="00440E77">
        <w:rPr>
          <w:rFonts w:ascii="Book Antiqua" w:hAnsi="Book Antiqua"/>
          <w:sz w:val="22"/>
          <w:szCs w:val="22"/>
        </w:rPr>
        <w:t>purposes</w:t>
      </w:r>
      <w:r w:rsidR="00DC065D" w:rsidRPr="00440E77">
        <w:rPr>
          <w:rFonts w:ascii="Book Antiqua" w:hAnsi="Book Antiqua"/>
          <w:sz w:val="22"/>
          <w:szCs w:val="22"/>
        </w:rPr>
        <w:t xml:space="preserve"> of these </w:t>
      </w:r>
      <w:r w:rsidR="00730E79" w:rsidRPr="00440E77">
        <w:rPr>
          <w:rFonts w:ascii="Book Antiqua" w:hAnsi="Book Antiqua"/>
          <w:sz w:val="22"/>
          <w:szCs w:val="22"/>
        </w:rPr>
        <w:t>proceedings</w:t>
      </w:r>
      <w:r w:rsidR="00DC065D" w:rsidRPr="00440E77">
        <w:rPr>
          <w:rFonts w:ascii="Book Antiqua" w:hAnsi="Book Antiqua"/>
          <w:sz w:val="22"/>
          <w:szCs w:val="22"/>
        </w:rPr>
        <w:t xml:space="preserve"> </w:t>
      </w:r>
      <w:r w:rsidR="00853270" w:rsidRPr="00440E77">
        <w:rPr>
          <w:rFonts w:ascii="Book Antiqua" w:hAnsi="Book Antiqua"/>
          <w:sz w:val="22"/>
          <w:szCs w:val="22"/>
        </w:rPr>
        <w:t xml:space="preserve">quotes from </w:t>
      </w:r>
      <w:r w:rsidR="00853270" w:rsidRPr="00440E77">
        <w:rPr>
          <w:rFonts w:ascii="Book Antiqua" w:hAnsi="Book Antiqua"/>
          <w:sz w:val="22"/>
          <w:szCs w:val="22"/>
          <w:u w:val="single"/>
        </w:rPr>
        <w:t>MOJ</w:t>
      </w:r>
      <w:r w:rsidR="00853270" w:rsidRPr="00440E77">
        <w:rPr>
          <w:rFonts w:ascii="Book Antiqua" w:hAnsi="Book Antiqua"/>
          <w:sz w:val="22"/>
          <w:szCs w:val="22"/>
        </w:rPr>
        <w:t xml:space="preserve"> </w:t>
      </w:r>
      <w:r w:rsidR="008300E0" w:rsidRPr="00440E77">
        <w:rPr>
          <w:rFonts w:ascii="Book Antiqua" w:hAnsi="Book Antiqua"/>
          <w:sz w:val="22"/>
          <w:szCs w:val="22"/>
        </w:rPr>
        <w:t xml:space="preserve">at paragraph 5 and refers to the </w:t>
      </w:r>
      <w:r w:rsidR="00730E79" w:rsidRPr="00440E77">
        <w:rPr>
          <w:rFonts w:ascii="Book Antiqua" w:hAnsi="Book Antiqua"/>
          <w:sz w:val="22"/>
          <w:szCs w:val="22"/>
          <w:u w:val="single"/>
        </w:rPr>
        <w:t>Elgafagi</w:t>
      </w:r>
      <w:r w:rsidR="008300E0" w:rsidRPr="00440E77">
        <w:rPr>
          <w:rFonts w:ascii="Book Antiqua" w:hAnsi="Book Antiqua"/>
          <w:sz w:val="22"/>
          <w:szCs w:val="22"/>
        </w:rPr>
        <w:t xml:space="preserve"> sliding scale at paragraph 6 and in doing </w:t>
      </w:r>
      <w:r w:rsidR="008300E0" w:rsidRPr="00440E77">
        <w:rPr>
          <w:rFonts w:ascii="Book Antiqua" w:hAnsi="Book Antiqua"/>
          <w:sz w:val="22"/>
          <w:szCs w:val="22"/>
        </w:rPr>
        <w:lastRenderedPageBreak/>
        <w:t xml:space="preserve">so suggests that the </w:t>
      </w:r>
      <w:r w:rsidR="00730E79" w:rsidRPr="00440E77">
        <w:rPr>
          <w:rFonts w:ascii="Book Antiqua" w:hAnsi="Book Antiqua"/>
          <w:sz w:val="22"/>
          <w:szCs w:val="22"/>
        </w:rPr>
        <w:t>Appellant’s</w:t>
      </w:r>
      <w:r w:rsidR="008300E0" w:rsidRPr="00440E77">
        <w:rPr>
          <w:rFonts w:ascii="Book Antiqua" w:hAnsi="Book Antiqua"/>
          <w:sz w:val="22"/>
          <w:szCs w:val="22"/>
        </w:rPr>
        <w:t xml:space="preserve"> </w:t>
      </w:r>
      <w:r w:rsidR="00340637" w:rsidRPr="00440E77">
        <w:rPr>
          <w:rFonts w:ascii="Book Antiqua" w:hAnsi="Book Antiqua"/>
          <w:sz w:val="22"/>
          <w:szCs w:val="22"/>
        </w:rPr>
        <w:t xml:space="preserve">employment at an NGO operated </w:t>
      </w:r>
      <w:r w:rsidR="00730E79" w:rsidRPr="00440E77">
        <w:rPr>
          <w:rFonts w:ascii="Book Antiqua" w:hAnsi="Book Antiqua"/>
          <w:sz w:val="22"/>
          <w:szCs w:val="22"/>
        </w:rPr>
        <w:t>hospital and</w:t>
      </w:r>
      <w:r w:rsidR="00340637" w:rsidRPr="00440E77">
        <w:rPr>
          <w:rFonts w:ascii="Book Antiqua" w:hAnsi="Book Antiqua"/>
          <w:sz w:val="22"/>
          <w:szCs w:val="22"/>
        </w:rPr>
        <w:t xml:space="preserve"> his association with health </w:t>
      </w:r>
      <w:r w:rsidR="00730E79" w:rsidRPr="00440E77">
        <w:rPr>
          <w:rFonts w:ascii="Book Antiqua" w:hAnsi="Book Antiqua"/>
          <w:sz w:val="22"/>
          <w:szCs w:val="22"/>
        </w:rPr>
        <w:t>facilities</w:t>
      </w:r>
      <w:r w:rsidR="00340637" w:rsidRPr="00440E77">
        <w:rPr>
          <w:rFonts w:ascii="Book Antiqua" w:hAnsi="Book Antiqua"/>
          <w:sz w:val="22"/>
          <w:szCs w:val="22"/>
        </w:rPr>
        <w:t xml:space="preserve"> </w:t>
      </w:r>
      <w:r w:rsidR="00807476" w:rsidRPr="00440E77">
        <w:rPr>
          <w:rFonts w:ascii="Book Antiqua" w:hAnsi="Book Antiqua"/>
          <w:sz w:val="22"/>
          <w:szCs w:val="22"/>
        </w:rPr>
        <w:t xml:space="preserve">linked to the government and </w:t>
      </w:r>
      <w:r w:rsidR="00730E79" w:rsidRPr="00440E77">
        <w:rPr>
          <w:rFonts w:ascii="Book Antiqua" w:hAnsi="Book Antiqua"/>
          <w:sz w:val="22"/>
          <w:szCs w:val="22"/>
        </w:rPr>
        <w:t>international</w:t>
      </w:r>
      <w:r w:rsidR="00807476" w:rsidRPr="00440E77">
        <w:rPr>
          <w:rFonts w:ascii="Book Antiqua" w:hAnsi="Book Antiqua"/>
          <w:sz w:val="22"/>
          <w:szCs w:val="22"/>
        </w:rPr>
        <w:t xml:space="preserve"> and local NGOs would place him at </w:t>
      </w:r>
      <w:r w:rsidR="00730E79" w:rsidRPr="00440E77">
        <w:rPr>
          <w:rFonts w:ascii="Book Antiqua" w:hAnsi="Book Antiqua"/>
          <w:sz w:val="22"/>
          <w:szCs w:val="22"/>
        </w:rPr>
        <w:t>risk but</w:t>
      </w:r>
      <w:r w:rsidR="00D134CE" w:rsidRPr="00440E77">
        <w:rPr>
          <w:rFonts w:ascii="Book Antiqua" w:hAnsi="Book Antiqua"/>
          <w:sz w:val="22"/>
          <w:szCs w:val="22"/>
        </w:rPr>
        <w:t xml:space="preserve"> </w:t>
      </w:r>
      <w:r w:rsidR="00730E79" w:rsidRPr="00440E77">
        <w:rPr>
          <w:rFonts w:ascii="Book Antiqua" w:hAnsi="Book Antiqua"/>
          <w:sz w:val="22"/>
          <w:szCs w:val="22"/>
        </w:rPr>
        <w:t>nowhere</w:t>
      </w:r>
      <w:r w:rsidR="00D134CE" w:rsidRPr="00440E77">
        <w:rPr>
          <w:rFonts w:ascii="Book Antiqua" w:hAnsi="Book Antiqua"/>
          <w:sz w:val="22"/>
          <w:szCs w:val="22"/>
        </w:rPr>
        <w:t xml:space="preserve"> does she give a single example of a health worker</w:t>
      </w:r>
      <w:r w:rsidR="00531EF6" w:rsidRPr="00440E77">
        <w:rPr>
          <w:rFonts w:ascii="Book Antiqua" w:hAnsi="Book Antiqua"/>
          <w:sz w:val="22"/>
          <w:szCs w:val="22"/>
        </w:rPr>
        <w:t xml:space="preserve">, health </w:t>
      </w:r>
      <w:r w:rsidR="00730E79" w:rsidRPr="00440E77">
        <w:rPr>
          <w:rFonts w:ascii="Book Antiqua" w:hAnsi="Book Antiqua"/>
          <w:sz w:val="22"/>
          <w:szCs w:val="22"/>
        </w:rPr>
        <w:t>facility</w:t>
      </w:r>
      <w:r w:rsidR="00531EF6" w:rsidRPr="00440E77">
        <w:rPr>
          <w:rFonts w:ascii="Book Antiqua" w:hAnsi="Book Antiqua"/>
          <w:sz w:val="22"/>
          <w:szCs w:val="22"/>
        </w:rPr>
        <w:t xml:space="preserve"> or </w:t>
      </w:r>
      <w:r w:rsidR="00730E79" w:rsidRPr="00440E77">
        <w:rPr>
          <w:rFonts w:ascii="Book Antiqua" w:hAnsi="Book Antiqua"/>
          <w:sz w:val="22"/>
          <w:szCs w:val="22"/>
        </w:rPr>
        <w:t>hospital</w:t>
      </w:r>
      <w:r w:rsidR="00531EF6" w:rsidRPr="00440E77">
        <w:rPr>
          <w:rFonts w:ascii="Book Antiqua" w:hAnsi="Book Antiqua"/>
          <w:sz w:val="22"/>
          <w:szCs w:val="22"/>
        </w:rPr>
        <w:t xml:space="preserve"> being targeted. </w:t>
      </w:r>
    </w:p>
    <w:p w14:paraId="76251199" w14:textId="26E35DC7" w:rsidR="008556EE" w:rsidRPr="00440E77" w:rsidRDefault="00600A20"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sz w:val="22"/>
          <w:szCs w:val="22"/>
        </w:rPr>
        <w:t xml:space="preserve">In his decision </w:t>
      </w:r>
      <w:r w:rsidR="003D3613" w:rsidRPr="00440E77">
        <w:rPr>
          <w:rFonts w:ascii="Book Antiqua" w:hAnsi="Book Antiqua"/>
          <w:sz w:val="22"/>
          <w:szCs w:val="22"/>
        </w:rPr>
        <w:t xml:space="preserve">the </w:t>
      </w:r>
      <w:r w:rsidR="00D01C23" w:rsidRPr="00440E77">
        <w:rPr>
          <w:rFonts w:ascii="Book Antiqua" w:hAnsi="Book Antiqua"/>
          <w:sz w:val="22"/>
          <w:szCs w:val="22"/>
        </w:rPr>
        <w:t>J</w:t>
      </w:r>
      <w:r w:rsidR="003D3613" w:rsidRPr="00440E77">
        <w:rPr>
          <w:rFonts w:ascii="Book Antiqua" w:hAnsi="Book Antiqua"/>
          <w:sz w:val="22"/>
          <w:szCs w:val="22"/>
        </w:rPr>
        <w:t>udge consider</w:t>
      </w:r>
      <w:r w:rsidR="00D01C23" w:rsidRPr="00440E77">
        <w:rPr>
          <w:rFonts w:ascii="Book Antiqua" w:hAnsi="Book Antiqua"/>
          <w:sz w:val="22"/>
          <w:szCs w:val="22"/>
        </w:rPr>
        <w:t>s</w:t>
      </w:r>
      <w:r w:rsidR="003D3613" w:rsidRPr="00440E77">
        <w:rPr>
          <w:rFonts w:ascii="Book Antiqua" w:hAnsi="Book Antiqua"/>
          <w:sz w:val="22"/>
          <w:szCs w:val="22"/>
        </w:rPr>
        <w:t xml:space="preserve"> the Appellant’s personal circum</w:t>
      </w:r>
      <w:r w:rsidR="00730E79" w:rsidRPr="00440E77">
        <w:rPr>
          <w:rFonts w:ascii="Book Antiqua" w:hAnsi="Book Antiqua"/>
          <w:sz w:val="22"/>
          <w:szCs w:val="22"/>
        </w:rPr>
        <w:t>s</w:t>
      </w:r>
      <w:r w:rsidR="003D3613" w:rsidRPr="00440E77">
        <w:rPr>
          <w:rFonts w:ascii="Book Antiqua" w:hAnsi="Book Antiqua"/>
          <w:sz w:val="22"/>
          <w:szCs w:val="22"/>
        </w:rPr>
        <w:t>t</w:t>
      </w:r>
      <w:r w:rsidR="00730E79" w:rsidRPr="00440E77">
        <w:rPr>
          <w:rFonts w:ascii="Book Antiqua" w:hAnsi="Book Antiqua"/>
          <w:sz w:val="22"/>
          <w:szCs w:val="22"/>
        </w:rPr>
        <w:t>anc</w:t>
      </w:r>
      <w:r w:rsidR="003D3613" w:rsidRPr="00440E77">
        <w:rPr>
          <w:rFonts w:ascii="Book Antiqua" w:hAnsi="Book Antiqua"/>
          <w:sz w:val="22"/>
          <w:szCs w:val="22"/>
        </w:rPr>
        <w:t xml:space="preserve">es. </w:t>
      </w:r>
      <w:r w:rsidR="00730E79" w:rsidRPr="00440E77">
        <w:rPr>
          <w:rFonts w:ascii="Book Antiqua" w:hAnsi="Book Antiqua"/>
          <w:sz w:val="22"/>
          <w:szCs w:val="22"/>
        </w:rPr>
        <w:t>Having</w:t>
      </w:r>
      <w:r w:rsidR="003D3613" w:rsidRPr="00440E77">
        <w:rPr>
          <w:rFonts w:ascii="Book Antiqua" w:hAnsi="Book Antiqua"/>
          <w:sz w:val="22"/>
          <w:szCs w:val="22"/>
        </w:rPr>
        <w:t xml:space="preserve"> found his account not to be </w:t>
      </w:r>
      <w:r w:rsidR="00730E79" w:rsidRPr="00440E77">
        <w:rPr>
          <w:rFonts w:ascii="Book Antiqua" w:hAnsi="Book Antiqua"/>
          <w:sz w:val="22"/>
          <w:szCs w:val="22"/>
        </w:rPr>
        <w:t>credible</w:t>
      </w:r>
      <w:r w:rsidR="003D3613" w:rsidRPr="00440E77">
        <w:rPr>
          <w:rFonts w:ascii="Book Antiqua" w:hAnsi="Book Antiqua"/>
          <w:sz w:val="22"/>
          <w:szCs w:val="22"/>
        </w:rPr>
        <w:t xml:space="preserve"> in most respect</w:t>
      </w:r>
      <w:r w:rsidR="007178C4" w:rsidRPr="00440E77">
        <w:rPr>
          <w:rFonts w:ascii="Book Antiqua" w:hAnsi="Book Antiqua"/>
          <w:sz w:val="22"/>
          <w:szCs w:val="22"/>
        </w:rPr>
        <w:t>s</w:t>
      </w:r>
      <w:r w:rsidR="003D3613" w:rsidRPr="00440E77">
        <w:rPr>
          <w:rFonts w:ascii="Book Antiqua" w:hAnsi="Book Antiqua"/>
          <w:sz w:val="22"/>
          <w:szCs w:val="22"/>
        </w:rPr>
        <w:t xml:space="preserve"> </w:t>
      </w:r>
      <w:r w:rsidR="006A2057" w:rsidRPr="00440E77">
        <w:rPr>
          <w:rFonts w:ascii="Book Antiqua" w:hAnsi="Book Antiqua"/>
          <w:sz w:val="22"/>
          <w:szCs w:val="22"/>
        </w:rPr>
        <w:t xml:space="preserve">and having </w:t>
      </w:r>
      <w:r w:rsidR="00730E79" w:rsidRPr="00440E77">
        <w:rPr>
          <w:rFonts w:ascii="Book Antiqua" w:hAnsi="Book Antiqua"/>
          <w:sz w:val="22"/>
          <w:szCs w:val="22"/>
        </w:rPr>
        <w:t>considered</w:t>
      </w:r>
      <w:r w:rsidR="006A2057" w:rsidRPr="00440E77">
        <w:rPr>
          <w:rFonts w:ascii="Book Antiqua" w:hAnsi="Book Antiqua"/>
          <w:sz w:val="22"/>
          <w:szCs w:val="22"/>
        </w:rPr>
        <w:t xml:space="preserve"> in </w:t>
      </w:r>
      <w:r w:rsidR="00730E79" w:rsidRPr="00440E77">
        <w:rPr>
          <w:rFonts w:ascii="Book Antiqua" w:hAnsi="Book Antiqua"/>
          <w:sz w:val="22"/>
          <w:szCs w:val="22"/>
        </w:rPr>
        <w:t>detail</w:t>
      </w:r>
      <w:r w:rsidR="006A2057" w:rsidRPr="00440E77">
        <w:rPr>
          <w:rFonts w:ascii="Book Antiqua" w:hAnsi="Book Antiqua"/>
          <w:sz w:val="22"/>
          <w:szCs w:val="22"/>
        </w:rPr>
        <w:t xml:space="preserve"> the Country Guidance case of </w:t>
      </w:r>
      <w:r w:rsidR="006A2057" w:rsidRPr="00440E77">
        <w:rPr>
          <w:rFonts w:ascii="Book Antiqua" w:hAnsi="Book Antiqua"/>
          <w:sz w:val="22"/>
          <w:szCs w:val="22"/>
          <w:u w:val="single"/>
        </w:rPr>
        <w:t>MOJ</w:t>
      </w:r>
      <w:r w:rsidR="006A2057" w:rsidRPr="00440E77">
        <w:rPr>
          <w:rFonts w:ascii="Book Antiqua" w:hAnsi="Book Antiqua"/>
          <w:sz w:val="22"/>
          <w:szCs w:val="22"/>
        </w:rPr>
        <w:t xml:space="preserve"> and the expert report of Ms Harper he finds that the </w:t>
      </w:r>
      <w:r w:rsidR="00730E79" w:rsidRPr="00440E77">
        <w:rPr>
          <w:rFonts w:ascii="Book Antiqua" w:hAnsi="Book Antiqua"/>
          <w:sz w:val="22"/>
          <w:szCs w:val="22"/>
        </w:rPr>
        <w:t>Appellant</w:t>
      </w:r>
      <w:r w:rsidR="004F6F42" w:rsidRPr="00440E77">
        <w:rPr>
          <w:rFonts w:ascii="Book Antiqua" w:hAnsi="Book Antiqua"/>
          <w:sz w:val="22"/>
          <w:szCs w:val="22"/>
        </w:rPr>
        <w:t xml:space="preserve"> is not at risk of </w:t>
      </w:r>
      <w:r w:rsidR="00730E79" w:rsidRPr="00440E77">
        <w:rPr>
          <w:rFonts w:ascii="Book Antiqua" w:hAnsi="Book Antiqua"/>
          <w:sz w:val="22"/>
          <w:szCs w:val="22"/>
        </w:rPr>
        <w:t>persecution</w:t>
      </w:r>
      <w:r w:rsidR="004F6F42" w:rsidRPr="00440E77">
        <w:rPr>
          <w:rFonts w:ascii="Book Antiqua" w:hAnsi="Book Antiqua"/>
          <w:sz w:val="22"/>
          <w:szCs w:val="22"/>
        </w:rPr>
        <w:t xml:space="preserve"> and that his </w:t>
      </w:r>
      <w:r w:rsidR="00415993" w:rsidRPr="00440E77">
        <w:rPr>
          <w:rFonts w:ascii="Book Antiqua" w:hAnsi="Book Antiqua"/>
          <w:sz w:val="22"/>
          <w:szCs w:val="22"/>
        </w:rPr>
        <w:t>status as a nurse does not put him at enhanced risk. The</w:t>
      </w:r>
      <w:r w:rsidR="007F761F" w:rsidRPr="00440E77">
        <w:rPr>
          <w:rFonts w:ascii="Book Antiqua" w:hAnsi="Book Antiqua"/>
          <w:sz w:val="22"/>
          <w:szCs w:val="22"/>
        </w:rPr>
        <w:t xml:space="preserve"> Judge does not mention </w:t>
      </w:r>
      <w:r w:rsidR="00730E79" w:rsidRPr="00440E77">
        <w:rPr>
          <w:rFonts w:ascii="Book Antiqua" w:hAnsi="Book Antiqua"/>
          <w:sz w:val="22"/>
          <w:szCs w:val="22"/>
          <w:u w:val="single"/>
        </w:rPr>
        <w:t>Elgafagi</w:t>
      </w:r>
      <w:r w:rsidR="007F761F" w:rsidRPr="00440E77">
        <w:rPr>
          <w:rFonts w:ascii="Book Antiqua" w:hAnsi="Book Antiqua"/>
          <w:sz w:val="22"/>
          <w:szCs w:val="22"/>
        </w:rPr>
        <w:t xml:space="preserve"> </w:t>
      </w:r>
      <w:r w:rsidR="00730E79" w:rsidRPr="00440E77">
        <w:rPr>
          <w:rFonts w:ascii="Book Antiqua" w:hAnsi="Book Antiqua"/>
          <w:sz w:val="22"/>
          <w:szCs w:val="22"/>
        </w:rPr>
        <w:t>but</w:t>
      </w:r>
      <w:r w:rsidR="007F761F" w:rsidRPr="00440E77">
        <w:rPr>
          <w:rFonts w:ascii="Book Antiqua" w:hAnsi="Book Antiqua"/>
          <w:sz w:val="22"/>
          <w:szCs w:val="22"/>
        </w:rPr>
        <w:t xml:space="preserve"> there is in my judgment no need for him to do so given these </w:t>
      </w:r>
      <w:r w:rsidR="00730E79" w:rsidRPr="00440E77">
        <w:rPr>
          <w:rFonts w:ascii="Book Antiqua" w:hAnsi="Book Antiqua"/>
          <w:sz w:val="22"/>
          <w:szCs w:val="22"/>
        </w:rPr>
        <w:t>findings</w:t>
      </w:r>
      <w:r w:rsidR="007F761F" w:rsidRPr="00440E77">
        <w:rPr>
          <w:rFonts w:ascii="Book Antiqua" w:hAnsi="Book Antiqua"/>
          <w:sz w:val="22"/>
          <w:szCs w:val="22"/>
        </w:rPr>
        <w:t xml:space="preserve">. The findings are </w:t>
      </w:r>
      <w:r w:rsidR="00730E79" w:rsidRPr="00440E77">
        <w:rPr>
          <w:rFonts w:ascii="Book Antiqua" w:hAnsi="Book Antiqua"/>
          <w:sz w:val="22"/>
          <w:szCs w:val="22"/>
        </w:rPr>
        <w:t>sustainable</w:t>
      </w:r>
      <w:r w:rsidR="00E46F67" w:rsidRPr="00440E77">
        <w:rPr>
          <w:rFonts w:ascii="Book Antiqua" w:hAnsi="Book Antiqua"/>
          <w:sz w:val="22"/>
          <w:szCs w:val="22"/>
        </w:rPr>
        <w:t xml:space="preserve">, they are made after </w:t>
      </w:r>
      <w:r w:rsidR="00730E79" w:rsidRPr="00440E77">
        <w:rPr>
          <w:rFonts w:ascii="Book Antiqua" w:hAnsi="Book Antiqua"/>
          <w:sz w:val="22"/>
          <w:szCs w:val="22"/>
        </w:rPr>
        <w:t>consideration</w:t>
      </w:r>
      <w:r w:rsidR="00E46F67" w:rsidRPr="00440E77">
        <w:rPr>
          <w:rFonts w:ascii="Book Antiqua" w:hAnsi="Book Antiqua"/>
          <w:sz w:val="22"/>
          <w:szCs w:val="22"/>
        </w:rPr>
        <w:t xml:space="preserve"> of the Country </w:t>
      </w:r>
      <w:r w:rsidR="00730E79" w:rsidRPr="00440E77">
        <w:rPr>
          <w:rFonts w:ascii="Book Antiqua" w:hAnsi="Book Antiqua"/>
          <w:sz w:val="22"/>
          <w:szCs w:val="22"/>
        </w:rPr>
        <w:t>Guidance</w:t>
      </w:r>
      <w:r w:rsidR="00E46F67" w:rsidRPr="00440E77">
        <w:rPr>
          <w:rFonts w:ascii="Book Antiqua" w:hAnsi="Book Antiqua"/>
          <w:sz w:val="22"/>
          <w:szCs w:val="22"/>
        </w:rPr>
        <w:t xml:space="preserve"> case and the expert </w:t>
      </w:r>
      <w:r w:rsidR="00730E79" w:rsidRPr="00440E77">
        <w:rPr>
          <w:rFonts w:ascii="Book Antiqua" w:hAnsi="Book Antiqua"/>
          <w:sz w:val="22"/>
          <w:szCs w:val="22"/>
        </w:rPr>
        <w:t>report</w:t>
      </w:r>
      <w:r w:rsidR="00E46F67" w:rsidRPr="00440E77">
        <w:rPr>
          <w:rFonts w:ascii="Book Antiqua" w:hAnsi="Book Antiqua"/>
          <w:sz w:val="22"/>
          <w:szCs w:val="22"/>
        </w:rPr>
        <w:t xml:space="preserve"> and in my judgment the </w:t>
      </w:r>
      <w:r w:rsidR="00730E79" w:rsidRPr="00440E77">
        <w:rPr>
          <w:rFonts w:ascii="Book Antiqua" w:hAnsi="Book Antiqua"/>
          <w:sz w:val="22"/>
          <w:szCs w:val="22"/>
        </w:rPr>
        <w:t>findings</w:t>
      </w:r>
      <w:r w:rsidR="00E46F67" w:rsidRPr="00440E77">
        <w:rPr>
          <w:rFonts w:ascii="Book Antiqua" w:hAnsi="Book Antiqua"/>
          <w:sz w:val="22"/>
          <w:szCs w:val="22"/>
        </w:rPr>
        <w:t xml:space="preserve"> do not run contrary to the Country </w:t>
      </w:r>
      <w:r w:rsidR="00FA2FA7" w:rsidRPr="00440E77">
        <w:rPr>
          <w:rFonts w:ascii="Book Antiqua" w:hAnsi="Book Antiqua"/>
          <w:sz w:val="22"/>
          <w:szCs w:val="22"/>
        </w:rPr>
        <w:t>G</w:t>
      </w:r>
      <w:r w:rsidR="00730E79" w:rsidRPr="00440E77">
        <w:rPr>
          <w:rFonts w:ascii="Book Antiqua" w:hAnsi="Book Antiqua"/>
          <w:sz w:val="22"/>
          <w:szCs w:val="22"/>
        </w:rPr>
        <w:t>uidance</w:t>
      </w:r>
      <w:r w:rsidR="00E46F67" w:rsidRPr="00440E77">
        <w:rPr>
          <w:rFonts w:ascii="Book Antiqua" w:hAnsi="Book Antiqua"/>
          <w:sz w:val="22"/>
          <w:szCs w:val="22"/>
        </w:rPr>
        <w:t xml:space="preserve"> case and are </w:t>
      </w:r>
      <w:r w:rsidR="00730E79" w:rsidRPr="00440E77">
        <w:rPr>
          <w:rFonts w:ascii="Book Antiqua" w:hAnsi="Book Antiqua"/>
          <w:sz w:val="22"/>
          <w:szCs w:val="22"/>
        </w:rPr>
        <w:t>rational</w:t>
      </w:r>
      <w:r w:rsidR="008556EE" w:rsidRPr="00440E77">
        <w:rPr>
          <w:rFonts w:ascii="Book Antiqua" w:hAnsi="Book Antiqua"/>
          <w:sz w:val="22"/>
          <w:szCs w:val="22"/>
        </w:rPr>
        <w:t xml:space="preserve"> taking into account the </w:t>
      </w:r>
      <w:r w:rsidR="00FA2FA7" w:rsidRPr="00440E77">
        <w:rPr>
          <w:rFonts w:ascii="Book Antiqua" w:hAnsi="Book Antiqua"/>
          <w:sz w:val="22"/>
          <w:szCs w:val="22"/>
        </w:rPr>
        <w:t>J</w:t>
      </w:r>
      <w:r w:rsidR="008556EE" w:rsidRPr="00440E77">
        <w:rPr>
          <w:rFonts w:ascii="Book Antiqua" w:hAnsi="Book Antiqua"/>
          <w:sz w:val="22"/>
          <w:szCs w:val="22"/>
        </w:rPr>
        <w:t xml:space="preserve">udge’s assessment of the </w:t>
      </w:r>
      <w:r w:rsidR="00730E79" w:rsidRPr="00440E77">
        <w:rPr>
          <w:rFonts w:ascii="Book Antiqua" w:hAnsi="Book Antiqua"/>
          <w:sz w:val="22"/>
          <w:szCs w:val="22"/>
        </w:rPr>
        <w:t>Appellant’s</w:t>
      </w:r>
      <w:r w:rsidR="008556EE" w:rsidRPr="00440E77">
        <w:rPr>
          <w:rFonts w:ascii="Book Antiqua" w:hAnsi="Book Antiqua"/>
          <w:sz w:val="22"/>
          <w:szCs w:val="22"/>
        </w:rPr>
        <w:t xml:space="preserve"> personal </w:t>
      </w:r>
      <w:r w:rsidR="00730E79" w:rsidRPr="00440E77">
        <w:rPr>
          <w:rFonts w:ascii="Book Antiqua" w:hAnsi="Book Antiqua"/>
          <w:sz w:val="22"/>
          <w:szCs w:val="22"/>
        </w:rPr>
        <w:t>circumstances</w:t>
      </w:r>
      <w:r w:rsidR="008556EE" w:rsidRPr="00440E77">
        <w:rPr>
          <w:rFonts w:ascii="Book Antiqua" w:hAnsi="Book Antiqua"/>
          <w:sz w:val="22"/>
          <w:szCs w:val="22"/>
        </w:rPr>
        <w:t xml:space="preserve">. There is no </w:t>
      </w:r>
      <w:r w:rsidR="00730E79" w:rsidRPr="00440E77">
        <w:rPr>
          <w:rFonts w:ascii="Book Antiqua" w:hAnsi="Book Antiqua"/>
          <w:sz w:val="22"/>
          <w:szCs w:val="22"/>
        </w:rPr>
        <w:t>error</w:t>
      </w:r>
      <w:r w:rsidR="008556EE" w:rsidRPr="00440E77">
        <w:rPr>
          <w:rFonts w:ascii="Book Antiqua" w:hAnsi="Book Antiqua"/>
          <w:sz w:val="22"/>
          <w:szCs w:val="22"/>
        </w:rPr>
        <w:t xml:space="preserve"> of law.</w:t>
      </w:r>
    </w:p>
    <w:p w14:paraId="48670874" w14:textId="25D96A36" w:rsidR="00F62CB5" w:rsidRPr="00440E77" w:rsidRDefault="00A0425D" w:rsidP="00440E77">
      <w:pPr>
        <w:spacing w:before="240"/>
        <w:jc w:val="both"/>
        <w:rPr>
          <w:rFonts w:ascii="Book Antiqua" w:hAnsi="Book Antiqua" w:cs="Arial"/>
          <w:b/>
          <w:sz w:val="22"/>
          <w:szCs w:val="22"/>
          <w:u w:val="single"/>
        </w:rPr>
      </w:pPr>
      <w:r w:rsidRPr="00440E77">
        <w:rPr>
          <w:rFonts w:ascii="Book Antiqua" w:hAnsi="Book Antiqua" w:cs="Arial"/>
          <w:b/>
          <w:sz w:val="22"/>
          <w:szCs w:val="22"/>
          <w:u w:val="single"/>
        </w:rPr>
        <w:t>Summary</w:t>
      </w:r>
    </w:p>
    <w:p w14:paraId="74648661" w14:textId="7F70C190" w:rsidR="0091193D" w:rsidRPr="00440E77" w:rsidRDefault="006E2F1B" w:rsidP="00440E77">
      <w:pPr>
        <w:numPr>
          <w:ilvl w:val="0"/>
          <w:numId w:val="1"/>
        </w:numPr>
        <w:tabs>
          <w:tab w:val="clear" w:pos="720"/>
          <w:tab w:val="num" w:pos="567"/>
        </w:tabs>
        <w:spacing w:before="240"/>
        <w:ind w:left="567" w:hanging="567"/>
        <w:jc w:val="both"/>
        <w:rPr>
          <w:rFonts w:ascii="Book Antiqua" w:hAnsi="Book Antiqua" w:cs="Arial"/>
          <w:sz w:val="22"/>
          <w:szCs w:val="22"/>
        </w:rPr>
      </w:pPr>
      <w:r w:rsidRPr="00440E77">
        <w:rPr>
          <w:rFonts w:ascii="Book Antiqua" w:hAnsi="Book Antiqua" w:cs="Arial"/>
          <w:sz w:val="22"/>
          <w:szCs w:val="22"/>
        </w:rPr>
        <w:t xml:space="preserve">The </w:t>
      </w:r>
      <w:r w:rsidR="00A8733C" w:rsidRPr="00440E77">
        <w:rPr>
          <w:rFonts w:ascii="Book Antiqua" w:hAnsi="Book Antiqua" w:cs="Arial"/>
          <w:sz w:val="22"/>
          <w:szCs w:val="22"/>
        </w:rPr>
        <w:t>decision</w:t>
      </w:r>
      <w:r w:rsidR="00927A22" w:rsidRPr="00440E77">
        <w:rPr>
          <w:rFonts w:ascii="Book Antiqua" w:hAnsi="Book Antiqua" w:cs="Arial"/>
          <w:sz w:val="22"/>
          <w:szCs w:val="22"/>
        </w:rPr>
        <w:t xml:space="preserve"> of the </w:t>
      </w:r>
      <w:r w:rsidRPr="00440E77">
        <w:rPr>
          <w:rFonts w:ascii="Book Antiqua" w:hAnsi="Book Antiqua" w:cs="Arial"/>
          <w:sz w:val="22"/>
          <w:szCs w:val="22"/>
        </w:rPr>
        <w:t xml:space="preserve">First-tier </w:t>
      </w:r>
      <w:r w:rsidR="00E16D68" w:rsidRPr="00440E77">
        <w:rPr>
          <w:rFonts w:ascii="Book Antiqua" w:hAnsi="Book Antiqua" w:cs="Arial"/>
          <w:sz w:val="22"/>
          <w:szCs w:val="22"/>
        </w:rPr>
        <w:t>Tribunal</w:t>
      </w:r>
      <w:r w:rsidRPr="00440E77">
        <w:rPr>
          <w:rFonts w:ascii="Book Antiqua" w:hAnsi="Book Antiqua" w:cs="Arial"/>
          <w:sz w:val="22"/>
          <w:szCs w:val="22"/>
        </w:rPr>
        <w:t xml:space="preserve"> </w:t>
      </w:r>
      <w:r w:rsidR="008556EE" w:rsidRPr="00440E77">
        <w:rPr>
          <w:rFonts w:ascii="Book Antiqua" w:hAnsi="Book Antiqua" w:cs="Arial"/>
          <w:sz w:val="22"/>
          <w:szCs w:val="22"/>
        </w:rPr>
        <w:t xml:space="preserve">did not </w:t>
      </w:r>
      <w:r w:rsidR="00C473A8" w:rsidRPr="00440E77">
        <w:rPr>
          <w:rFonts w:ascii="Book Antiqua" w:hAnsi="Book Antiqua" w:cs="Arial"/>
          <w:sz w:val="22"/>
          <w:szCs w:val="22"/>
        </w:rPr>
        <w:t>involve</w:t>
      </w:r>
      <w:r w:rsidR="00927A22" w:rsidRPr="00440E77">
        <w:rPr>
          <w:rFonts w:ascii="Book Antiqua" w:hAnsi="Book Antiqua" w:cs="Arial"/>
          <w:sz w:val="22"/>
          <w:szCs w:val="22"/>
        </w:rPr>
        <w:t xml:space="preserve"> the making of </w:t>
      </w:r>
      <w:r w:rsidR="00E86149" w:rsidRPr="00440E77">
        <w:rPr>
          <w:rFonts w:ascii="Book Antiqua" w:hAnsi="Book Antiqua" w:cs="Arial"/>
          <w:sz w:val="22"/>
          <w:szCs w:val="22"/>
        </w:rPr>
        <w:t xml:space="preserve">a material </w:t>
      </w:r>
      <w:r w:rsidR="00574935" w:rsidRPr="00440E77">
        <w:rPr>
          <w:rFonts w:ascii="Book Antiqua" w:hAnsi="Book Antiqua" w:cs="Arial"/>
          <w:sz w:val="22"/>
          <w:szCs w:val="22"/>
        </w:rPr>
        <w:t xml:space="preserve">error </w:t>
      </w:r>
      <w:r w:rsidR="00927A22" w:rsidRPr="00440E77">
        <w:rPr>
          <w:rFonts w:ascii="Book Antiqua" w:hAnsi="Book Antiqua" w:cs="Arial"/>
          <w:sz w:val="22"/>
          <w:szCs w:val="22"/>
        </w:rPr>
        <w:t>of law.</w:t>
      </w:r>
      <w:r w:rsidR="000469D5" w:rsidRPr="00440E77">
        <w:rPr>
          <w:rFonts w:ascii="Book Antiqua" w:hAnsi="Book Antiqua" w:cs="Arial"/>
          <w:sz w:val="22"/>
          <w:szCs w:val="22"/>
        </w:rPr>
        <w:t xml:space="preserve"> </w:t>
      </w:r>
      <w:r w:rsidR="000E08FB" w:rsidRPr="00440E77">
        <w:rPr>
          <w:rFonts w:ascii="Book Antiqua" w:hAnsi="Book Antiqua" w:cs="Arial"/>
          <w:sz w:val="22"/>
          <w:szCs w:val="22"/>
        </w:rPr>
        <w:t xml:space="preserve">I </w:t>
      </w:r>
      <w:r w:rsidR="0091193D" w:rsidRPr="00440E77">
        <w:rPr>
          <w:rFonts w:ascii="Book Antiqua" w:hAnsi="Book Antiqua" w:cs="Arial"/>
          <w:sz w:val="22"/>
          <w:szCs w:val="22"/>
        </w:rPr>
        <w:t xml:space="preserve">dismiss </w:t>
      </w:r>
      <w:r w:rsidR="00730E79" w:rsidRPr="00440E77">
        <w:rPr>
          <w:rFonts w:ascii="Book Antiqua" w:hAnsi="Book Antiqua" w:cs="Arial"/>
          <w:sz w:val="22"/>
          <w:szCs w:val="22"/>
        </w:rPr>
        <w:t>the</w:t>
      </w:r>
      <w:r w:rsidR="0091193D" w:rsidRPr="00440E77">
        <w:rPr>
          <w:rFonts w:ascii="Book Antiqua" w:hAnsi="Book Antiqua" w:cs="Arial"/>
          <w:sz w:val="22"/>
          <w:szCs w:val="22"/>
        </w:rPr>
        <w:t xml:space="preserve"> appeal. </w:t>
      </w:r>
    </w:p>
    <w:p w14:paraId="7852804C" w14:textId="189CCA74" w:rsidR="00CB7013" w:rsidRDefault="00CB7013" w:rsidP="00084B18">
      <w:pPr>
        <w:ind w:left="540"/>
        <w:jc w:val="both"/>
        <w:rPr>
          <w:rFonts w:ascii="Book Antiqua" w:hAnsi="Book Antiqua" w:cs="Arial"/>
        </w:rPr>
      </w:pPr>
    </w:p>
    <w:p w14:paraId="520F9357" w14:textId="77777777" w:rsidR="00315F69" w:rsidRDefault="00315F69" w:rsidP="00084B18">
      <w:pPr>
        <w:ind w:left="540"/>
        <w:jc w:val="both"/>
        <w:rPr>
          <w:rFonts w:ascii="Book Antiqua" w:hAnsi="Book Antiqua" w:cs="Arial"/>
        </w:rPr>
      </w:pPr>
    </w:p>
    <w:p w14:paraId="2BACB229" w14:textId="31B28A86" w:rsidR="004B28DA" w:rsidRDefault="004B28DA">
      <w:pPr>
        <w:rPr>
          <w:rFonts w:ascii="Book Antiqua" w:hAnsi="Book Antiqua"/>
          <w:b/>
        </w:rPr>
      </w:pPr>
      <w:r>
        <w:rPr>
          <w:rFonts w:ascii="Book Antiqua" w:hAnsi="Book Antiqua"/>
          <w:b/>
        </w:rPr>
        <w:t>Signed:</w:t>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r>
      <w:r w:rsidR="000B45CF">
        <w:rPr>
          <w:rFonts w:ascii="Book Antiqua" w:hAnsi="Book Antiqua"/>
          <w:b/>
        </w:rPr>
        <w:tab/>
        <w:t>Date:</w:t>
      </w:r>
      <w:r w:rsidR="00331C50">
        <w:rPr>
          <w:rFonts w:ascii="Book Antiqua" w:hAnsi="Book Antiqua"/>
          <w:b/>
        </w:rPr>
        <w:t xml:space="preserve"> </w:t>
      </w:r>
      <w:r w:rsidR="0091193D">
        <w:rPr>
          <w:rFonts w:ascii="Book Antiqua" w:hAnsi="Book Antiqua"/>
          <w:b/>
        </w:rPr>
        <w:t>25 July</w:t>
      </w:r>
      <w:r w:rsidR="00765815">
        <w:rPr>
          <w:rFonts w:ascii="Book Antiqua" w:hAnsi="Book Antiqua"/>
          <w:b/>
        </w:rPr>
        <w:t xml:space="preserve"> 201</w:t>
      </w:r>
      <w:r w:rsidR="008D1F18">
        <w:rPr>
          <w:rFonts w:ascii="Book Antiqua" w:hAnsi="Book Antiqua"/>
          <w:b/>
        </w:rPr>
        <w:t>8</w:t>
      </w:r>
    </w:p>
    <w:p w14:paraId="1B3B9CF9" w14:textId="77777777" w:rsidR="00D93440" w:rsidRDefault="00D93440">
      <w:pPr>
        <w:rPr>
          <w:rFonts w:ascii="Book Antiqua" w:hAnsi="Book Antiqua"/>
          <w:b/>
        </w:rPr>
      </w:pPr>
    </w:p>
    <w:p w14:paraId="3253E3A6" w14:textId="1FE19CE1" w:rsidR="00560574" w:rsidRDefault="006E715B">
      <w:pPr>
        <w:rPr>
          <w:rFonts w:ascii="Book Antiqua" w:hAnsi="Book Antiqua"/>
          <w:b/>
        </w:rPr>
      </w:pPr>
      <w:r>
        <w:rPr>
          <w:noProof/>
          <w:sz w:val="28"/>
          <w:szCs w:val="28"/>
        </w:rPr>
        <w:drawing>
          <wp:inline distT="0" distB="0" distL="0" distR="0" wp14:anchorId="0D749B10" wp14:editId="08221DE5">
            <wp:extent cx="2413000" cy="844550"/>
            <wp:effectExtent l="0" t="0" r="0" b="0"/>
            <wp:docPr id="2" name="Picture 1" descr="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3000" cy="844550"/>
                    </a:xfrm>
                    <a:prstGeom prst="rect">
                      <a:avLst/>
                    </a:prstGeom>
                    <a:noFill/>
                    <a:ln>
                      <a:noFill/>
                    </a:ln>
                  </pic:spPr>
                </pic:pic>
              </a:graphicData>
            </a:graphic>
          </wp:inline>
        </w:drawing>
      </w:r>
    </w:p>
    <w:p w14:paraId="61C89F40" w14:textId="77777777" w:rsidR="00D93440" w:rsidRDefault="00D93440">
      <w:pPr>
        <w:rPr>
          <w:rFonts w:ascii="Book Antiqua" w:hAnsi="Book Antiqua"/>
          <w:b/>
        </w:rPr>
      </w:pPr>
    </w:p>
    <w:p w14:paraId="689232BD" w14:textId="77777777" w:rsidR="004B28DA" w:rsidRDefault="000B45CF">
      <w:pPr>
        <w:rPr>
          <w:rFonts w:ascii="Book Antiqua" w:hAnsi="Book Antiqua"/>
          <w:b/>
        </w:rPr>
      </w:pPr>
      <w:r>
        <w:rPr>
          <w:rFonts w:ascii="Book Antiqua" w:hAnsi="Book Antiqua"/>
          <w:b/>
        </w:rPr>
        <w:t>J F W Phillips</w:t>
      </w:r>
      <w:r w:rsidR="004B28DA">
        <w:rPr>
          <w:rFonts w:ascii="Book Antiqua" w:hAnsi="Book Antiqua"/>
          <w:b/>
        </w:rPr>
        <w:t xml:space="preserve"> </w:t>
      </w:r>
    </w:p>
    <w:p w14:paraId="7049FBE6" w14:textId="5D90EDA5" w:rsidR="00653F9E" w:rsidRDefault="00B45BB3">
      <w:pPr>
        <w:rPr>
          <w:rFonts w:ascii="Book Antiqua" w:hAnsi="Book Antiqua"/>
          <w:b/>
        </w:rPr>
      </w:pPr>
      <w:r>
        <w:rPr>
          <w:rFonts w:ascii="Book Antiqua" w:hAnsi="Book Antiqua"/>
          <w:b/>
        </w:rPr>
        <w:t xml:space="preserve">Deputy </w:t>
      </w:r>
      <w:r w:rsidR="00E16D68">
        <w:rPr>
          <w:rFonts w:ascii="Book Antiqua" w:hAnsi="Book Antiqua"/>
          <w:b/>
        </w:rPr>
        <w:t>Judge</w:t>
      </w:r>
      <w:r w:rsidR="004B28DA">
        <w:rPr>
          <w:rFonts w:ascii="Book Antiqua" w:hAnsi="Book Antiqua"/>
          <w:b/>
        </w:rPr>
        <w:t xml:space="preserve"> of the Upper </w:t>
      </w:r>
      <w:r w:rsidR="00E16D68">
        <w:rPr>
          <w:rFonts w:ascii="Book Antiqua" w:hAnsi="Book Antiqua"/>
          <w:b/>
        </w:rPr>
        <w:t>Tribunal</w:t>
      </w:r>
    </w:p>
    <w:sectPr w:rsidR="00653F9E" w:rsidSect="000945AB">
      <w:headerReference w:type="default" r:id="rId9"/>
      <w:footerReference w:type="even" r:id="rId10"/>
      <w:footerReference w:type="default" r:id="rId11"/>
      <w:footerReference w:type="first" r:id="rId12"/>
      <w:pgSz w:w="11906" w:h="16838"/>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77320" w14:textId="77777777" w:rsidR="005C331C" w:rsidRDefault="005C331C">
      <w:r>
        <w:separator/>
      </w:r>
    </w:p>
  </w:endnote>
  <w:endnote w:type="continuationSeparator" w:id="0">
    <w:p w14:paraId="377254FE" w14:textId="77777777" w:rsidR="005C331C" w:rsidRDefault="005C33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AAD0C" w14:textId="77777777" w:rsidR="0054768A" w:rsidRDefault="0054768A" w:rsidP="002B14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DD5937" w14:textId="77777777" w:rsidR="0054768A" w:rsidRDefault="0054768A" w:rsidP="000945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F9D4E" w14:textId="67395CD7" w:rsidR="00CC1BDE" w:rsidRPr="00315F69" w:rsidRDefault="00CC1BDE">
    <w:pPr>
      <w:pStyle w:val="Footer"/>
      <w:jc w:val="center"/>
      <w:rPr>
        <w:sz w:val="20"/>
        <w:szCs w:val="20"/>
      </w:rPr>
    </w:pPr>
    <w:r w:rsidRPr="00315F69">
      <w:rPr>
        <w:sz w:val="20"/>
        <w:szCs w:val="20"/>
      </w:rPr>
      <w:fldChar w:fldCharType="begin"/>
    </w:r>
    <w:r w:rsidRPr="00315F69">
      <w:rPr>
        <w:sz w:val="20"/>
        <w:szCs w:val="20"/>
      </w:rPr>
      <w:instrText xml:space="preserve"> PAGE   \* MERGEFORMAT </w:instrText>
    </w:r>
    <w:r w:rsidRPr="00315F69">
      <w:rPr>
        <w:sz w:val="20"/>
        <w:szCs w:val="20"/>
      </w:rPr>
      <w:fldChar w:fldCharType="separate"/>
    </w:r>
    <w:r w:rsidR="0092483A">
      <w:rPr>
        <w:noProof/>
        <w:sz w:val="20"/>
        <w:szCs w:val="20"/>
      </w:rPr>
      <w:t>6</w:t>
    </w:r>
    <w:r w:rsidRPr="00315F69">
      <w:rPr>
        <w:noProof/>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7A9A8" w14:textId="10A9A5DF" w:rsidR="0054768A" w:rsidRPr="00B934DE" w:rsidRDefault="0054768A" w:rsidP="00B934DE">
    <w:pPr>
      <w:pStyle w:val="Footer"/>
      <w:jc w:val="center"/>
      <w:rPr>
        <w:rFonts w:ascii="Book Antiqua" w:hAnsi="Book Antiqua"/>
        <w:b/>
      </w:rPr>
    </w:pPr>
    <w:r>
      <w:rPr>
        <w:rFonts w:ascii="Book Antiqua" w:hAnsi="Book Antiqua"/>
        <w:b/>
      </w:rPr>
      <w:t>© CROWN COPYRIGHT 201</w:t>
    </w:r>
    <w:r w:rsidR="00683A3F">
      <w:rPr>
        <w:rFonts w:ascii="Book Antiqua" w:hAnsi="Book Antiqua"/>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F048F" w14:textId="77777777" w:rsidR="005C331C" w:rsidRDefault="005C331C">
      <w:r>
        <w:separator/>
      </w:r>
    </w:p>
  </w:footnote>
  <w:footnote w:type="continuationSeparator" w:id="0">
    <w:p w14:paraId="69D5A5CC" w14:textId="77777777" w:rsidR="005C331C" w:rsidRDefault="005C33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34239" w14:textId="485BB43F" w:rsidR="0054768A" w:rsidRPr="00315F69" w:rsidRDefault="0054768A" w:rsidP="000945AB">
    <w:pPr>
      <w:pStyle w:val="Header"/>
      <w:jc w:val="right"/>
      <w:rPr>
        <w:rFonts w:ascii="Book Antiqua" w:hAnsi="Book Antiqua" w:cs="Arial"/>
        <w:sz w:val="20"/>
        <w:szCs w:val="20"/>
      </w:rPr>
    </w:pPr>
    <w:r w:rsidRPr="00315F69">
      <w:rPr>
        <w:rFonts w:ascii="Book Antiqua" w:hAnsi="Book Antiqua" w:cs="Arial"/>
        <w:sz w:val="20"/>
        <w:szCs w:val="20"/>
      </w:rPr>
      <w:t>A</w:t>
    </w:r>
    <w:r w:rsidR="003E7EC9" w:rsidRPr="00315F69">
      <w:rPr>
        <w:rFonts w:ascii="Book Antiqua" w:hAnsi="Book Antiqua" w:cs="Arial"/>
        <w:sz w:val="20"/>
        <w:szCs w:val="20"/>
      </w:rPr>
      <w:t xml:space="preserve">ppeal number: </w:t>
    </w:r>
    <w:r w:rsidR="00F17BA5" w:rsidRPr="00315F69">
      <w:rPr>
        <w:rFonts w:ascii="Book Antiqua" w:hAnsi="Book Antiqua" w:cs="Arial"/>
        <w:sz w:val="20"/>
        <w:szCs w:val="20"/>
      </w:rPr>
      <w:t>PA</w:t>
    </w:r>
    <w:r w:rsidR="0090012F" w:rsidRPr="00315F69">
      <w:rPr>
        <w:rFonts w:ascii="Book Antiqua" w:hAnsi="Book Antiqua" w:cs="Arial"/>
        <w:sz w:val="20"/>
        <w:szCs w:val="20"/>
      </w:rPr>
      <w:t>/</w:t>
    </w:r>
    <w:r w:rsidR="008D52BB" w:rsidRPr="00315F69">
      <w:rPr>
        <w:rFonts w:ascii="Book Antiqua" w:hAnsi="Book Antiqua" w:cs="Arial"/>
        <w:sz w:val="20"/>
        <w:szCs w:val="20"/>
      </w:rPr>
      <w:t>0</w:t>
    </w:r>
    <w:r w:rsidR="00FF471B" w:rsidRPr="00315F69">
      <w:rPr>
        <w:rFonts w:ascii="Book Antiqua" w:hAnsi="Book Antiqua" w:cs="Arial"/>
        <w:sz w:val="20"/>
        <w:szCs w:val="20"/>
      </w:rPr>
      <w:t>2567</w:t>
    </w:r>
    <w:r w:rsidRPr="00315F69">
      <w:rPr>
        <w:rFonts w:ascii="Book Antiqua" w:hAnsi="Book Antiqua" w:cs="Arial"/>
        <w:sz w:val="20"/>
        <w:szCs w:val="20"/>
      </w:rPr>
      <w:t>/201</w:t>
    </w:r>
    <w:r w:rsidR="00F17BA5" w:rsidRPr="00315F69">
      <w:rPr>
        <w:rFonts w:ascii="Book Antiqua" w:hAnsi="Book Antiqua" w:cs="Arial"/>
        <w:sz w:val="20"/>
        <w:szCs w:val="2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F3631D0"/>
    <w:multiLevelType w:val="hybridMultilevel"/>
    <w:tmpl w:val="3DA2221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1"/>
    <w:multiLevelType w:val="singleLevel"/>
    <w:tmpl w:val="6A583094"/>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048C15D9"/>
    <w:multiLevelType w:val="hybridMultilevel"/>
    <w:tmpl w:val="A39038D8"/>
    <w:lvl w:ilvl="0" w:tplc="0809000F">
      <w:start w:val="1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E074E33"/>
    <w:multiLevelType w:val="hybridMultilevel"/>
    <w:tmpl w:val="2512652C"/>
    <w:lvl w:ilvl="0" w:tplc="33B6529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5A8789D"/>
    <w:multiLevelType w:val="hybridMultilevel"/>
    <w:tmpl w:val="83F605E2"/>
    <w:lvl w:ilvl="0" w:tplc="27F8A50A">
      <w:start w:val="1"/>
      <w:numFmt w:val="lowerLetter"/>
      <w:lvlText w:val="%1."/>
      <w:lvlJc w:val="left"/>
      <w:pPr>
        <w:tabs>
          <w:tab w:val="num" w:pos="330"/>
        </w:tabs>
        <w:ind w:left="330" w:hanging="360"/>
      </w:pPr>
      <w:rPr>
        <w:rFonts w:hint="default"/>
      </w:rPr>
    </w:lvl>
    <w:lvl w:ilvl="1" w:tplc="27F8A50A">
      <w:start w:val="1"/>
      <w:numFmt w:val="lowerLetter"/>
      <w:lvlText w:val="%2."/>
      <w:lvlJc w:val="left"/>
      <w:pPr>
        <w:tabs>
          <w:tab w:val="num" w:pos="330"/>
        </w:tabs>
        <w:ind w:left="33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5E87FF3"/>
    <w:multiLevelType w:val="hybridMultilevel"/>
    <w:tmpl w:val="A8E4BED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47C2B52"/>
    <w:multiLevelType w:val="hybridMultilevel"/>
    <w:tmpl w:val="39ACDDCA"/>
    <w:lvl w:ilvl="0" w:tplc="1902AD4C">
      <w:start w:val="1"/>
      <w:numFmt w:val="decimal"/>
      <w:lvlText w:val="%1."/>
      <w:lvlJc w:val="left"/>
      <w:pPr>
        <w:tabs>
          <w:tab w:val="num" w:pos="1080"/>
        </w:tabs>
        <w:ind w:left="1080" w:hanging="360"/>
      </w:pPr>
      <w:rPr>
        <w:b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7" w15:restartNumberingAfterBreak="0">
    <w:nsid w:val="381F4540"/>
    <w:multiLevelType w:val="hybridMultilevel"/>
    <w:tmpl w:val="A1D2A3EA"/>
    <w:lvl w:ilvl="0" w:tplc="1A14E6DA">
      <w:start w:val="26"/>
      <w:numFmt w:val="decimal"/>
      <w:lvlText w:val="%1."/>
      <w:lvlJc w:val="left"/>
      <w:pPr>
        <w:tabs>
          <w:tab w:val="num" w:pos="330"/>
        </w:tabs>
        <w:ind w:left="330" w:hanging="360"/>
      </w:pPr>
      <w:rPr>
        <w:rFonts w:hint="default"/>
      </w:rPr>
    </w:lvl>
    <w:lvl w:ilvl="1" w:tplc="27F8A50A">
      <w:start w:val="1"/>
      <w:numFmt w:val="lowerLetter"/>
      <w:lvlText w:val="%2."/>
      <w:lvlJc w:val="left"/>
      <w:pPr>
        <w:tabs>
          <w:tab w:val="num" w:pos="1050"/>
        </w:tabs>
        <w:ind w:left="1050" w:hanging="360"/>
      </w:pPr>
      <w:rPr>
        <w:rFonts w:hint="default"/>
      </w:rPr>
    </w:lvl>
    <w:lvl w:ilvl="2" w:tplc="4D7C0EFA">
      <w:start w:val="1"/>
      <w:numFmt w:val="bullet"/>
      <w:lvlText w:val=""/>
      <w:lvlJc w:val="left"/>
      <w:pPr>
        <w:tabs>
          <w:tab w:val="num" w:pos="1950"/>
        </w:tabs>
        <w:ind w:left="1950" w:hanging="360"/>
      </w:pPr>
      <w:rPr>
        <w:rFonts w:ascii="Wingdings" w:hAnsi="Wingdings" w:hint="default"/>
        <w:sz w:val="16"/>
      </w:rPr>
    </w:lvl>
    <w:lvl w:ilvl="3" w:tplc="0809000F" w:tentative="1">
      <w:start w:val="1"/>
      <w:numFmt w:val="decimal"/>
      <w:lvlText w:val="%4."/>
      <w:lvlJc w:val="left"/>
      <w:pPr>
        <w:tabs>
          <w:tab w:val="num" w:pos="2490"/>
        </w:tabs>
        <w:ind w:left="2490" w:hanging="360"/>
      </w:pPr>
    </w:lvl>
    <w:lvl w:ilvl="4" w:tplc="08090019" w:tentative="1">
      <w:start w:val="1"/>
      <w:numFmt w:val="lowerLetter"/>
      <w:lvlText w:val="%5."/>
      <w:lvlJc w:val="left"/>
      <w:pPr>
        <w:tabs>
          <w:tab w:val="num" w:pos="3210"/>
        </w:tabs>
        <w:ind w:left="3210" w:hanging="360"/>
      </w:pPr>
    </w:lvl>
    <w:lvl w:ilvl="5" w:tplc="0809001B" w:tentative="1">
      <w:start w:val="1"/>
      <w:numFmt w:val="lowerRoman"/>
      <w:lvlText w:val="%6."/>
      <w:lvlJc w:val="right"/>
      <w:pPr>
        <w:tabs>
          <w:tab w:val="num" w:pos="3930"/>
        </w:tabs>
        <w:ind w:left="3930" w:hanging="180"/>
      </w:pPr>
    </w:lvl>
    <w:lvl w:ilvl="6" w:tplc="0809000F" w:tentative="1">
      <w:start w:val="1"/>
      <w:numFmt w:val="decimal"/>
      <w:lvlText w:val="%7."/>
      <w:lvlJc w:val="left"/>
      <w:pPr>
        <w:tabs>
          <w:tab w:val="num" w:pos="4650"/>
        </w:tabs>
        <w:ind w:left="4650" w:hanging="360"/>
      </w:pPr>
    </w:lvl>
    <w:lvl w:ilvl="7" w:tplc="08090019" w:tentative="1">
      <w:start w:val="1"/>
      <w:numFmt w:val="lowerLetter"/>
      <w:lvlText w:val="%8."/>
      <w:lvlJc w:val="left"/>
      <w:pPr>
        <w:tabs>
          <w:tab w:val="num" w:pos="5370"/>
        </w:tabs>
        <w:ind w:left="5370" w:hanging="360"/>
      </w:pPr>
    </w:lvl>
    <w:lvl w:ilvl="8" w:tplc="0809001B" w:tentative="1">
      <w:start w:val="1"/>
      <w:numFmt w:val="lowerRoman"/>
      <w:lvlText w:val="%9."/>
      <w:lvlJc w:val="right"/>
      <w:pPr>
        <w:tabs>
          <w:tab w:val="num" w:pos="6090"/>
        </w:tabs>
        <w:ind w:left="6090" w:hanging="180"/>
      </w:pPr>
    </w:lvl>
  </w:abstractNum>
  <w:abstractNum w:abstractNumId="8" w15:restartNumberingAfterBreak="0">
    <w:nsid w:val="3A9E0716"/>
    <w:multiLevelType w:val="hybridMultilevel"/>
    <w:tmpl w:val="2DBAB264"/>
    <w:lvl w:ilvl="0" w:tplc="0809000F">
      <w:start w:val="1"/>
      <w:numFmt w:val="decimal"/>
      <w:lvlText w:val="%1."/>
      <w:lvlJc w:val="left"/>
      <w:pPr>
        <w:tabs>
          <w:tab w:val="num" w:pos="1287"/>
        </w:tabs>
        <w:ind w:left="1287" w:hanging="360"/>
      </w:pPr>
    </w:lvl>
    <w:lvl w:ilvl="1" w:tplc="08090019" w:tentative="1">
      <w:start w:val="1"/>
      <w:numFmt w:val="lowerLetter"/>
      <w:lvlText w:val="%2."/>
      <w:lvlJc w:val="left"/>
      <w:pPr>
        <w:tabs>
          <w:tab w:val="num" w:pos="2007"/>
        </w:tabs>
        <w:ind w:left="2007" w:hanging="360"/>
      </w:pPr>
    </w:lvl>
    <w:lvl w:ilvl="2" w:tplc="0809001B" w:tentative="1">
      <w:start w:val="1"/>
      <w:numFmt w:val="lowerRoman"/>
      <w:lvlText w:val="%3."/>
      <w:lvlJc w:val="right"/>
      <w:pPr>
        <w:tabs>
          <w:tab w:val="num" w:pos="2727"/>
        </w:tabs>
        <w:ind w:left="2727" w:hanging="180"/>
      </w:pPr>
    </w:lvl>
    <w:lvl w:ilvl="3" w:tplc="0809000F" w:tentative="1">
      <w:start w:val="1"/>
      <w:numFmt w:val="decimal"/>
      <w:lvlText w:val="%4."/>
      <w:lvlJc w:val="left"/>
      <w:pPr>
        <w:tabs>
          <w:tab w:val="num" w:pos="3447"/>
        </w:tabs>
        <w:ind w:left="3447" w:hanging="360"/>
      </w:pPr>
    </w:lvl>
    <w:lvl w:ilvl="4" w:tplc="08090019" w:tentative="1">
      <w:start w:val="1"/>
      <w:numFmt w:val="lowerLetter"/>
      <w:lvlText w:val="%5."/>
      <w:lvlJc w:val="left"/>
      <w:pPr>
        <w:tabs>
          <w:tab w:val="num" w:pos="4167"/>
        </w:tabs>
        <w:ind w:left="4167" w:hanging="360"/>
      </w:pPr>
    </w:lvl>
    <w:lvl w:ilvl="5" w:tplc="0809001B" w:tentative="1">
      <w:start w:val="1"/>
      <w:numFmt w:val="lowerRoman"/>
      <w:lvlText w:val="%6."/>
      <w:lvlJc w:val="right"/>
      <w:pPr>
        <w:tabs>
          <w:tab w:val="num" w:pos="4887"/>
        </w:tabs>
        <w:ind w:left="4887" w:hanging="180"/>
      </w:pPr>
    </w:lvl>
    <w:lvl w:ilvl="6" w:tplc="0809000F" w:tentative="1">
      <w:start w:val="1"/>
      <w:numFmt w:val="decimal"/>
      <w:lvlText w:val="%7."/>
      <w:lvlJc w:val="left"/>
      <w:pPr>
        <w:tabs>
          <w:tab w:val="num" w:pos="5607"/>
        </w:tabs>
        <w:ind w:left="5607" w:hanging="360"/>
      </w:pPr>
    </w:lvl>
    <w:lvl w:ilvl="7" w:tplc="08090019" w:tentative="1">
      <w:start w:val="1"/>
      <w:numFmt w:val="lowerLetter"/>
      <w:lvlText w:val="%8."/>
      <w:lvlJc w:val="left"/>
      <w:pPr>
        <w:tabs>
          <w:tab w:val="num" w:pos="6327"/>
        </w:tabs>
        <w:ind w:left="6327" w:hanging="360"/>
      </w:pPr>
    </w:lvl>
    <w:lvl w:ilvl="8" w:tplc="0809001B" w:tentative="1">
      <w:start w:val="1"/>
      <w:numFmt w:val="lowerRoman"/>
      <w:lvlText w:val="%9."/>
      <w:lvlJc w:val="right"/>
      <w:pPr>
        <w:tabs>
          <w:tab w:val="num" w:pos="7047"/>
        </w:tabs>
        <w:ind w:left="7047" w:hanging="180"/>
      </w:pPr>
    </w:lvl>
  </w:abstractNum>
  <w:abstractNum w:abstractNumId="9" w15:restartNumberingAfterBreak="0">
    <w:nsid w:val="450B7BEC"/>
    <w:multiLevelType w:val="hybridMultilevel"/>
    <w:tmpl w:val="CBE47318"/>
    <w:lvl w:ilvl="0" w:tplc="7CDEE03A">
      <w:start w:val="1"/>
      <w:numFmt w:val="decimal"/>
      <w:lvlText w:val="%1."/>
      <w:lvlJc w:val="left"/>
      <w:pPr>
        <w:tabs>
          <w:tab w:val="num" w:pos="1080"/>
        </w:tabs>
        <w:ind w:left="1080" w:hanging="360"/>
      </w:pPr>
      <w:rPr>
        <w:b w:val="0"/>
        <w:i w:val="0"/>
        <w:sz w:val="24"/>
        <w:szCs w:val="24"/>
      </w:rPr>
    </w:lvl>
    <w:lvl w:ilvl="1" w:tplc="FCDC4F98">
      <w:start w:val="1"/>
      <w:numFmt w:val="lowerRoman"/>
      <w:lvlText w:val="%2."/>
      <w:lvlJc w:val="left"/>
      <w:pPr>
        <w:tabs>
          <w:tab w:val="num" w:pos="1800"/>
        </w:tabs>
        <w:ind w:left="1800" w:hanging="360"/>
      </w:pPr>
      <w:rPr>
        <w:rFonts w:ascii="Times New Roman" w:eastAsia="Times New Roman" w:hAnsi="Times New Roman" w:cs="Times New Roman"/>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0" w15:restartNumberingAfterBreak="0">
    <w:nsid w:val="49557654"/>
    <w:multiLevelType w:val="hybridMultilevel"/>
    <w:tmpl w:val="0A42C79C"/>
    <w:lvl w:ilvl="0" w:tplc="4CC803D8">
      <w:start w:val="1"/>
      <w:numFmt w:val="decimal"/>
      <w:lvlText w:val="%1."/>
      <w:lvlJc w:val="left"/>
      <w:pPr>
        <w:tabs>
          <w:tab w:val="num" w:pos="720"/>
        </w:tabs>
        <w:ind w:left="720" w:hanging="360"/>
      </w:pPr>
      <w:rPr>
        <w:b w:val="0"/>
      </w:rPr>
    </w:lvl>
    <w:lvl w:ilvl="1" w:tplc="00B80020">
      <w:start w:val="1"/>
      <w:numFmt w:val="decimal"/>
      <w:lvlText w:val="%2."/>
      <w:lvlJc w:val="left"/>
      <w:pPr>
        <w:tabs>
          <w:tab w:val="num" w:pos="1440"/>
        </w:tabs>
        <w:ind w:left="1440" w:hanging="360"/>
      </w:pPr>
      <w:rPr>
        <w:rFonts w:hint="default"/>
      </w:rPr>
    </w:lvl>
    <w:lvl w:ilvl="2" w:tplc="0809000F">
      <w:start w:val="1"/>
      <w:numFmt w:val="decimal"/>
      <w:lvlText w:val="%3."/>
      <w:lvlJc w:val="left"/>
      <w:pPr>
        <w:tabs>
          <w:tab w:val="num" w:pos="2340"/>
        </w:tabs>
        <w:ind w:left="2340" w:hanging="360"/>
      </w:pPr>
      <w:rPr>
        <w:b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CC850F9"/>
    <w:multiLevelType w:val="hybridMultilevel"/>
    <w:tmpl w:val="4D9CA9C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4DCC6114"/>
    <w:multiLevelType w:val="hybridMultilevel"/>
    <w:tmpl w:val="78B07E88"/>
    <w:lvl w:ilvl="0" w:tplc="0809000F">
      <w:start w:val="15"/>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2A423F8"/>
    <w:multiLevelType w:val="hybridMultilevel"/>
    <w:tmpl w:val="00400BC4"/>
    <w:lvl w:ilvl="0" w:tplc="D7462532">
      <w:start w:val="1"/>
      <w:numFmt w:val="decimal"/>
      <w:lvlText w:val="%1."/>
      <w:lvlJc w:val="left"/>
      <w:pPr>
        <w:tabs>
          <w:tab w:val="num" w:pos="900"/>
        </w:tabs>
        <w:ind w:left="900" w:hanging="360"/>
      </w:pPr>
      <w:rPr>
        <w:rFonts w:ascii="Book Antiqua" w:hAnsi="Book Antiqua" w:hint="default"/>
        <w:b w:val="0"/>
        <w:i w:val="0"/>
        <w:sz w:val="24"/>
        <w:szCs w:val="24"/>
      </w:rPr>
    </w:lvl>
    <w:lvl w:ilvl="1" w:tplc="0809000F">
      <w:start w:val="1"/>
      <w:numFmt w:val="decimal"/>
      <w:lvlText w:val="%2."/>
      <w:lvlJc w:val="left"/>
      <w:pPr>
        <w:tabs>
          <w:tab w:val="num" w:pos="1800"/>
        </w:tabs>
        <w:ind w:left="1800" w:hanging="360"/>
      </w:pPr>
      <w:rPr>
        <w:rFonts w:hint="default"/>
        <w:b w:val="0"/>
        <w:sz w:val="24"/>
        <w:szCs w:val="24"/>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4" w15:restartNumberingAfterBreak="0">
    <w:nsid w:val="538E43B1"/>
    <w:multiLevelType w:val="hybridMultilevel"/>
    <w:tmpl w:val="1FE88E96"/>
    <w:lvl w:ilvl="0" w:tplc="0809000F">
      <w:start w:val="1"/>
      <w:numFmt w:val="decimal"/>
      <w:lvlText w:val="%1."/>
      <w:lvlJc w:val="left"/>
      <w:pPr>
        <w:ind w:left="1260" w:hanging="360"/>
      </w:p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15" w15:restartNumberingAfterBreak="0">
    <w:nsid w:val="5DD50FA9"/>
    <w:multiLevelType w:val="hybridMultilevel"/>
    <w:tmpl w:val="297CC686"/>
    <w:lvl w:ilvl="0" w:tplc="68E20ED2">
      <w:start w:val="134"/>
      <w:numFmt w:val="decimal"/>
      <w:lvlText w:val="%1."/>
      <w:lvlJc w:val="left"/>
      <w:pPr>
        <w:tabs>
          <w:tab w:val="num" w:pos="1665"/>
        </w:tabs>
        <w:ind w:left="1665" w:hanging="585"/>
      </w:pPr>
      <w:rPr>
        <w:rFonts w:hint="default"/>
      </w:rPr>
    </w:lvl>
    <w:lvl w:ilvl="1" w:tplc="0809000F">
      <w:start w:val="1"/>
      <w:numFmt w:val="decimal"/>
      <w:lvlText w:val="%2."/>
      <w:lvlJc w:val="left"/>
      <w:pPr>
        <w:tabs>
          <w:tab w:val="num" w:pos="2160"/>
        </w:tabs>
        <w:ind w:left="2160" w:hanging="36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6" w15:restartNumberingAfterBreak="0">
    <w:nsid w:val="691925C9"/>
    <w:multiLevelType w:val="hybridMultilevel"/>
    <w:tmpl w:val="CDA4A246"/>
    <w:lvl w:ilvl="0" w:tplc="719CC770">
      <w:start w:val="1"/>
      <w:numFmt w:val="decimal"/>
      <w:lvlText w:val="%1."/>
      <w:lvlJc w:val="left"/>
      <w:pPr>
        <w:tabs>
          <w:tab w:val="num" w:pos="1080"/>
        </w:tabs>
        <w:ind w:left="1080" w:hanging="360"/>
      </w:pPr>
      <w:rPr>
        <w:b w:val="0"/>
      </w:rPr>
    </w:lvl>
    <w:lvl w:ilvl="1" w:tplc="0809000F">
      <w:start w:val="1"/>
      <w:numFmt w:val="decimal"/>
      <w:lvlText w:val="%2."/>
      <w:lvlJc w:val="left"/>
      <w:pPr>
        <w:tabs>
          <w:tab w:val="num" w:pos="1800"/>
        </w:tabs>
        <w:ind w:left="1800" w:hanging="360"/>
      </w:pPr>
      <w:rPr>
        <w:b w:val="0"/>
      </w:r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7" w15:restartNumberingAfterBreak="0">
    <w:nsid w:val="71B73D5F"/>
    <w:multiLevelType w:val="hybridMultilevel"/>
    <w:tmpl w:val="D6D68C9E"/>
    <w:lvl w:ilvl="0" w:tplc="F79CD1EC">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73B417F0"/>
    <w:multiLevelType w:val="hybridMultilevel"/>
    <w:tmpl w:val="14A41C40"/>
    <w:lvl w:ilvl="0" w:tplc="08090001">
      <w:start w:val="1"/>
      <w:numFmt w:val="bullet"/>
      <w:lvlText w:val=""/>
      <w:lvlJc w:val="left"/>
      <w:pPr>
        <w:ind w:left="1320" w:hanging="360"/>
      </w:pPr>
      <w:rPr>
        <w:rFonts w:ascii="Symbol" w:hAnsi="Symbol" w:hint="default"/>
      </w:rPr>
    </w:lvl>
    <w:lvl w:ilvl="1" w:tplc="08090003" w:tentative="1">
      <w:start w:val="1"/>
      <w:numFmt w:val="bullet"/>
      <w:lvlText w:val="o"/>
      <w:lvlJc w:val="left"/>
      <w:pPr>
        <w:ind w:left="2040" w:hanging="360"/>
      </w:pPr>
      <w:rPr>
        <w:rFonts w:ascii="Courier New" w:hAnsi="Courier New" w:cs="Courier New" w:hint="default"/>
      </w:rPr>
    </w:lvl>
    <w:lvl w:ilvl="2" w:tplc="08090005" w:tentative="1">
      <w:start w:val="1"/>
      <w:numFmt w:val="bullet"/>
      <w:lvlText w:val=""/>
      <w:lvlJc w:val="left"/>
      <w:pPr>
        <w:ind w:left="2760" w:hanging="360"/>
      </w:pPr>
      <w:rPr>
        <w:rFonts w:ascii="Wingdings" w:hAnsi="Wingdings" w:hint="default"/>
      </w:rPr>
    </w:lvl>
    <w:lvl w:ilvl="3" w:tplc="08090001" w:tentative="1">
      <w:start w:val="1"/>
      <w:numFmt w:val="bullet"/>
      <w:lvlText w:val=""/>
      <w:lvlJc w:val="left"/>
      <w:pPr>
        <w:ind w:left="3480" w:hanging="360"/>
      </w:pPr>
      <w:rPr>
        <w:rFonts w:ascii="Symbol" w:hAnsi="Symbol" w:hint="default"/>
      </w:rPr>
    </w:lvl>
    <w:lvl w:ilvl="4" w:tplc="08090003" w:tentative="1">
      <w:start w:val="1"/>
      <w:numFmt w:val="bullet"/>
      <w:lvlText w:val="o"/>
      <w:lvlJc w:val="left"/>
      <w:pPr>
        <w:ind w:left="4200" w:hanging="360"/>
      </w:pPr>
      <w:rPr>
        <w:rFonts w:ascii="Courier New" w:hAnsi="Courier New" w:cs="Courier New" w:hint="default"/>
      </w:rPr>
    </w:lvl>
    <w:lvl w:ilvl="5" w:tplc="08090005" w:tentative="1">
      <w:start w:val="1"/>
      <w:numFmt w:val="bullet"/>
      <w:lvlText w:val=""/>
      <w:lvlJc w:val="left"/>
      <w:pPr>
        <w:ind w:left="4920" w:hanging="360"/>
      </w:pPr>
      <w:rPr>
        <w:rFonts w:ascii="Wingdings" w:hAnsi="Wingdings" w:hint="default"/>
      </w:rPr>
    </w:lvl>
    <w:lvl w:ilvl="6" w:tplc="08090001" w:tentative="1">
      <w:start w:val="1"/>
      <w:numFmt w:val="bullet"/>
      <w:lvlText w:val=""/>
      <w:lvlJc w:val="left"/>
      <w:pPr>
        <w:ind w:left="5640" w:hanging="360"/>
      </w:pPr>
      <w:rPr>
        <w:rFonts w:ascii="Symbol" w:hAnsi="Symbol" w:hint="default"/>
      </w:rPr>
    </w:lvl>
    <w:lvl w:ilvl="7" w:tplc="08090003" w:tentative="1">
      <w:start w:val="1"/>
      <w:numFmt w:val="bullet"/>
      <w:lvlText w:val="o"/>
      <w:lvlJc w:val="left"/>
      <w:pPr>
        <w:ind w:left="6360" w:hanging="360"/>
      </w:pPr>
      <w:rPr>
        <w:rFonts w:ascii="Courier New" w:hAnsi="Courier New" w:cs="Courier New" w:hint="default"/>
      </w:rPr>
    </w:lvl>
    <w:lvl w:ilvl="8" w:tplc="08090005" w:tentative="1">
      <w:start w:val="1"/>
      <w:numFmt w:val="bullet"/>
      <w:lvlText w:val=""/>
      <w:lvlJc w:val="left"/>
      <w:pPr>
        <w:ind w:left="7080" w:hanging="360"/>
      </w:pPr>
      <w:rPr>
        <w:rFonts w:ascii="Wingdings" w:hAnsi="Wingdings" w:hint="default"/>
      </w:rPr>
    </w:lvl>
  </w:abstractNum>
  <w:abstractNum w:abstractNumId="19" w15:restartNumberingAfterBreak="0">
    <w:nsid w:val="75D70B9F"/>
    <w:multiLevelType w:val="multilevel"/>
    <w:tmpl w:val="4D52C604"/>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3207"/>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625"/>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6043"/>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abstractNum w:abstractNumId="20" w15:restartNumberingAfterBreak="0">
    <w:nsid w:val="76EE5272"/>
    <w:multiLevelType w:val="hybridMultilevel"/>
    <w:tmpl w:val="D1F64706"/>
    <w:lvl w:ilvl="0" w:tplc="FFFFFFF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21F40E42">
      <w:start w:val="1"/>
      <w:numFmt w:val="lowerRoman"/>
      <w:lvlText w:val="(%4)"/>
      <w:lvlJc w:val="left"/>
      <w:pPr>
        <w:ind w:left="3240" w:hanging="720"/>
      </w:pPr>
      <w:rPr>
        <w:rFonts w:cs="Times New Roman"/>
      </w:rPr>
    </w:lvl>
    <w:lvl w:ilvl="4" w:tplc="3D38E72E">
      <w:start w:val="1"/>
      <w:numFmt w:val="lowerRoman"/>
      <w:lvlText w:val="(%5)"/>
      <w:lvlJc w:val="left"/>
      <w:pPr>
        <w:ind w:left="3960" w:hanging="720"/>
      </w:pPr>
      <w:rPr>
        <w:rFonts w:ascii="Calibri" w:eastAsia="Times New Roman" w:hAnsi="Calibri"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1" w15:restartNumberingAfterBreak="0">
    <w:nsid w:val="7C0A57A5"/>
    <w:multiLevelType w:val="hybridMultilevel"/>
    <w:tmpl w:val="568EF21A"/>
    <w:lvl w:ilvl="0" w:tplc="321A8EA4">
      <w:start w:val="16"/>
      <w:numFmt w:val="decimal"/>
      <w:lvlText w:val="%1."/>
      <w:lvlJc w:val="left"/>
      <w:pPr>
        <w:tabs>
          <w:tab w:val="num" w:pos="720"/>
        </w:tabs>
        <w:ind w:left="720" w:hanging="360"/>
      </w:pPr>
      <w:rPr>
        <w:rFonts w:hint="default"/>
      </w:rPr>
    </w:lvl>
    <w:lvl w:ilvl="1" w:tplc="B5843D3A" w:tentative="1">
      <w:start w:val="1"/>
      <w:numFmt w:val="lowerLetter"/>
      <w:lvlText w:val="%2."/>
      <w:lvlJc w:val="left"/>
      <w:pPr>
        <w:tabs>
          <w:tab w:val="num" w:pos="1440"/>
        </w:tabs>
        <w:ind w:left="1440" w:hanging="360"/>
      </w:pPr>
    </w:lvl>
    <w:lvl w:ilvl="2" w:tplc="4AC83E68" w:tentative="1">
      <w:start w:val="1"/>
      <w:numFmt w:val="lowerRoman"/>
      <w:lvlText w:val="%3."/>
      <w:lvlJc w:val="right"/>
      <w:pPr>
        <w:tabs>
          <w:tab w:val="num" w:pos="2160"/>
        </w:tabs>
        <w:ind w:left="2160" w:hanging="180"/>
      </w:pPr>
    </w:lvl>
    <w:lvl w:ilvl="3" w:tplc="72080E62" w:tentative="1">
      <w:start w:val="1"/>
      <w:numFmt w:val="decimal"/>
      <w:lvlText w:val="%4."/>
      <w:lvlJc w:val="left"/>
      <w:pPr>
        <w:tabs>
          <w:tab w:val="num" w:pos="2880"/>
        </w:tabs>
        <w:ind w:left="2880" w:hanging="360"/>
      </w:pPr>
    </w:lvl>
    <w:lvl w:ilvl="4" w:tplc="3992E1BE" w:tentative="1">
      <w:start w:val="1"/>
      <w:numFmt w:val="lowerLetter"/>
      <w:lvlText w:val="%5."/>
      <w:lvlJc w:val="left"/>
      <w:pPr>
        <w:tabs>
          <w:tab w:val="num" w:pos="3600"/>
        </w:tabs>
        <w:ind w:left="3600" w:hanging="360"/>
      </w:pPr>
    </w:lvl>
    <w:lvl w:ilvl="5" w:tplc="F01049F0" w:tentative="1">
      <w:start w:val="1"/>
      <w:numFmt w:val="lowerRoman"/>
      <w:lvlText w:val="%6."/>
      <w:lvlJc w:val="right"/>
      <w:pPr>
        <w:tabs>
          <w:tab w:val="num" w:pos="4320"/>
        </w:tabs>
        <w:ind w:left="4320" w:hanging="180"/>
      </w:pPr>
    </w:lvl>
    <w:lvl w:ilvl="6" w:tplc="E5A0CEC2" w:tentative="1">
      <w:start w:val="1"/>
      <w:numFmt w:val="decimal"/>
      <w:lvlText w:val="%7."/>
      <w:lvlJc w:val="left"/>
      <w:pPr>
        <w:tabs>
          <w:tab w:val="num" w:pos="5040"/>
        </w:tabs>
        <w:ind w:left="5040" w:hanging="360"/>
      </w:pPr>
    </w:lvl>
    <w:lvl w:ilvl="7" w:tplc="758ACB18" w:tentative="1">
      <w:start w:val="1"/>
      <w:numFmt w:val="lowerLetter"/>
      <w:lvlText w:val="%8."/>
      <w:lvlJc w:val="left"/>
      <w:pPr>
        <w:tabs>
          <w:tab w:val="num" w:pos="5760"/>
        </w:tabs>
        <w:ind w:left="5760" w:hanging="360"/>
      </w:pPr>
    </w:lvl>
    <w:lvl w:ilvl="8" w:tplc="EF0E9710"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11"/>
  </w:num>
  <w:num w:numId="4">
    <w:abstractNumId w:val="21"/>
  </w:num>
  <w:num w:numId="5">
    <w:abstractNumId w:val="12"/>
  </w:num>
  <w:num w:numId="6">
    <w:abstractNumId w:val="13"/>
  </w:num>
  <w:num w:numId="7">
    <w:abstractNumId w:val="16"/>
  </w:num>
  <w:num w:numId="8">
    <w:abstractNumId w:val="5"/>
  </w:num>
  <w:num w:numId="9">
    <w:abstractNumId w:val="0"/>
  </w:num>
  <w:num w:numId="10">
    <w:abstractNumId w:val="2"/>
  </w:num>
  <w:num w:numId="11">
    <w:abstractNumId w:val="6"/>
  </w:num>
  <w:num w:numId="12">
    <w:abstractNumId w:val="17"/>
  </w:num>
  <w:num w:numId="13">
    <w:abstractNumId w:val="9"/>
  </w:num>
  <w:num w:numId="14">
    <w:abstractNumId w:val="15"/>
  </w:num>
  <w:num w:numId="15">
    <w:abstractNumId w:val="19"/>
  </w:num>
  <w:num w:numId="16">
    <w:abstractNumId w:val="1"/>
  </w:num>
  <w:num w:numId="17">
    <w:abstractNumId w:val="18"/>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7"/>
  </w:num>
  <w:num w:numId="21">
    <w:abstractNumId w:val="3"/>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8DA"/>
    <w:rsid w:val="00002A43"/>
    <w:rsid w:val="00006C9B"/>
    <w:rsid w:val="0001794A"/>
    <w:rsid w:val="00017BF4"/>
    <w:rsid w:val="00021673"/>
    <w:rsid w:val="00024D15"/>
    <w:rsid w:val="000253D2"/>
    <w:rsid w:val="000257B5"/>
    <w:rsid w:val="00025A92"/>
    <w:rsid w:val="00027BAD"/>
    <w:rsid w:val="00040935"/>
    <w:rsid w:val="00041A3D"/>
    <w:rsid w:val="0004454B"/>
    <w:rsid w:val="000469D5"/>
    <w:rsid w:val="00046E99"/>
    <w:rsid w:val="000473B5"/>
    <w:rsid w:val="00047B1F"/>
    <w:rsid w:val="00052675"/>
    <w:rsid w:val="000526FD"/>
    <w:rsid w:val="00053127"/>
    <w:rsid w:val="0005398E"/>
    <w:rsid w:val="000542AB"/>
    <w:rsid w:val="000547D6"/>
    <w:rsid w:val="00054A53"/>
    <w:rsid w:val="00054DA2"/>
    <w:rsid w:val="00056402"/>
    <w:rsid w:val="000568C4"/>
    <w:rsid w:val="0005718B"/>
    <w:rsid w:val="00060CD7"/>
    <w:rsid w:val="00060DDA"/>
    <w:rsid w:val="00066F65"/>
    <w:rsid w:val="0006773C"/>
    <w:rsid w:val="00070BEA"/>
    <w:rsid w:val="00070DB8"/>
    <w:rsid w:val="00071793"/>
    <w:rsid w:val="00071891"/>
    <w:rsid w:val="00074418"/>
    <w:rsid w:val="00074C9B"/>
    <w:rsid w:val="0007585B"/>
    <w:rsid w:val="0007694C"/>
    <w:rsid w:val="00077434"/>
    <w:rsid w:val="00077CBF"/>
    <w:rsid w:val="00083BCB"/>
    <w:rsid w:val="00084B18"/>
    <w:rsid w:val="00084F81"/>
    <w:rsid w:val="00085097"/>
    <w:rsid w:val="00086D5A"/>
    <w:rsid w:val="00090B97"/>
    <w:rsid w:val="000910D4"/>
    <w:rsid w:val="00091963"/>
    <w:rsid w:val="0009231E"/>
    <w:rsid w:val="00094529"/>
    <w:rsid w:val="000945AB"/>
    <w:rsid w:val="000945B5"/>
    <w:rsid w:val="0009463F"/>
    <w:rsid w:val="000950FA"/>
    <w:rsid w:val="000A0237"/>
    <w:rsid w:val="000A027D"/>
    <w:rsid w:val="000A050C"/>
    <w:rsid w:val="000A2327"/>
    <w:rsid w:val="000A319C"/>
    <w:rsid w:val="000A32AC"/>
    <w:rsid w:val="000A62D0"/>
    <w:rsid w:val="000A734C"/>
    <w:rsid w:val="000A7797"/>
    <w:rsid w:val="000B1B45"/>
    <w:rsid w:val="000B2181"/>
    <w:rsid w:val="000B45CF"/>
    <w:rsid w:val="000B5ACD"/>
    <w:rsid w:val="000B62F4"/>
    <w:rsid w:val="000B769E"/>
    <w:rsid w:val="000B7FB3"/>
    <w:rsid w:val="000C59E8"/>
    <w:rsid w:val="000C5CA6"/>
    <w:rsid w:val="000C7DE2"/>
    <w:rsid w:val="000D3CDC"/>
    <w:rsid w:val="000D785E"/>
    <w:rsid w:val="000D7F74"/>
    <w:rsid w:val="000E078C"/>
    <w:rsid w:val="000E08FB"/>
    <w:rsid w:val="000E0AC2"/>
    <w:rsid w:val="000E1760"/>
    <w:rsid w:val="000E1C6A"/>
    <w:rsid w:val="000E58D8"/>
    <w:rsid w:val="000E7228"/>
    <w:rsid w:val="000E729A"/>
    <w:rsid w:val="000F11A2"/>
    <w:rsid w:val="000F239D"/>
    <w:rsid w:val="000F2E14"/>
    <w:rsid w:val="000F2FB6"/>
    <w:rsid w:val="00100102"/>
    <w:rsid w:val="001004E8"/>
    <w:rsid w:val="00101043"/>
    <w:rsid w:val="001019E4"/>
    <w:rsid w:val="00101CDB"/>
    <w:rsid w:val="001032AD"/>
    <w:rsid w:val="00103788"/>
    <w:rsid w:val="001049AD"/>
    <w:rsid w:val="00105B6F"/>
    <w:rsid w:val="00107728"/>
    <w:rsid w:val="0011068C"/>
    <w:rsid w:val="00110ADD"/>
    <w:rsid w:val="001123A8"/>
    <w:rsid w:val="00113F2E"/>
    <w:rsid w:val="0011581E"/>
    <w:rsid w:val="001178DD"/>
    <w:rsid w:val="00117C2A"/>
    <w:rsid w:val="0012054B"/>
    <w:rsid w:val="00121E2F"/>
    <w:rsid w:val="00124E15"/>
    <w:rsid w:val="001253B3"/>
    <w:rsid w:val="001302B2"/>
    <w:rsid w:val="001309E3"/>
    <w:rsid w:val="001334CD"/>
    <w:rsid w:val="00133CB8"/>
    <w:rsid w:val="00133E99"/>
    <w:rsid w:val="001345A0"/>
    <w:rsid w:val="001356AD"/>
    <w:rsid w:val="001368E0"/>
    <w:rsid w:val="00136DC1"/>
    <w:rsid w:val="00140045"/>
    <w:rsid w:val="00140D0F"/>
    <w:rsid w:val="001459E1"/>
    <w:rsid w:val="00151749"/>
    <w:rsid w:val="00154905"/>
    <w:rsid w:val="00156C70"/>
    <w:rsid w:val="00157A94"/>
    <w:rsid w:val="00160540"/>
    <w:rsid w:val="00162E08"/>
    <w:rsid w:val="00162F4F"/>
    <w:rsid w:val="00164A8A"/>
    <w:rsid w:val="0016598E"/>
    <w:rsid w:val="00165D04"/>
    <w:rsid w:val="00166D7B"/>
    <w:rsid w:val="00167524"/>
    <w:rsid w:val="00173843"/>
    <w:rsid w:val="0017402A"/>
    <w:rsid w:val="001762C8"/>
    <w:rsid w:val="00177BE4"/>
    <w:rsid w:val="0018008C"/>
    <w:rsid w:val="001828A8"/>
    <w:rsid w:val="00182C6E"/>
    <w:rsid w:val="0018591C"/>
    <w:rsid w:val="0019110E"/>
    <w:rsid w:val="00191445"/>
    <w:rsid w:val="0019170A"/>
    <w:rsid w:val="00191829"/>
    <w:rsid w:val="00192228"/>
    <w:rsid w:val="00192D55"/>
    <w:rsid w:val="00194B87"/>
    <w:rsid w:val="00194DC3"/>
    <w:rsid w:val="00195195"/>
    <w:rsid w:val="001A2333"/>
    <w:rsid w:val="001A2A7A"/>
    <w:rsid w:val="001A2C99"/>
    <w:rsid w:val="001A5737"/>
    <w:rsid w:val="001A5993"/>
    <w:rsid w:val="001A5A51"/>
    <w:rsid w:val="001A793F"/>
    <w:rsid w:val="001B0491"/>
    <w:rsid w:val="001B5883"/>
    <w:rsid w:val="001B5C94"/>
    <w:rsid w:val="001B6D84"/>
    <w:rsid w:val="001B7047"/>
    <w:rsid w:val="001B7CCF"/>
    <w:rsid w:val="001C15D5"/>
    <w:rsid w:val="001C2FDE"/>
    <w:rsid w:val="001C6013"/>
    <w:rsid w:val="001C681B"/>
    <w:rsid w:val="001C7193"/>
    <w:rsid w:val="001C7D06"/>
    <w:rsid w:val="001D1B78"/>
    <w:rsid w:val="001D44EB"/>
    <w:rsid w:val="001D4EB6"/>
    <w:rsid w:val="001D5614"/>
    <w:rsid w:val="001D5FBD"/>
    <w:rsid w:val="001D6604"/>
    <w:rsid w:val="001E315F"/>
    <w:rsid w:val="001E43E6"/>
    <w:rsid w:val="001E4C7C"/>
    <w:rsid w:val="001F0072"/>
    <w:rsid w:val="001F08DC"/>
    <w:rsid w:val="001F19CE"/>
    <w:rsid w:val="001F2234"/>
    <w:rsid w:val="001F33D0"/>
    <w:rsid w:val="001F508E"/>
    <w:rsid w:val="001F7017"/>
    <w:rsid w:val="002010DC"/>
    <w:rsid w:val="00202F77"/>
    <w:rsid w:val="002049ED"/>
    <w:rsid w:val="00204CE1"/>
    <w:rsid w:val="00205591"/>
    <w:rsid w:val="00205D8F"/>
    <w:rsid w:val="00205FCB"/>
    <w:rsid w:val="00206380"/>
    <w:rsid w:val="00206E81"/>
    <w:rsid w:val="00212F57"/>
    <w:rsid w:val="00214723"/>
    <w:rsid w:val="00215132"/>
    <w:rsid w:val="002158E3"/>
    <w:rsid w:val="00216246"/>
    <w:rsid w:val="00216757"/>
    <w:rsid w:val="0021694D"/>
    <w:rsid w:val="00217ED2"/>
    <w:rsid w:val="00220C12"/>
    <w:rsid w:val="002212FD"/>
    <w:rsid w:val="002249C8"/>
    <w:rsid w:val="00224F62"/>
    <w:rsid w:val="0022542D"/>
    <w:rsid w:val="00225E57"/>
    <w:rsid w:val="0022644C"/>
    <w:rsid w:val="00226B69"/>
    <w:rsid w:val="00226C7E"/>
    <w:rsid w:val="00227139"/>
    <w:rsid w:val="00230CD3"/>
    <w:rsid w:val="00230F56"/>
    <w:rsid w:val="0023124B"/>
    <w:rsid w:val="00232411"/>
    <w:rsid w:val="0023262C"/>
    <w:rsid w:val="00233824"/>
    <w:rsid w:val="00233A07"/>
    <w:rsid w:val="00233A5D"/>
    <w:rsid w:val="00233D27"/>
    <w:rsid w:val="002342D8"/>
    <w:rsid w:val="00234A6E"/>
    <w:rsid w:val="00234F6F"/>
    <w:rsid w:val="0023790B"/>
    <w:rsid w:val="00240E88"/>
    <w:rsid w:val="002415D3"/>
    <w:rsid w:val="0024197F"/>
    <w:rsid w:val="00241D9C"/>
    <w:rsid w:val="00242907"/>
    <w:rsid w:val="0024405B"/>
    <w:rsid w:val="00244175"/>
    <w:rsid w:val="00244A3B"/>
    <w:rsid w:val="00245282"/>
    <w:rsid w:val="00246C1B"/>
    <w:rsid w:val="00247053"/>
    <w:rsid w:val="00250939"/>
    <w:rsid w:val="00252924"/>
    <w:rsid w:val="00255F6C"/>
    <w:rsid w:val="00257C8E"/>
    <w:rsid w:val="00257F3F"/>
    <w:rsid w:val="00260692"/>
    <w:rsid w:val="00261307"/>
    <w:rsid w:val="00262F40"/>
    <w:rsid w:val="00264B9C"/>
    <w:rsid w:val="00265416"/>
    <w:rsid w:val="00270300"/>
    <w:rsid w:val="00271F0F"/>
    <w:rsid w:val="0027398E"/>
    <w:rsid w:val="00274992"/>
    <w:rsid w:val="00274AA6"/>
    <w:rsid w:val="00275626"/>
    <w:rsid w:val="002758DA"/>
    <w:rsid w:val="00275BA8"/>
    <w:rsid w:val="0027727D"/>
    <w:rsid w:val="002777A9"/>
    <w:rsid w:val="00280946"/>
    <w:rsid w:val="00280B45"/>
    <w:rsid w:val="00280CEC"/>
    <w:rsid w:val="0028193D"/>
    <w:rsid w:val="00281EC6"/>
    <w:rsid w:val="002831AE"/>
    <w:rsid w:val="00283D91"/>
    <w:rsid w:val="00286FAE"/>
    <w:rsid w:val="00287160"/>
    <w:rsid w:val="00287D7A"/>
    <w:rsid w:val="002902BC"/>
    <w:rsid w:val="00290AF3"/>
    <w:rsid w:val="0029156C"/>
    <w:rsid w:val="00293876"/>
    <w:rsid w:val="00294F2C"/>
    <w:rsid w:val="0029764F"/>
    <w:rsid w:val="002A01F1"/>
    <w:rsid w:val="002A301F"/>
    <w:rsid w:val="002A54E3"/>
    <w:rsid w:val="002A5A0A"/>
    <w:rsid w:val="002A6E57"/>
    <w:rsid w:val="002A7B80"/>
    <w:rsid w:val="002A7C4D"/>
    <w:rsid w:val="002A7ECB"/>
    <w:rsid w:val="002B10FE"/>
    <w:rsid w:val="002B145C"/>
    <w:rsid w:val="002B38CA"/>
    <w:rsid w:val="002B764D"/>
    <w:rsid w:val="002C02D4"/>
    <w:rsid w:val="002C12F7"/>
    <w:rsid w:val="002C166D"/>
    <w:rsid w:val="002C1942"/>
    <w:rsid w:val="002C24E5"/>
    <w:rsid w:val="002C2E88"/>
    <w:rsid w:val="002C33EB"/>
    <w:rsid w:val="002C5B60"/>
    <w:rsid w:val="002D0CA7"/>
    <w:rsid w:val="002D38CC"/>
    <w:rsid w:val="002D630C"/>
    <w:rsid w:val="002D7467"/>
    <w:rsid w:val="002D7C54"/>
    <w:rsid w:val="002E0B79"/>
    <w:rsid w:val="002E0F89"/>
    <w:rsid w:val="002E1C25"/>
    <w:rsid w:val="002E2554"/>
    <w:rsid w:val="002E446F"/>
    <w:rsid w:val="002E58BD"/>
    <w:rsid w:val="002F24BE"/>
    <w:rsid w:val="002F5267"/>
    <w:rsid w:val="002F54AC"/>
    <w:rsid w:val="002F5DAA"/>
    <w:rsid w:val="002F680D"/>
    <w:rsid w:val="002F7263"/>
    <w:rsid w:val="003007D2"/>
    <w:rsid w:val="0030171C"/>
    <w:rsid w:val="00301990"/>
    <w:rsid w:val="00302BE4"/>
    <w:rsid w:val="00305CA3"/>
    <w:rsid w:val="00311029"/>
    <w:rsid w:val="00313F53"/>
    <w:rsid w:val="00315F69"/>
    <w:rsid w:val="00316B0D"/>
    <w:rsid w:val="00317189"/>
    <w:rsid w:val="003228EF"/>
    <w:rsid w:val="003243A2"/>
    <w:rsid w:val="00326729"/>
    <w:rsid w:val="0033019B"/>
    <w:rsid w:val="00331982"/>
    <w:rsid w:val="00331C50"/>
    <w:rsid w:val="00332AC1"/>
    <w:rsid w:val="00333A4F"/>
    <w:rsid w:val="003375B0"/>
    <w:rsid w:val="00340637"/>
    <w:rsid w:val="00353085"/>
    <w:rsid w:val="0035581E"/>
    <w:rsid w:val="0035743B"/>
    <w:rsid w:val="003600E9"/>
    <w:rsid w:val="0036025D"/>
    <w:rsid w:val="00360B98"/>
    <w:rsid w:val="00360FF3"/>
    <w:rsid w:val="00361324"/>
    <w:rsid w:val="00363CA2"/>
    <w:rsid w:val="00365DD1"/>
    <w:rsid w:val="003665CD"/>
    <w:rsid w:val="00366D3F"/>
    <w:rsid w:val="003678A8"/>
    <w:rsid w:val="00370046"/>
    <w:rsid w:val="003708E9"/>
    <w:rsid w:val="00370E87"/>
    <w:rsid w:val="00372B96"/>
    <w:rsid w:val="00382672"/>
    <w:rsid w:val="003839F5"/>
    <w:rsid w:val="00383A95"/>
    <w:rsid w:val="0038622B"/>
    <w:rsid w:val="00390277"/>
    <w:rsid w:val="003908A3"/>
    <w:rsid w:val="00390E6D"/>
    <w:rsid w:val="00391702"/>
    <w:rsid w:val="00391D6F"/>
    <w:rsid w:val="003945D8"/>
    <w:rsid w:val="00394E42"/>
    <w:rsid w:val="00395421"/>
    <w:rsid w:val="00397262"/>
    <w:rsid w:val="003976CF"/>
    <w:rsid w:val="003A07BB"/>
    <w:rsid w:val="003A471F"/>
    <w:rsid w:val="003A4A1E"/>
    <w:rsid w:val="003A6B52"/>
    <w:rsid w:val="003A6BDC"/>
    <w:rsid w:val="003A6E1A"/>
    <w:rsid w:val="003A6F75"/>
    <w:rsid w:val="003A7E13"/>
    <w:rsid w:val="003A7F46"/>
    <w:rsid w:val="003B0486"/>
    <w:rsid w:val="003B096A"/>
    <w:rsid w:val="003B0AE5"/>
    <w:rsid w:val="003B0ED9"/>
    <w:rsid w:val="003B7B82"/>
    <w:rsid w:val="003B7FE3"/>
    <w:rsid w:val="003C19B2"/>
    <w:rsid w:val="003C3AB3"/>
    <w:rsid w:val="003C403A"/>
    <w:rsid w:val="003C497B"/>
    <w:rsid w:val="003C57D4"/>
    <w:rsid w:val="003C7989"/>
    <w:rsid w:val="003C7D10"/>
    <w:rsid w:val="003D35DF"/>
    <w:rsid w:val="003D3613"/>
    <w:rsid w:val="003D3818"/>
    <w:rsid w:val="003D551F"/>
    <w:rsid w:val="003D5B09"/>
    <w:rsid w:val="003D7A22"/>
    <w:rsid w:val="003E4637"/>
    <w:rsid w:val="003E697E"/>
    <w:rsid w:val="003E7EC9"/>
    <w:rsid w:val="003F2A5E"/>
    <w:rsid w:val="003F2EDE"/>
    <w:rsid w:val="003F2FF6"/>
    <w:rsid w:val="003F4F00"/>
    <w:rsid w:val="003F52EC"/>
    <w:rsid w:val="003F555C"/>
    <w:rsid w:val="003F59A4"/>
    <w:rsid w:val="003F7459"/>
    <w:rsid w:val="003F7738"/>
    <w:rsid w:val="003F79E6"/>
    <w:rsid w:val="00403090"/>
    <w:rsid w:val="00404E5B"/>
    <w:rsid w:val="004060CD"/>
    <w:rsid w:val="00406BBE"/>
    <w:rsid w:val="004076EC"/>
    <w:rsid w:val="004104EA"/>
    <w:rsid w:val="00411262"/>
    <w:rsid w:val="00411793"/>
    <w:rsid w:val="004118FA"/>
    <w:rsid w:val="00412A5C"/>
    <w:rsid w:val="00413C8F"/>
    <w:rsid w:val="00413D27"/>
    <w:rsid w:val="0041453B"/>
    <w:rsid w:val="00415993"/>
    <w:rsid w:val="00415D3B"/>
    <w:rsid w:val="004165DD"/>
    <w:rsid w:val="004179BA"/>
    <w:rsid w:val="00420F49"/>
    <w:rsid w:val="00421431"/>
    <w:rsid w:val="00423639"/>
    <w:rsid w:val="004249AA"/>
    <w:rsid w:val="0042606E"/>
    <w:rsid w:val="00427607"/>
    <w:rsid w:val="00427882"/>
    <w:rsid w:val="00427FB5"/>
    <w:rsid w:val="004311DF"/>
    <w:rsid w:val="00431787"/>
    <w:rsid w:val="00433C5F"/>
    <w:rsid w:val="00436D28"/>
    <w:rsid w:val="00440E77"/>
    <w:rsid w:val="004419D8"/>
    <w:rsid w:val="004420D2"/>
    <w:rsid w:val="0044315B"/>
    <w:rsid w:val="0044369F"/>
    <w:rsid w:val="004439A5"/>
    <w:rsid w:val="00450599"/>
    <w:rsid w:val="0045210A"/>
    <w:rsid w:val="00453B9B"/>
    <w:rsid w:val="0045453A"/>
    <w:rsid w:val="00461354"/>
    <w:rsid w:val="004631E7"/>
    <w:rsid w:val="004636D8"/>
    <w:rsid w:val="004642B1"/>
    <w:rsid w:val="0046443B"/>
    <w:rsid w:val="00464E7D"/>
    <w:rsid w:val="00465138"/>
    <w:rsid w:val="00470622"/>
    <w:rsid w:val="00470A31"/>
    <w:rsid w:val="004711AE"/>
    <w:rsid w:val="004743BB"/>
    <w:rsid w:val="00474BAD"/>
    <w:rsid w:val="0047555E"/>
    <w:rsid w:val="00475F5F"/>
    <w:rsid w:val="00476E3A"/>
    <w:rsid w:val="00477A4A"/>
    <w:rsid w:val="00480A99"/>
    <w:rsid w:val="00480B99"/>
    <w:rsid w:val="00480E88"/>
    <w:rsid w:val="004828F1"/>
    <w:rsid w:val="0048467F"/>
    <w:rsid w:val="00485D0D"/>
    <w:rsid w:val="00486A14"/>
    <w:rsid w:val="00487C7A"/>
    <w:rsid w:val="00490A45"/>
    <w:rsid w:val="004921BB"/>
    <w:rsid w:val="004922B0"/>
    <w:rsid w:val="0049617B"/>
    <w:rsid w:val="004A0073"/>
    <w:rsid w:val="004A4570"/>
    <w:rsid w:val="004A55CD"/>
    <w:rsid w:val="004A695B"/>
    <w:rsid w:val="004A7DCD"/>
    <w:rsid w:val="004B0DDF"/>
    <w:rsid w:val="004B1320"/>
    <w:rsid w:val="004B1AA1"/>
    <w:rsid w:val="004B22C3"/>
    <w:rsid w:val="004B28DA"/>
    <w:rsid w:val="004B4702"/>
    <w:rsid w:val="004B6290"/>
    <w:rsid w:val="004B762A"/>
    <w:rsid w:val="004C0F1F"/>
    <w:rsid w:val="004C6E6E"/>
    <w:rsid w:val="004D18D5"/>
    <w:rsid w:val="004D27FF"/>
    <w:rsid w:val="004D3BD3"/>
    <w:rsid w:val="004D537A"/>
    <w:rsid w:val="004E057C"/>
    <w:rsid w:val="004E1474"/>
    <w:rsid w:val="004E1B59"/>
    <w:rsid w:val="004E1CFC"/>
    <w:rsid w:val="004E269E"/>
    <w:rsid w:val="004E38B0"/>
    <w:rsid w:val="004E5EA1"/>
    <w:rsid w:val="004F34E7"/>
    <w:rsid w:val="004F6AE2"/>
    <w:rsid w:val="004F6F42"/>
    <w:rsid w:val="00500C83"/>
    <w:rsid w:val="00501D0B"/>
    <w:rsid w:val="005033A5"/>
    <w:rsid w:val="00503427"/>
    <w:rsid w:val="005046A4"/>
    <w:rsid w:val="00506AF8"/>
    <w:rsid w:val="00506CA0"/>
    <w:rsid w:val="00512D5D"/>
    <w:rsid w:val="00514772"/>
    <w:rsid w:val="00516304"/>
    <w:rsid w:val="00516829"/>
    <w:rsid w:val="00517A7F"/>
    <w:rsid w:val="00517B2C"/>
    <w:rsid w:val="00522EE4"/>
    <w:rsid w:val="00526909"/>
    <w:rsid w:val="005315FD"/>
    <w:rsid w:val="00531BDA"/>
    <w:rsid w:val="00531EF6"/>
    <w:rsid w:val="00534CDE"/>
    <w:rsid w:val="00535D59"/>
    <w:rsid w:val="00535E1B"/>
    <w:rsid w:val="00543497"/>
    <w:rsid w:val="0054489F"/>
    <w:rsid w:val="00544949"/>
    <w:rsid w:val="005449DA"/>
    <w:rsid w:val="0054667C"/>
    <w:rsid w:val="0054768A"/>
    <w:rsid w:val="00550252"/>
    <w:rsid w:val="005505FC"/>
    <w:rsid w:val="00550E2C"/>
    <w:rsid w:val="00554265"/>
    <w:rsid w:val="00554395"/>
    <w:rsid w:val="0055530D"/>
    <w:rsid w:val="00555AF7"/>
    <w:rsid w:val="00556384"/>
    <w:rsid w:val="00556751"/>
    <w:rsid w:val="00560254"/>
    <w:rsid w:val="00560574"/>
    <w:rsid w:val="00560709"/>
    <w:rsid w:val="00560FF4"/>
    <w:rsid w:val="005638A6"/>
    <w:rsid w:val="00563D6F"/>
    <w:rsid w:val="00565591"/>
    <w:rsid w:val="00565989"/>
    <w:rsid w:val="00565BC7"/>
    <w:rsid w:val="005700A0"/>
    <w:rsid w:val="00570106"/>
    <w:rsid w:val="00570127"/>
    <w:rsid w:val="00574935"/>
    <w:rsid w:val="005764F1"/>
    <w:rsid w:val="00576AA6"/>
    <w:rsid w:val="00582175"/>
    <w:rsid w:val="00583B6C"/>
    <w:rsid w:val="00584568"/>
    <w:rsid w:val="0058578C"/>
    <w:rsid w:val="005867AF"/>
    <w:rsid w:val="0058683E"/>
    <w:rsid w:val="00587792"/>
    <w:rsid w:val="005914EC"/>
    <w:rsid w:val="0059366C"/>
    <w:rsid w:val="00593A8E"/>
    <w:rsid w:val="00594055"/>
    <w:rsid w:val="00596183"/>
    <w:rsid w:val="0059665D"/>
    <w:rsid w:val="005968A0"/>
    <w:rsid w:val="005A22E4"/>
    <w:rsid w:val="005A2B39"/>
    <w:rsid w:val="005A4749"/>
    <w:rsid w:val="005B14AF"/>
    <w:rsid w:val="005B1FDF"/>
    <w:rsid w:val="005B3531"/>
    <w:rsid w:val="005B473D"/>
    <w:rsid w:val="005B645A"/>
    <w:rsid w:val="005C15A4"/>
    <w:rsid w:val="005C2871"/>
    <w:rsid w:val="005C331C"/>
    <w:rsid w:val="005D6FE3"/>
    <w:rsid w:val="005E0922"/>
    <w:rsid w:val="005E0D29"/>
    <w:rsid w:val="005E2866"/>
    <w:rsid w:val="005E37A2"/>
    <w:rsid w:val="005E6078"/>
    <w:rsid w:val="005E6866"/>
    <w:rsid w:val="005F1A0E"/>
    <w:rsid w:val="005F24E2"/>
    <w:rsid w:val="005F27E9"/>
    <w:rsid w:val="005F2E1D"/>
    <w:rsid w:val="005F3467"/>
    <w:rsid w:val="005F3ED2"/>
    <w:rsid w:val="005F49EB"/>
    <w:rsid w:val="005F65F8"/>
    <w:rsid w:val="005F7FB5"/>
    <w:rsid w:val="006008E1"/>
    <w:rsid w:val="00600A20"/>
    <w:rsid w:val="00601133"/>
    <w:rsid w:val="00602065"/>
    <w:rsid w:val="006020BD"/>
    <w:rsid w:val="00603339"/>
    <w:rsid w:val="00613740"/>
    <w:rsid w:val="006140AE"/>
    <w:rsid w:val="00614B4D"/>
    <w:rsid w:val="0061578A"/>
    <w:rsid w:val="00620ACA"/>
    <w:rsid w:val="00623D5E"/>
    <w:rsid w:val="0062480B"/>
    <w:rsid w:val="006252ED"/>
    <w:rsid w:val="0062641A"/>
    <w:rsid w:val="0063379A"/>
    <w:rsid w:val="00633F26"/>
    <w:rsid w:val="00636410"/>
    <w:rsid w:val="00636760"/>
    <w:rsid w:val="006367F0"/>
    <w:rsid w:val="00636DF4"/>
    <w:rsid w:val="00637201"/>
    <w:rsid w:val="00640624"/>
    <w:rsid w:val="006408F4"/>
    <w:rsid w:val="00641551"/>
    <w:rsid w:val="0064170C"/>
    <w:rsid w:val="00643F8E"/>
    <w:rsid w:val="006443B8"/>
    <w:rsid w:val="00645FDC"/>
    <w:rsid w:val="00646EC5"/>
    <w:rsid w:val="00647418"/>
    <w:rsid w:val="00647BEC"/>
    <w:rsid w:val="00650162"/>
    <w:rsid w:val="00650FC2"/>
    <w:rsid w:val="006511BA"/>
    <w:rsid w:val="00651611"/>
    <w:rsid w:val="00653F9E"/>
    <w:rsid w:val="00654BB4"/>
    <w:rsid w:val="00661A94"/>
    <w:rsid w:val="00664CAB"/>
    <w:rsid w:val="0066694E"/>
    <w:rsid w:val="00666C66"/>
    <w:rsid w:val="006700C6"/>
    <w:rsid w:val="00670AEE"/>
    <w:rsid w:val="00672A59"/>
    <w:rsid w:val="0067332F"/>
    <w:rsid w:val="00673568"/>
    <w:rsid w:val="00675301"/>
    <w:rsid w:val="00676119"/>
    <w:rsid w:val="0067636C"/>
    <w:rsid w:val="00676EF2"/>
    <w:rsid w:val="0067774F"/>
    <w:rsid w:val="006823DA"/>
    <w:rsid w:val="00683022"/>
    <w:rsid w:val="00683A3F"/>
    <w:rsid w:val="0068516A"/>
    <w:rsid w:val="00685F83"/>
    <w:rsid w:val="0069102E"/>
    <w:rsid w:val="006963A1"/>
    <w:rsid w:val="00696BCA"/>
    <w:rsid w:val="006976DF"/>
    <w:rsid w:val="006A0242"/>
    <w:rsid w:val="006A104D"/>
    <w:rsid w:val="006A2057"/>
    <w:rsid w:val="006A2B8A"/>
    <w:rsid w:val="006A33FF"/>
    <w:rsid w:val="006A45A0"/>
    <w:rsid w:val="006A4E4F"/>
    <w:rsid w:val="006A532A"/>
    <w:rsid w:val="006A5FFF"/>
    <w:rsid w:val="006A74F8"/>
    <w:rsid w:val="006B01BA"/>
    <w:rsid w:val="006B2208"/>
    <w:rsid w:val="006B2A32"/>
    <w:rsid w:val="006B3DC1"/>
    <w:rsid w:val="006B5DD8"/>
    <w:rsid w:val="006B69E4"/>
    <w:rsid w:val="006C066A"/>
    <w:rsid w:val="006C1B59"/>
    <w:rsid w:val="006C26E2"/>
    <w:rsid w:val="006C3B94"/>
    <w:rsid w:val="006C3EEE"/>
    <w:rsid w:val="006C4F72"/>
    <w:rsid w:val="006C63EF"/>
    <w:rsid w:val="006D0E26"/>
    <w:rsid w:val="006D2F2A"/>
    <w:rsid w:val="006D7387"/>
    <w:rsid w:val="006E2F1B"/>
    <w:rsid w:val="006E480B"/>
    <w:rsid w:val="006E51F6"/>
    <w:rsid w:val="006E65DC"/>
    <w:rsid w:val="006E715B"/>
    <w:rsid w:val="006F1574"/>
    <w:rsid w:val="006F1575"/>
    <w:rsid w:val="006F38DC"/>
    <w:rsid w:val="006F39D2"/>
    <w:rsid w:val="006F5085"/>
    <w:rsid w:val="006F6CDC"/>
    <w:rsid w:val="006F79B4"/>
    <w:rsid w:val="00700006"/>
    <w:rsid w:val="007008EF"/>
    <w:rsid w:val="00701C1B"/>
    <w:rsid w:val="0070258B"/>
    <w:rsid w:val="00702DC7"/>
    <w:rsid w:val="007045C8"/>
    <w:rsid w:val="00704933"/>
    <w:rsid w:val="007061F9"/>
    <w:rsid w:val="0071019E"/>
    <w:rsid w:val="0071048B"/>
    <w:rsid w:val="007106F2"/>
    <w:rsid w:val="00714211"/>
    <w:rsid w:val="00714939"/>
    <w:rsid w:val="00714D0D"/>
    <w:rsid w:val="0071531D"/>
    <w:rsid w:val="00715629"/>
    <w:rsid w:val="00716CA1"/>
    <w:rsid w:val="007178C4"/>
    <w:rsid w:val="00720D8F"/>
    <w:rsid w:val="00720FC5"/>
    <w:rsid w:val="00721C98"/>
    <w:rsid w:val="00722223"/>
    <w:rsid w:val="00722E46"/>
    <w:rsid w:val="007252B4"/>
    <w:rsid w:val="0073095E"/>
    <w:rsid w:val="00730E79"/>
    <w:rsid w:val="007324A8"/>
    <w:rsid w:val="00732B63"/>
    <w:rsid w:val="007336A6"/>
    <w:rsid w:val="0073491A"/>
    <w:rsid w:val="00734CE9"/>
    <w:rsid w:val="007352CB"/>
    <w:rsid w:val="00735CC2"/>
    <w:rsid w:val="00736D0B"/>
    <w:rsid w:val="00737F51"/>
    <w:rsid w:val="00741811"/>
    <w:rsid w:val="00741B72"/>
    <w:rsid w:val="0074719B"/>
    <w:rsid w:val="007543EE"/>
    <w:rsid w:val="00755071"/>
    <w:rsid w:val="007563AD"/>
    <w:rsid w:val="00757BDB"/>
    <w:rsid w:val="0076226D"/>
    <w:rsid w:val="007642B7"/>
    <w:rsid w:val="00764335"/>
    <w:rsid w:val="0076532A"/>
    <w:rsid w:val="00765815"/>
    <w:rsid w:val="00765B17"/>
    <w:rsid w:val="00765F5B"/>
    <w:rsid w:val="00766E76"/>
    <w:rsid w:val="007671F3"/>
    <w:rsid w:val="007677BA"/>
    <w:rsid w:val="007756DA"/>
    <w:rsid w:val="00775DC9"/>
    <w:rsid w:val="00776017"/>
    <w:rsid w:val="00781F7F"/>
    <w:rsid w:val="0078208C"/>
    <w:rsid w:val="00785C72"/>
    <w:rsid w:val="00785E02"/>
    <w:rsid w:val="00787834"/>
    <w:rsid w:val="00794E77"/>
    <w:rsid w:val="007A06EC"/>
    <w:rsid w:val="007A0D2D"/>
    <w:rsid w:val="007A41C7"/>
    <w:rsid w:val="007A50C0"/>
    <w:rsid w:val="007A519F"/>
    <w:rsid w:val="007A57B5"/>
    <w:rsid w:val="007A6625"/>
    <w:rsid w:val="007A791C"/>
    <w:rsid w:val="007A7F5C"/>
    <w:rsid w:val="007B12C8"/>
    <w:rsid w:val="007B19A7"/>
    <w:rsid w:val="007B208A"/>
    <w:rsid w:val="007B21F8"/>
    <w:rsid w:val="007B26F8"/>
    <w:rsid w:val="007B6754"/>
    <w:rsid w:val="007B6E21"/>
    <w:rsid w:val="007C310A"/>
    <w:rsid w:val="007C4670"/>
    <w:rsid w:val="007C5449"/>
    <w:rsid w:val="007C5E94"/>
    <w:rsid w:val="007C6AEF"/>
    <w:rsid w:val="007C6BC5"/>
    <w:rsid w:val="007D0647"/>
    <w:rsid w:val="007D08ED"/>
    <w:rsid w:val="007D0FA6"/>
    <w:rsid w:val="007D1934"/>
    <w:rsid w:val="007D1A6F"/>
    <w:rsid w:val="007D1B3D"/>
    <w:rsid w:val="007D333B"/>
    <w:rsid w:val="007D3734"/>
    <w:rsid w:val="007D5345"/>
    <w:rsid w:val="007D63F5"/>
    <w:rsid w:val="007D6C86"/>
    <w:rsid w:val="007E05A3"/>
    <w:rsid w:val="007E0D2F"/>
    <w:rsid w:val="007E2F35"/>
    <w:rsid w:val="007E67F3"/>
    <w:rsid w:val="007F1A14"/>
    <w:rsid w:val="007F6695"/>
    <w:rsid w:val="007F6D8D"/>
    <w:rsid w:val="007F761F"/>
    <w:rsid w:val="0080465D"/>
    <w:rsid w:val="00805D56"/>
    <w:rsid w:val="00807476"/>
    <w:rsid w:val="0081009B"/>
    <w:rsid w:val="008106CC"/>
    <w:rsid w:val="00810C65"/>
    <w:rsid w:val="00815AEB"/>
    <w:rsid w:val="00816D35"/>
    <w:rsid w:val="00816EF5"/>
    <w:rsid w:val="008200B1"/>
    <w:rsid w:val="008203D4"/>
    <w:rsid w:val="00820DC5"/>
    <w:rsid w:val="00821364"/>
    <w:rsid w:val="00823A84"/>
    <w:rsid w:val="00823D24"/>
    <w:rsid w:val="00826831"/>
    <w:rsid w:val="00826A2B"/>
    <w:rsid w:val="008274FA"/>
    <w:rsid w:val="00827C6A"/>
    <w:rsid w:val="008300E0"/>
    <w:rsid w:val="00831FA5"/>
    <w:rsid w:val="00834828"/>
    <w:rsid w:val="00834A2E"/>
    <w:rsid w:val="00842DB9"/>
    <w:rsid w:val="0084305F"/>
    <w:rsid w:val="008437EB"/>
    <w:rsid w:val="00844303"/>
    <w:rsid w:val="00845060"/>
    <w:rsid w:val="0084634D"/>
    <w:rsid w:val="00846D43"/>
    <w:rsid w:val="00853270"/>
    <w:rsid w:val="00854025"/>
    <w:rsid w:val="00854BBD"/>
    <w:rsid w:val="008550E1"/>
    <w:rsid w:val="008556EE"/>
    <w:rsid w:val="00860AD8"/>
    <w:rsid w:val="00861044"/>
    <w:rsid w:val="008640B8"/>
    <w:rsid w:val="008659C5"/>
    <w:rsid w:val="00865D43"/>
    <w:rsid w:val="00865F39"/>
    <w:rsid w:val="00870D65"/>
    <w:rsid w:val="0087233F"/>
    <w:rsid w:val="00873E00"/>
    <w:rsid w:val="0087702D"/>
    <w:rsid w:val="00877AF4"/>
    <w:rsid w:val="00880DC8"/>
    <w:rsid w:val="00881F1D"/>
    <w:rsid w:val="00884BBD"/>
    <w:rsid w:val="00884CAA"/>
    <w:rsid w:val="0088656D"/>
    <w:rsid w:val="0088682F"/>
    <w:rsid w:val="00891DBD"/>
    <w:rsid w:val="00895E0F"/>
    <w:rsid w:val="008A0442"/>
    <w:rsid w:val="008A0C48"/>
    <w:rsid w:val="008A0E02"/>
    <w:rsid w:val="008A194F"/>
    <w:rsid w:val="008A4684"/>
    <w:rsid w:val="008A4702"/>
    <w:rsid w:val="008A6A8F"/>
    <w:rsid w:val="008B02A8"/>
    <w:rsid w:val="008B0765"/>
    <w:rsid w:val="008B394B"/>
    <w:rsid w:val="008B45AF"/>
    <w:rsid w:val="008B4E90"/>
    <w:rsid w:val="008B765B"/>
    <w:rsid w:val="008C0C7D"/>
    <w:rsid w:val="008C1F82"/>
    <w:rsid w:val="008C2E7C"/>
    <w:rsid w:val="008C6B2B"/>
    <w:rsid w:val="008C7B3B"/>
    <w:rsid w:val="008D0BDD"/>
    <w:rsid w:val="008D14C4"/>
    <w:rsid w:val="008D15E9"/>
    <w:rsid w:val="008D1F18"/>
    <w:rsid w:val="008D52BB"/>
    <w:rsid w:val="008D587E"/>
    <w:rsid w:val="008D5F76"/>
    <w:rsid w:val="008D7288"/>
    <w:rsid w:val="008E1F7F"/>
    <w:rsid w:val="008E22B7"/>
    <w:rsid w:val="008E357D"/>
    <w:rsid w:val="008E6251"/>
    <w:rsid w:val="008E6DE8"/>
    <w:rsid w:val="008F113B"/>
    <w:rsid w:val="008F2322"/>
    <w:rsid w:val="008F652C"/>
    <w:rsid w:val="008F7651"/>
    <w:rsid w:val="0090012F"/>
    <w:rsid w:val="00903F7F"/>
    <w:rsid w:val="00906C35"/>
    <w:rsid w:val="00910E0B"/>
    <w:rsid w:val="0091193D"/>
    <w:rsid w:val="00913684"/>
    <w:rsid w:val="00915844"/>
    <w:rsid w:val="00916B94"/>
    <w:rsid w:val="00917478"/>
    <w:rsid w:val="009224C2"/>
    <w:rsid w:val="009227E1"/>
    <w:rsid w:val="00922F26"/>
    <w:rsid w:val="00923A4E"/>
    <w:rsid w:val="0092483A"/>
    <w:rsid w:val="00924C44"/>
    <w:rsid w:val="0092531C"/>
    <w:rsid w:val="00925BD0"/>
    <w:rsid w:val="00927A22"/>
    <w:rsid w:val="00932267"/>
    <w:rsid w:val="009338E8"/>
    <w:rsid w:val="00933C19"/>
    <w:rsid w:val="009344A1"/>
    <w:rsid w:val="00940819"/>
    <w:rsid w:val="009415CB"/>
    <w:rsid w:val="0094161B"/>
    <w:rsid w:val="00942686"/>
    <w:rsid w:val="0094297C"/>
    <w:rsid w:val="00943D8F"/>
    <w:rsid w:val="00945AA6"/>
    <w:rsid w:val="00947A46"/>
    <w:rsid w:val="009518CE"/>
    <w:rsid w:val="00951F9D"/>
    <w:rsid w:val="00952382"/>
    <w:rsid w:val="0095293F"/>
    <w:rsid w:val="00953919"/>
    <w:rsid w:val="009560B8"/>
    <w:rsid w:val="00956273"/>
    <w:rsid w:val="00957EAB"/>
    <w:rsid w:val="00961033"/>
    <w:rsid w:val="009642AA"/>
    <w:rsid w:val="0096454C"/>
    <w:rsid w:val="00964AFE"/>
    <w:rsid w:val="009653F1"/>
    <w:rsid w:val="00966793"/>
    <w:rsid w:val="009703B1"/>
    <w:rsid w:val="00970C43"/>
    <w:rsid w:val="0097113A"/>
    <w:rsid w:val="00971837"/>
    <w:rsid w:val="00971AF6"/>
    <w:rsid w:val="00975B79"/>
    <w:rsid w:val="00976718"/>
    <w:rsid w:val="00980379"/>
    <w:rsid w:val="00983133"/>
    <w:rsid w:val="0098333E"/>
    <w:rsid w:val="00983659"/>
    <w:rsid w:val="00983C86"/>
    <w:rsid w:val="009840FA"/>
    <w:rsid w:val="00984C3D"/>
    <w:rsid w:val="00985758"/>
    <w:rsid w:val="009863D1"/>
    <w:rsid w:val="00991FF7"/>
    <w:rsid w:val="009930AA"/>
    <w:rsid w:val="00993E1B"/>
    <w:rsid w:val="00994B37"/>
    <w:rsid w:val="009955AE"/>
    <w:rsid w:val="009A08CA"/>
    <w:rsid w:val="009A10D0"/>
    <w:rsid w:val="009A2DC3"/>
    <w:rsid w:val="009A3BEF"/>
    <w:rsid w:val="009A4DEB"/>
    <w:rsid w:val="009A7003"/>
    <w:rsid w:val="009B0988"/>
    <w:rsid w:val="009B1AB7"/>
    <w:rsid w:val="009B1BB3"/>
    <w:rsid w:val="009B22B6"/>
    <w:rsid w:val="009B2473"/>
    <w:rsid w:val="009B3E46"/>
    <w:rsid w:val="009B4407"/>
    <w:rsid w:val="009B554F"/>
    <w:rsid w:val="009B64C7"/>
    <w:rsid w:val="009B6833"/>
    <w:rsid w:val="009C0BA0"/>
    <w:rsid w:val="009C0EB3"/>
    <w:rsid w:val="009C1296"/>
    <w:rsid w:val="009C263E"/>
    <w:rsid w:val="009C7C45"/>
    <w:rsid w:val="009D280C"/>
    <w:rsid w:val="009D3C6D"/>
    <w:rsid w:val="009D578E"/>
    <w:rsid w:val="009D762D"/>
    <w:rsid w:val="009D7635"/>
    <w:rsid w:val="009E306B"/>
    <w:rsid w:val="009E4144"/>
    <w:rsid w:val="009E4287"/>
    <w:rsid w:val="009E4BB7"/>
    <w:rsid w:val="009E57B4"/>
    <w:rsid w:val="009E7AD8"/>
    <w:rsid w:val="009F0154"/>
    <w:rsid w:val="009F0CFA"/>
    <w:rsid w:val="009F0EAD"/>
    <w:rsid w:val="009F20C8"/>
    <w:rsid w:val="009F21F5"/>
    <w:rsid w:val="009F2837"/>
    <w:rsid w:val="009F3192"/>
    <w:rsid w:val="009F36BD"/>
    <w:rsid w:val="009F3CE0"/>
    <w:rsid w:val="009F6172"/>
    <w:rsid w:val="009F6271"/>
    <w:rsid w:val="00A03165"/>
    <w:rsid w:val="00A032F4"/>
    <w:rsid w:val="00A0425D"/>
    <w:rsid w:val="00A04688"/>
    <w:rsid w:val="00A04EEE"/>
    <w:rsid w:val="00A06468"/>
    <w:rsid w:val="00A1277E"/>
    <w:rsid w:val="00A12CE8"/>
    <w:rsid w:val="00A15664"/>
    <w:rsid w:val="00A15671"/>
    <w:rsid w:val="00A157BF"/>
    <w:rsid w:val="00A17B38"/>
    <w:rsid w:val="00A17D76"/>
    <w:rsid w:val="00A22D2E"/>
    <w:rsid w:val="00A233C1"/>
    <w:rsid w:val="00A265B2"/>
    <w:rsid w:val="00A27415"/>
    <w:rsid w:val="00A3260D"/>
    <w:rsid w:val="00A32ECA"/>
    <w:rsid w:val="00A35929"/>
    <w:rsid w:val="00A40CAB"/>
    <w:rsid w:val="00A42F2F"/>
    <w:rsid w:val="00A43663"/>
    <w:rsid w:val="00A44ED8"/>
    <w:rsid w:val="00A47A98"/>
    <w:rsid w:val="00A5295C"/>
    <w:rsid w:val="00A52E33"/>
    <w:rsid w:val="00A5480D"/>
    <w:rsid w:val="00A54B2E"/>
    <w:rsid w:val="00A55610"/>
    <w:rsid w:val="00A5758C"/>
    <w:rsid w:val="00A57933"/>
    <w:rsid w:val="00A60286"/>
    <w:rsid w:val="00A60A08"/>
    <w:rsid w:val="00A63201"/>
    <w:rsid w:val="00A70F0D"/>
    <w:rsid w:val="00A7293D"/>
    <w:rsid w:val="00A72C03"/>
    <w:rsid w:val="00A803F3"/>
    <w:rsid w:val="00A819D2"/>
    <w:rsid w:val="00A824FB"/>
    <w:rsid w:val="00A83AA5"/>
    <w:rsid w:val="00A8476B"/>
    <w:rsid w:val="00A848B3"/>
    <w:rsid w:val="00A8733C"/>
    <w:rsid w:val="00A9094A"/>
    <w:rsid w:val="00A917EC"/>
    <w:rsid w:val="00A91F4B"/>
    <w:rsid w:val="00A92070"/>
    <w:rsid w:val="00A92764"/>
    <w:rsid w:val="00A930A7"/>
    <w:rsid w:val="00A9455A"/>
    <w:rsid w:val="00A97066"/>
    <w:rsid w:val="00AA2A45"/>
    <w:rsid w:val="00AA68FE"/>
    <w:rsid w:val="00AB18C3"/>
    <w:rsid w:val="00AB2032"/>
    <w:rsid w:val="00AB2E9B"/>
    <w:rsid w:val="00AB354B"/>
    <w:rsid w:val="00AB562C"/>
    <w:rsid w:val="00AB7235"/>
    <w:rsid w:val="00AC1191"/>
    <w:rsid w:val="00AC211A"/>
    <w:rsid w:val="00AC3C88"/>
    <w:rsid w:val="00AC3CF8"/>
    <w:rsid w:val="00AC52EB"/>
    <w:rsid w:val="00AC78AF"/>
    <w:rsid w:val="00AD0ABD"/>
    <w:rsid w:val="00AD234E"/>
    <w:rsid w:val="00AD2CDC"/>
    <w:rsid w:val="00AD4348"/>
    <w:rsid w:val="00AD5A10"/>
    <w:rsid w:val="00AE076E"/>
    <w:rsid w:val="00AE1A3B"/>
    <w:rsid w:val="00AE1F09"/>
    <w:rsid w:val="00AE3965"/>
    <w:rsid w:val="00AE4945"/>
    <w:rsid w:val="00AE7D1E"/>
    <w:rsid w:val="00AF11AD"/>
    <w:rsid w:val="00AF14E3"/>
    <w:rsid w:val="00AF232D"/>
    <w:rsid w:val="00AF24FD"/>
    <w:rsid w:val="00AF67C1"/>
    <w:rsid w:val="00AF6EA1"/>
    <w:rsid w:val="00B0232D"/>
    <w:rsid w:val="00B029E5"/>
    <w:rsid w:val="00B0367D"/>
    <w:rsid w:val="00B0648D"/>
    <w:rsid w:val="00B10A82"/>
    <w:rsid w:val="00B1293B"/>
    <w:rsid w:val="00B12BC5"/>
    <w:rsid w:val="00B14045"/>
    <w:rsid w:val="00B20041"/>
    <w:rsid w:val="00B21875"/>
    <w:rsid w:val="00B230FE"/>
    <w:rsid w:val="00B235F8"/>
    <w:rsid w:val="00B23815"/>
    <w:rsid w:val="00B251F7"/>
    <w:rsid w:val="00B263EE"/>
    <w:rsid w:val="00B26ED2"/>
    <w:rsid w:val="00B270D3"/>
    <w:rsid w:val="00B330C8"/>
    <w:rsid w:val="00B36D5E"/>
    <w:rsid w:val="00B4028F"/>
    <w:rsid w:val="00B42484"/>
    <w:rsid w:val="00B4312B"/>
    <w:rsid w:val="00B43A06"/>
    <w:rsid w:val="00B45423"/>
    <w:rsid w:val="00B45B1A"/>
    <w:rsid w:val="00B45BB3"/>
    <w:rsid w:val="00B45FB9"/>
    <w:rsid w:val="00B50CCE"/>
    <w:rsid w:val="00B52901"/>
    <w:rsid w:val="00B53D5D"/>
    <w:rsid w:val="00B5746A"/>
    <w:rsid w:val="00B57D3F"/>
    <w:rsid w:val="00B604B5"/>
    <w:rsid w:val="00B632DA"/>
    <w:rsid w:val="00B66ACE"/>
    <w:rsid w:val="00B6704D"/>
    <w:rsid w:val="00B673A0"/>
    <w:rsid w:val="00B7063B"/>
    <w:rsid w:val="00B70B3B"/>
    <w:rsid w:val="00B729A2"/>
    <w:rsid w:val="00B74C43"/>
    <w:rsid w:val="00B76269"/>
    <w:rsid w:val="00B76FC7"/>
    <w:rsid w:val="00B8286C"/>
    <w:rsid w:val="00B8287A"/>
    <w:rsid w:val="00B83BDD"/>
    <w:rsid w:val="00B84550"/>
    <w:rsid w:val="00B85BF5"/>
    <w:rsid w:val="00B874E7"/>
    <w:rsid w:val="00B9164A"/>
    <w:rsid w:val="00B92F3A"/>
    <w:rsid w:val="00B934DE"/>
    <w:rsid w:val="00B941DE"/>
    <w:rsid w:val="00B94C4D"/>
    <w:rsid w:val="00B94E06"/>
    <w:rsid w:val="00B972FC"/>
    <w:rsid w:val="00BA2811"/>
    <w:rsid w:val="00BA6FD0"/>
    <w:rsid w:val="00BA73FB"/>
    <w:rsid w:val="00BA742E"/>
    <w:rsid w:val="00BB0923"/>
    <w:rsid w:val="00BB0A79"/>
    <w:rsid w:val="00BB0F1F"/>
    <w:rsid w:val="00BB1839"/>
    <w:rsid w:val="00BB5AB6"/>
    <w:rsid w:val="00BB5DF0"/>
    <w:rsid w:val="00BB6D0B"/>
    <w:rsid w:val="00BC21E4"/>
    <w:rsid w:val="00BC2C9D"/>
    <w:rsid w:val="00BC2F08"/>
    <w:rsid w:val="00BC33B7"/>
    <w:rsid w:val="00BC5E86"/>
    <w:rsid w:val="00BC6762"/>
    <w:rsid w:val="00BD362F"/>
    <w:rsid w:val="00BD4B87"/>
    <w:rsid w:val="00BD4F33"/>
    <w:rsid w:val="00BD515D"/>
    <w:rsid w:val="00BE4D13"/>
    <w:rsid w:val="00BE768E"/>
    <w:rsid w:val="00BF09E8"/>
    <w:rsid w:val="00BF18E8"/>
    <w:rsid w:val="00BF28AB"/>
    <w:rsid w:val="00BF2E8C"/>
    <w:rsid w:val="00BF32CE"/>
    <w:rsid w:val="00BF6009"/>
    <w:rsid w:val="00C005AE"/>
    <w:rsid w:val="00C01CB0"/>
    <w:rsid w:val="00C0244E"/>
    <w:rsid w:val="00C03106"/>
    <w:rsid w:val="00C03534"/>
    <w:rsid w:val="00C04410"/>
    <w:rsid w:val="00C06823"/>
    <w:rsid w:val="00C107DB"/>
    <w:rsid w:val="00C110B4"/>
    <w:rsid w:val="00C171AD"/>
    <w:rsid w:val="00C243C8"/>
    <w:rsid w:val="00C24B11"/>
    <w:rsid w:val="00C25FB3"/>
    <w:rsid w:val="00C262FC"/>
    <w:rsid w:val="00C26EF4"/>
    <w:rsid w:val="00C3052D"/>
    <w:rsid w:val="00C32256"/>
    <w:rsid w:val="00C347ED"/>
    <w:rsid w:val="00C3533E"/>
    <w:rsid w:val="00C40B76"/>
    <w:rsid w:val="00C43B43"/>
    <w:rsid w:val="00C43B9F"/>
    <w:rsid w:val="00C44C2F"/>
    <w:rsid w:val="00C46CCE"/>
    <w:rsid w:val="00C4737C"/>
    <w:rsid w:val="00C473A8"/>
    <w:rsid w:val="00C553AF"/>
    <w:rsid w:val="00C5572C"/>
    <w:rsid w:val="00C61E33"/>
    <w:rsid w:val="00C63429"/>
    <w:rsid w:val="00C65169"/>
    <w:rsid w:val="00C659D6"/>
    <w:rsid w:val="00C677FB"/>
    <w:rsid w:val="00C711B4"/>
    <w:rsid w:val="00C71D53"/>
    <w:rsid w:val="00C72C65"/>
    <w:rsid w:val="00C72CE3"/>
    <w:rsid w:val="00C743A5"/>
    <w:rsid w:val="00C75289"/>
    <w:rsid w:val="00C75C3A"/>
    <w:rsid w:val="00C77126"/>
    <w:rsid w:val="00C80B71"/>
    <w:rsid w:val="00C83547"/>
    <w:rsid w:val="00C86A26"/>
    <w:rsid w:val="00C902AC"/>
    <w:rsid w:val="00C90524"/>
    <w:rsid w:val="00C90CB7"/>
    <w:rsid w:val="00C9188C"/>
    <w:rsid w:val="00C93D58"/>
    <w:rsid w:val="00C9451E"/>
    <w:rsid w:val="00C9726B"/>
    <w:rsid w:val="00CA044E"/>
    <w:rsid w:val="00CA07C0"/>
    <w:rsid w:val="00CA16AB"/>
    <w:rsid w:val="00CA17B9"/>
    <w:rsid w:val="00CA24D4"/>
    <w:rsid w:val="00CA3945"/>
    <w:rsid w:val="00CA42F7"/>
    <w:rsid w:val="00CB1D36"/>
    <w:rsid w:val="00CB7013"/>
    <w:rsid w:val="00CC0556"/>
    <w:rsid w:val="00CC1013"/>
    <w:rsid w:val="00CC1BDE"/>
    <w:rsid w:val="00CC5334"/>
    <w:rsid w:val="00CC7291"/>
    <w:rsid w:val="00CC74A2"/>
    <w:rsid w:val="00CD0715"/>
    <w:rsid w:val="00CD53AB"/>
    <w:rsid w:val="00CD5473"/>
    <w:rsid w:val="00CD7CCE"/>
    <w:rsid w:val="00CE0AA4"/>
    <w:rsid w:val="00CE3CAD"/>
    <w:rsid w:val="00CE593B"/>
    <w:rsid w:val="00CE63AC"/>
    <w:rsid w:val="00CE6A65"/>
    <w:rsid w:val="00CE7FE9"/>
    <w:rsid w:val="00CF3CA6"/>
    <w:rsid w:val="00CF4B2A"/>
    <w:rsid w:val="00CF73F2"/>
    <w:rsid w:val="00CF7E97"/>
    <w:rsid w:val="00D0093F"/>
    <w:rsid w:val="00D00DA0"/>
    <w:rsid w:val="00D01B1E"/>
    <w:rsid w:val="00D01C23"/>
    <w:rsid w:val="00D108E2"/>
    <w:rsid w:val="00D12B85"/>
    <w:rsid w:val="00D12BEF"/>
    <w:rsid w:val="00D134CE"/>
    <w:rsid w:val="00D17D60"/>
    <w:rsid w:val="00D20B2D"/>
    <w:rsid w:val="00D21235"/>
    <w:rsid w:val="00D2132A"/>
    <w:rsid w:val="00D213F3"/>
    <w:rsid w:val="00D23E67"/>
    <w:rsid w:val="00D25002"/>
    <w:rsid w:val="00D26F02"/>
    <w:rsid w:val="00D276F6"/>
    <w:rsid w:val="00D27F86"/>
    <w:rsid w:val="00D32428"/>
    <w:rsid w:val="00D32DA4"/>
    <w:rsid w:val="00D33ED1"/>
    <w:rsid w:val="00D33F94"/>
    <w:rsid w:val="00D35EB5"/>
    <w:rsid w:val="00D3621E"/>
    <w:rsid w:val="00D37D25"/>
    <w:rsid w:val="00D40187"/>
    <w:rsid w:val="00D43C43"/>
    <w:rsid w:val="00D43F89"/>
    <w:rsid w:val="00D44A63"/>
    <w:rsid w:val="00D45037"/>
    <w:rsid w:val="00D47E4B"/>
    <w:rsid w:val="00D50847"/>
    <w:rsid w:val="00D50C59"/>
    <w:rsid w:val="00D51409"/>
    <w:rsid w:val="00D51967"/>
    <w:rsid w:val="00D54E79"/>
    <w:rsid w:val="00D57200"/>
    <w:rsid w:val="00D60582"/>
    <w:rsid w:val="00D608BB"/>
    <w:rsid w:val="00D63999"/>
    <w:rsid w:val="00D63B3C"/>
    <w:rsid w:val="00D67B55"/>
    <w:rsid w:val="00D713EC"/>
    <w:rsid w:val="00D715D4"/>
    <w:rsid w:val="00D7398C"/>
    <w:rsid w:val="00D75CD7"/>
    <w:rsid w:val="00D75E5D"/>
    <w:rsid w:val="00D75E93"/>
    <w:rsid w:val="00D817A2"/>
    <w:rsid w:val="00D84459"/>
    <w:rsid w:val="00D84579"/>
    <w:rsid w:val="00D85C8F"/>
    <w:rsid w:val="00D87E54"/>
    <w:rsid w:val="00D900F6"/>
    <w:rsid w:val="00D91202"/>
    <w:rsid w:val="00D9237F"/>
    <w:rsid w:val="00D9289C"/>
    <w:rsid w:val="00D93440"/>
    <w:rsid w:val="00D93650"/>
    <w:rsid w:val="00D937EA"/>
    <w:rsid w:val="00D96E55"/>
    <w:rsid w:val="00DA1B43"/>
    <w:rsid w:val="00DA2DBB"/>
    <w:rsid w:val="00DA2E96"/>
    <w:rsid w:val="00DA3167"/>
    <w:rsid w:val="00DA3200"/>
    <w:rsid w:val="00DA3D8D"/>
    <w:rsid w:val="00DA4DD0"/>
    <w:rsid w:val="00DA5BA0"/>
    <w:rsid w:val="00DA5D7F"/>
    <w:rsid w:val="00DA7754"/>
    <w:rsid w:val="00DB0AC2"/>
    <w:rsid w:val="00DB2321"/>
    <w:rsid w:val="00DB25C5"/>
    <w:rsid w:val="00DB2D46"/>
    <w:rsid w:val="00DB3B9F"/>
    <w:rsid w:val="00DB484C"/>
    <w:rsid w:val="00DB494D"/>
    <w:rsid w:val="00DB5D99"/>
    <w:rsid w:val="00DB62CB"/>
    <w:rsid w:val="00DC065D"/>
    <w:rsid w:val="00DC081D"/>
    <w:rsid w:val="00DC2DBF"/>
    <w:rsid w:val="00DC535F"/>
    <w:rsid w:val="00DC6970"/>
    <w:rsid w:val="00DC6D6D"/>
    <w:rsid w:val="00DC79DB"/>
    <w:rsid w:val="00DD0510"/>
    <w:rsid w:val="00DD0618"/>
    <w:rsid w:val="00DD1E46"/>
    <w:rsid w:val="00DD2F0B"/>
    <w:rsid w:val="00DD3909"/>
    <w:rsid w:val="00DD580E"/>
    <w:rsid w:val="00DD5BF5"/>
    <w:rsid w:val="00DE175C"/>
    <w:rsid w:val="00DE1B48"/>
    <w:rsid w:val="00DE3F2E"/>
    <w:rsid w:val="00DF00FE"/>
    <w:rsid w:val="00DF0379"/>
    <w:rsid w:val="00DF1091"/>
    <w:rsid w:val="00DF197E"/>
    <w:rsid w:val="00DF1DDA"/>
    <w:rsid w:val="00DF1E76"/>
    <w:rsid w:val="00DF2E63"/>
    <w:rsid w:val="00DF35B7"/>
    <w:rsid w:val="00DF432D"/>
    <w:rsid w:val="00DF78F6"/>
    <w:rsid w:val="00E0127C"/>
    <w:rsid w:val="00E01821"/>
    <w:rsid w:val="00E01DB2"/>
    <w:rsid w:val="00E02424"/>
    <w:rsid w:val="00E026A9"/>
    <w:rsid w:val="00E02AED"/>
    <w:rsid w:val="00E0345E"/>
    <w:rsid w:val="00E04034"/>
    <w:rsid w:val="00E11509"/>
    <w:rsid w:val="00E11FDA"/>
    <w:rsid w:val="00E12BF9"/>
    <w:rsid w:val="00E14E48"/>
    <w:rsid w:val="00E1547C"/>
    <w:rsid w:val="00E15603"/>
    <w:rsid w:val="00E15722"/>
    <w:rsid w:val="00E15EBC"/>
    <w:rsid w:val="00E16385"/>
    <w:rsid w:val="00E16D68"/>
    <w:rsid w:val="00E2001E"/>
    <w:rsid w:val="00E228F6"/>
    <w:rsid w:val="00E22DBC"/>
    <w:rsid w:val="00E232F4"/>
    <w:rsid w:val="00E257BD"/>
    <w:rsid w:val="00E25F3B"/>
    <w:rsid w:val="00E2606C"/>
    <w:rsid w:val="00E26DD3"/>
    <w:rsid w:val="00E26DFB"/>
    <w:rsid w:val="00E273AF"/>
    <w:rsid w:val="00E304F4"/>
    <w:rsid w:val="00E3054D"/>
    <w:rsid w:val="00E31638"/>
    <w:rsid w:val="00E32B50"/>
    <w:rsid w:val="00E33073"/>
    <w:rsid w:val="00E33F43"/>
    <w:rsid w:val="00E33F45"/>
    <w:rsid w:val="00E35EBD"/>
    <w:rsid w:val="00E371DD"/>
    <w:rsid w:val="00E40495"/>
    <w:rsid w:val="00E4278A"/>
    <w:rsid w:val="00E45536"/>
    <w:rsid w:val="00E45E90"/>
    <w:rsid w:val="00E46F67"/>
    <w:rsid w:val="00E47351"/>
    <w:rsid w:val="00E50B7E"/>
    <w:rsid w:val="00E5212A"/>
    <w:rsid w:val="00E531BD"/>
    <w:rsid w:val="00E53417"/>
    <w:rsid w:val="00E53614"/>
    <w:rsid w:val="00E542C3"/>
    <w:rsid w:val="00E54C06"/>
    <w:rsid w:val="00E63F55"/>
    <w:rsid w:val="00E64B2B"/>
    <w:rsid w:val="00E64BC1"/>
    <w:rsid w:val="00E6528B"/>
    <w:rsid w:val="00E66324"/>
    <w:rsid w:val="00E67017"/>
    <w:rsid w:val="00E674D0"/>
    <w:rsid w:val="00E675DF"/>
    <w:rsid w:val="00E714DD"/>
    <w:rsid w:val="00E7255D"/>
    <w:rsid w:val="00E72A16"/>
    <w:rsid w:val="00E73029"/>
    <w:rsid w:val="00E731FB"/>
    <w:rsid w:val="00E809AC"/>
    <w:rsid w:val="00E8121E"/>
    <w:rsid w:val="00E81AC6"/>
    <w:rsid w:val="00E83C25"/>
    <w:rsid w:val="00E86149"/>
    <w:rsid w:val="00E87C58"/>
    <w:rsid w:val="00E90040"/>
    <w:rsid w:val="00E9005B"/>
    <w:rsid w:val="00E919E7"/>
    <w:rsid w:val="00E92DF0"/>
    <w:rsid w:val="00E93D02"/>
    <w:rsid w:val="00E94283"/>
    <w:rsid w:val="00E968A0"/>
    <w:rsid w:val="00E97B20"/>
    <w:rsid w:val="00EA0BB7"/>
    <w:rsid w:val="00EA3A65"/>
    <w:rsid w:val="00EA574E"/>
    <w:rsid w:val="00EA57B4"/>
    <w:rsid w:val="00EB0550"/>
    <w:rsid w:val="00EB1839"/>
    <w:rsid w:val="00EB2949"/>
    <w:rsid w:val="00EB2B9A"/>
    <w:rsid w:val="00EB4673"/>
    <w:rsid w:val="00EB642A"/>
    <w:rsid w:val="00EC0AE5"/>
    <w:rsid w:val="00EC0D64"/>
    <w:rsid w:val="00EC140C"/>
    <w:rsid w:val="00EC20DD"/>
    <w:rsid w:val="00EC7F4F"/>
    <w:rsid w:val="00ED019D"/>
    <w:rsid w:val="00ED289A"/>
    <w:rsid w:val="00ED3BEE"/>
    <w:rsid w:val="00ED4F79"/>
    <w:rsid w:val="00ED59C5"/>
    <w:rsid w:val="00ED6EF4"/>
    <w:rsid w:val="00ED7538"/>
    <w:rsid w:val="00EE0659"/>
    <w:rsid w:val="00EE177F"/>
    <w:rsid w:val="00EE49A8"/>
    <w:rsid w:val="00EE5395"/>
    <w:rsid w:val="00EE6CBF"/>
    <w:rsid w:val="00EF0E85"/>
    <w:rsid w:val="00EF1047"/>
    <w:rsid w:val="00EF18F8"/>
    <w:rsid w:val="00EF1B73"/>
    <w:rsid w:val="00EF3950"/>
    <w:rsid w:val="00EF490D"/>
    <w:rsid w:val="00EF4B72"/>
    <w:rsid w:val="00EF4F50"/>
    <w:rsid w:val="00EF5A8A"/>
    <w:rsid w:val="00EF6F2A"/>
    <w:rsid w:val="00EF7D35"/>
    <w:rsid w:val="00F00504"/>
    <w:rsid w:val="00F01285"/>
    <w:rsid w:val="00F0179A"/>
    <w:rsid w:val="00F04641"/>
    <w:rsid w:val="00F04CBA"/>
    <w:rsid w:val="00F05908"/>
    <w:rsid w:val="00F077E7"/>
    <w:rsid w:val="00F10761"/>
    <w:rsid w:val="00F10F04"/>
    <w:rsid w:val="00F17BA5"/>
    <w:rsid w:val="00F211EE"/>
    <w:rsid w:val="00F2127E"/>
    <w:rsid w:val="00F21BFF"/>
    <w:rsid w:val="00F21F82"/>
    <w:rsid w:val="00F25D43"/>
    <w:rsid w:val="00F3012A"/>
    <w:rsid w:val="00F30416"/>
    <w:rsid w:val="00F30443"/>
    <w:rsid w:val="00F32100"/>
    <w:rsid w:val="00F327CB"/>
    <w:rsid w:val="00F32CCA"/>
    <w:rsid w:val="00F33524"/>
    <w:rsid w:val="00F34B7B"/>
    <w:rsid w:val="00F35D91"/>
    <w:rsid w:val="00F37869"/>
    <w:rsid w:val="00F4122A"/>
    <w:rsid w:val="00F41CF8"/>
    <w:rsid w:val="00F42D36"/>
    <w:rsid w:val="00F42FA4"/>
    <w:rsid w:val="00F4483E"/>
    <w:rsid w:val="00F44DE3"/>
    <w:rsid w:val="00F46318"/>
    <w:rsid w:val="00F50BCC"/>
    <w:rsid w:val="00F51C7F"/>
    <w:rsid w:val="00F51DEA"/>
    <w:rsid w:val="00F5383A"/>
    <w:rsid w:val="00F54F0B"/>
    <w:rsid w:val="00F55858"/>
    <w:rsid w:val="00F561F5"/>
    <w:rsid w:val="00F575DF"/>
    <w:rsid w:val="00F62C5E"/>
    <w:rsid w:val="00F62CB5"/>
    <w:rsid w:val="00F6332C"/>
    <w:rsid w:val="00F67207"/>
    <w:rsid w:val="00F70C1B"/>
    <w:rsid w:val="00F712CD"/>
    <w:rsid w:val="00F71DA7"/>
    <w:rsid w:val="00F726BE"/>
    <w:rsid w:val="00F73095"/>
    <w:rsid w:val="00F73F12"/>
    <w:rsid w:val="00F743FF"/>
    <w:rsid w:val="00F75AAB"/>
    <w:rsid w:val="00F81BCC"/>
    <w:rsid w:val="00F8216A"/>
    <w:rsid w:val="00F82254"/>
    <w:rsid w:val="00F82588"/>
    <w:rsid w:val="00F82DAF"/>
    <w:rsid w:val="00F86560"/>
    <w:rsid w:val="00F87011"/>
    <w:rsid w:val="00F871ED"/>
    <w:rsid w:val="00F8741E"/>
    <w:rsid w:val="00F87E76"/>
    <w:rsid w:val="00F9219D"/>
    <w:rsid w:val="00F9241E"/>
    <w:rsid w:val="00F9242F"/>
    <w:rsid w:val="00F92698"/>
    <w:rsid w:val="00F92D41"/>
    <w:rsid w:val="00F931F4"/>
    <w:rsid w:val="00F933F5"/>
    <w:rsid w:val="00F936B7"/>
    <w:rsid w:val="00F942DD"/>
    <w:rsid w:val="00F9458B"/>
    <w:rsid w:val="00F96A12"/>
    <w:rsid w:val="00FA0F76"/>
    <w:rsid w:val="00FA2223"/>
    <w:rsid w:val="00FA2FA7"/>
    <w:rsid w:val="00FA3BB9"/>
    <w:rsid w:val="00FB0572"/>
    <w:rsid w:val="00FB2544"/>
    <w:rsid w:val="00FB2A2B"/>
    <w:rsid w:val="00FB2F7C"/>
    <w:rsid w:val="00FB4A3F"/>
    <w:rsid w:val="00FB642C"/>
    <w:rsid w:val="00FB73B5"/>
    <w:rsid w:val="00FC2D13"/>
    <w:rsid w:val="00FC3A98"/>
    <w:rsid w:val="00FC6085"/>
    <w:rsid w:val="00FC67F3"/>
    <w:rsid w:val="00FC7540"/>
    <w:rsid w:val="00FD3CCA"/>
    <w:rsid w:val="00FD6E85"/>
    <w:rsid w:val="00FE0B01"/>
    <w:rsid w:val="00FE176E"/>
    <w:rsid w:val="00FE2D75"/>
    <w:rsid w:val="00FE338A"/>
    <w:rsid w:val="00FE33E9"/>
    <w:rsid w:val="00FE67E7"/>
    <w:rsid w:val="00FE7BBB"/>
    <w:rsid w:val="00FF13F0"/>
    <w:rsid w:val="00FF2780"/>
    <w:rsid w:val="00FF2CFB"/>
    <w:rsid w:val="00FF4358"/>
    <w:rsid w:val="00FF471B"/>
    <w:rsid w:val="00FF5735"/>
    <w:rsid w:val="00FF7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F1A3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E4287"/>
    <w:rPr>
      <w:rFonts w:ascii="Tahoma" w:hAnsi="Tahoma" w:cs="Tahoma"/>
      <w:sz w:val="16"/>
      <w:szCs w:val="16"/>
    </w:rPr>
  </w:style>
  <w:style w:type="table" w:styleId="TableGrid">
    <w:name w:val="Table Grid"/>
    <w:basedOn w:val="TableNormal"/>
    <w:rsid w:val="00AD5A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945AB"/>
    <w:pPr>
      <w:tabs>
        <w:tab w:val="center" w:pos="4153"/>
        <w:tab w:val="right" w:pos="8306"/>
      </w:tabs>
    </w:pPr>
  </w:style>
  <w:style w:type="paragraph" w:styleId="Footer">
    <w:name w:val="footer"/>
    <w:basedOn w:val="Normal"/>
    <w:link w:val="FooterChar"/>
    <w:uiPriority w:val="99"/>
    <w:rsid w:val="000945AB"/>
    <w:pPr>
      <w:tabs>
        <w:tab w:val="center" w:pos="4153"/>
        <w:tab w:val="right" w:pos="8306"/>
      </w:tabs>
    </w:pPr>
  </w:style>
  <w:style w:type="character" w:styleId="PageNumber">
    <w:name w:val="page number"/>
    <w:basedOn w:val="DefaultParagraphFont"/>
    <w:rsid w:val="000945AB"/>
  </w:style>
  <w:style w:type="paragraph" w:customStyle="1" w:styleId="Default">
    <w:name w:val="Default"/>
    <w:rsid w:val="0067774F"/>
    <w:pPr>
      <w:autoSpaceDE w:val="0"/>
      <w:autoSpaceDN w:val="0"/>
      <w:adjustRightInd w:val="0"/>
    </w:pPr>
    <w:rPr>
      <w:rFonts w:ascii="Arial" w:hAnsi="Arial" w:cs="Arial"/>
      <w:color w:val="000000"/>
      <w:sz w:val="24"/>
      <w:szCs w:val="24"/>
    </w:rPr>
  </w:style>
  <w:style w:type="character" w:customStyle="1" w:styleId="st1">
    <w:name w:val="st1"/>
    <w:basedOn w:val="DefaultParagraphFont"/>
    <w:rsid w:val="008B02A8"/>
  </w:style>
  <w:style w:type="character" w:customStyle="1" w:styleId="legsubstitution5">
    <w:name w:val="legsubstitution5"/>
    <w:basedOn w:val="DefaultParagraphFont"/>
    <w:rsid w:val="007061F9"/>
  </w:style>
  <w:style w:type="character" w:customStyle="1" w:styleId="legchangedelimiter2">
    <w:name w:val="legchangedelimiter2"/>
    <w:rsid w:val="007061F9"/>
    <w:rPr>
      <w:b/>
      <w:bCs/>
      <w:i w:val="0"/>
      <w:iCs w:val="0"/>
      <w:color w:val="000000"/>
      <w:sz w:val="34"/>
      <w:szCs w:val="34"/>
    </w:rPr>
  </w:style>
  <w:style w:type="character" w:styleId="Hyperlink">
    <w:name w:val="Hyperlink"/>
    <w:rsid w:val="00E33F45"/>
    <w:rPr>
      <w:color w:val="0000FF"/>
      <w:u w:val="single"/>
    </w:rPr>
  </w:style>
  <w:style w:type="paragraph" w:customStyle="1" w:styleId="ParaLevel1">
    <w:name w:val="ParaLevel1"/>
    <w:basedOn w:val="Normal"/>
    <w:rsid w:val="00C63429"/>
    <w:pPr>
      <w:numPr>
        <w:numId w:val="15"/>
      </w:numPr>
      <w:suppressAutoHyphens/>
      <w:spacing w:before="240" w:after="240" w:line="480" w:lineRule="auto"/>
      <w:jc w:val="both"/>
      <w:outlineLvl w:val="0"/>
    </w:pPr>
    <w:rPr>
      <w:szCs w:val="20"/>
      <w:lang w:eastAsia="en-US"/>
    </w:rPr>
  </w:style>
  <w:style w:type="paragraph" w:customStyle="1" w:styleId="ParaLevel2">
    <w:name w:val="ParaLevel2"/>
    <w:basedOn w:val="Normal"/>
    <w:rsid w:val="00C63429"/>
    <w:pPr>
      <w:numPr>
        <w:ilvl w:val="1"/>
        <w:numId w:val="15"/>
      </w:numPr>
      <w:suppressAutoHyphens/>
      <w:spacing w:before="240" w:after="240" w:line="480" w:lineRule="auto"/>
      <w:jc w:val="both"/>
      <w:outlineLvl w:val="1"/>
    </w:pPr>
    <w:rPr>
      <w:szCs w:val="20"/>
      <w:lang w:eastAsia="en-US"/>
    </w:rPr>
  </w:style>
  <w:style w:type="paragraph" w:customStyle="1" w:styleId="ParaLevel3">
    <w:name w:val="ParaLevel3"/>
    <w:basedOn w:val="Normal"/>
    <w:rsid w:val="00C63429"/>
    <w:pPr>
      <w:numPr>
        <w:ilvl w:val="2"/>
        <w:numId w:val="15"/>
      </w:numPr>
      <w:suppressAutoHyphens/>
      <w:spacing w:before="240" w:after="240" w:line="480" w:lineRule="auto"/>
      <w:jc w:val="both"/>
      <w:outlineLvl w:val="2"/>
    </w:pPr>
    <w:rPr>
      <w:szCs w:val="20"/>
      <w:lang w:eastAsia="en-US"/>
    </w:rPr>
  </w:style>
  <w:style w:type="paragraph" w:customStyle="1" w:styleId="ParaLevel4">
    <w:name w:val="ParaLevel4"/>
    <w:basedOn w:val="Normal"/>
    <w:rsid w:val="00C63429"/>
    <w:pPr>
      <w:numPr>
        <w:ilvl w:val="3"/>
        <w:numId w:val="15"/>
      </w:numPr>
      <w:tabs>
        <w:tab w:val="clear" w:pos="3207"/>
        <w:tab w:val="num" w:pos="2836"/>
      </w:tabs>
      <w:suppressAutoHyphens/>
      <w:spacing w:before="240" w:after="240" w:line="480" w:lineRule="auto"/>
      <w:jc w:val="both"/>
      <w:outlineLvl w:val="3"/>
    </w:pPr>
    <w:rPr>
      <w:szCs w:val="20"/>
      <w:lang w:eastAsia="en-US"/>
    </w:rPr>
  </w:style>
  <w:style w:type="paragraph" w:customStyle="1" w:styleId="ParaLevel5">
    <w:name w:val="ParaLevel5"/>
    <w:basedOn w:val="Normal"/>
    <w:rsid w:val="00C63429"/>
    <w:pPr>
      <w:numPr>
        <w:ilvl w:val="4"/>
        <w:numId w:val="15"/>
      </w:numPr>
      <w:suppressAutoHyphens/>
      <w:spacing w:before="240" w:after="240" w:line="480" w:lineRule="auto"/>
      <w:jc w:val="both"/>
      <w:outlineLvl w:val="4"/>
    </w:pPr>
    <w:rPr>
      <w:szCs w:val="20"/>
      <w:lang w:eastAsia="en-US"/>
    </w:rPr>
  </w:style>
  <w:style w:type="paragraph" w:customStyle="1" w:styleId="ParaLevel6">
    <w:name w:val="ParaLevel6"/>
    <w:basedOn w:val="Normal"/>
    <w:rsid w:val="00C63429"/>
    <w:pPr>
      <w:numPr>
        <w:ilvl w:val="5"/>
        <w:numId w:val="15"/>
      </w:numPr>
      <w:tabs>
        <w:tab w:val="clear" w:pos="4625"/>
        <w:tab w:val="num" w:pos="4254"/>
      </w:tabs>
      <w:suppressAutoHyphens/>
      <w:spacing w:before="240" w:after="240" w:line="480" w:lineRule="auto"/>
      <w:jc w:val="both"/>
      <w:outlineLvl w:val="5"/>
    </w:pPr>
    <w:rPr>
      <w:szCs w:val="20"/>
      <w:lang w:eastAsia="en-US"/>
    </w:rPr>
  </w:style>
  <w:style w:type="paragraph" w:customStyle="1" w:styleId="ParaLevel7">
    <w:name w:val="ParaLevel7"/>
    <w:basedOn w:val="Normal"/>
    <w:rsid w:val="00C63429"/>
    <w:pPr>
      <w:numPr>
        <w:ilvl w:val="6"/>
        <w:numId w:val="15"/>
      </w:numPr>
      <w:suppressAutoHyphens/>
      <w:spacing w:before="240" w:after="240" w:line="480" w:lineRule="auto"/>
      <w:jc w:val="both"/>
      <w:outlineLvl w:val="6"/>
    </w:pPr>
    <w:rPr>
      <w:szCs w:val="20"/>
      <w:lang w:eastAsia="en-US"/>
    </w:rPr>
  </w:style>
  <w:style w:type="paragraph" w:customStyle="1" w:styleId="ParaLevel8">
    <w:name w:val="ParaLevel8"/>
    <w:basedOn w:val="Normal"/>
    <w:rsid w:val="00C63429"/>
    <w:pPr>
      <w:numPr>
        <w:ilvl w:val="7"/>
        <w:numId w:val="15"/>
      </w:numPr>
      <w:tabs>
        <w:tab w:val="clear" w:pos="6043"/>
        <w:tab w:val="num" w:pos="5672"/>
      </w:tabs>
      <w:suppressAutoHyphens/>
      <w:spacing w:before="240" w:after="240" w:line="480" w:lineRule="auto"/>
      <w:jc w:val="both"/>
      <w:outlineLvl w:val="7"/>
    </w:pPr>
    <w:rPr>
      <w:szCs w:val="20"/>
      <w:lang w:eastAsia="en-US"/>
    </w:rPr>
  </w:style>
  <w:style w:type="paragraph" w:customStyle="1" w:styleId="ParaLevel9">
    <w:name w:val="ParaLevel9"/>
    <w:basedOn w:val="Normal"/>
    <w:rsid w:val="00C63429"/>
    <w:pPr>
      <w:numPr>
        <w:ilvl w:val="8"/>
        <w:numId w:val="15"/>
      </w:numPr>
      <w:suppressAutoHyphens/>
      <w:spacing w:before="240" w:after="240" w:line="480" w:lineRule="auto"/>
      <w:jc w:val="both"/>
      <w:outlineLvl w:val="8"/>
    </w:pPr>
    <w:rPr>
      <w:szCs w:val="20"/>
      <w:lang w:eastAsia="en-US"/>
    </w:rPr>
  </w:style>
  <w:style w:type="paragraph" w:styleId="ListParagraph">
    <w:name w:val="List Paragraph"/>
    <w:basedOn w:val="Normal"/>
    <w:uiPriority w:val="99"/>
    <w:qFormat/>
    <w:rsid w:val="009D7635"/>
    <w:pPr>
      <w:spacing w:after="120"/>
      <w:ind w:left="720"/>
      <w:contextualSpacing/>
      <w:jc w:val="both"/>
    </w:pPr>
    <w:rPr>
      <w:rFonts w:ascii="Calibri" w:hAnsi="Calibri" w:cs="Calibri"/>
      <w:sz w:val="22"/>
      <w:szCs w:val="22"/>
      <w:lang w:eastAsia="en-US"/>
    </w:rPr>
  </w:style>
  <w:style w:type="character" w:customStyle="1" w:styleId="FooterChar">
    <w:name w:val="Footer Char"/>
    <w:link w:val="Footer"/>
    <w:uiPriority w:val="99"/>
    <w:rsid w:val="00CC1B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99828">
      <w:bodyDiv w:val="1"/>
      <w:marLeft w:val="0"/>
      <w:marRight w:val="0"/>
      <w:marTop w:val="0"/>
      <w:marBottom w:val="0"/>
      <w:divBdr>
        <w:top w:val="none" w:sz="0" w:space="0" w:color="auto"/>
        <w:left w:val="none" w:sz="0" w:space="0" w:color="auto"/>
        <w:bottom w:val="none" w:sz="0" w:space="0" w:color="auto"/>
        <w:right w:val="none" w:sz="0" w:space="0" w:color="auto"/>
      </w:divBdr>
    </w:div>
    <w:div w:id="882331790">
      <w:bodyDiv w:val="1"/>
      <w:marLeft w:val="0"/>
      <w:marRight w:val="0"/>
      <w:marTop w:val="0"/>
      <w:marBottom w:val="0"/>
      <w:divBdr>
        <w:top w:val="none" w:sz="0" w:space="0" w:color="auto"/>
        <w:left w:val="none" w:sz="0" w:space="0" w:color="auto"/>
        <w:bottom w:val="none" w:sz="0" w:space="0" w:color="auto"/>
        <w:right w:val="none" w:sz="0" w:space="0" w:color="auto"/>
      </w:divBdr>
      <w:divsChild>
        <w:div w:id="35662776">
          <w:marLeft w:val="0"/>
          <w:marRight w:val="0"/>
          <w:marTop w:val="0"/>
          <w:marBottom w:val="0"/>
          <w:divBdr>
            <w:top w:val="none" w:sz="0" w:space="0" w:color="auto"/>
            <w:left w:val="none" w:sz="0" w:space="0" w:color="auto"/>
            <w:bottom w:val="none" w:sz="0" w:space="0" w:color="auto"/>
            <w:right w:val="none" w:sz="0" w:space="0" w:color="auto"/>
          </w:divBdr>
        </w:div>
        <w:div w:id="48502290">
          <w:marLeft w:val="0"/>
          <w:marRight w:val="0"/>
          <w:marTop w:val="0"/>
          <w:marBottom w:val="0"/>
          <w:divBdr>
            <w:top w:val="none" w:sz="0" w:space="0" w:color="auto"/>
            <w:left w:val="none" w:sz="0" w:space="0" w:color="auto"/>
            <w:bottom w:val="none" w:sz="0" w:space="0" w:color="auto"/>
            <w:right w:val="none" w:sz="0" w:space="0" w:color="auto"/>
          </w:divBdr>
        </w:div>
        <w:div w:id="67383044">
          <w:marLeft w:val="0"/>
          <w:marRight w:val="0"/>
          <w:marTop w:val="0"/>
          <w:marBottom w:val="0"/>
          <w:divBdr>
            <w:top w:val="none" w:sz="0" w:space="0" w:color="auto"/>
            <w:left w:val="none" w:sz="0" w:space="0" w:color="auto"/>
            <w:bottom w:val="none" w:sz="0" w:space="0" w:color="auto"/>
            <w:right w:val="none" w:sz="0" w:space="0" w:color="auto"/>
          </w:divBdr>
        </w:div>
        <w:div w:id="270555964">
          <w:marLeft w:val="0"/>
          <w:marRight w:val="0"/>
          <w:marTop w:val="0"/>
          <w:marBottom w:val="0"/>
          <w:divBdr>
            <w:top w:val="none" w:sz="0" w:space="0" w:color="auto"/>
            <w:left w:val="none" w:sz="0" w:space="0" w:color="auto"/>
            <w:bottom w:val="none" w:sz="0" w:space="0" w:color="auto"/>
            <w:right w:val="none" w:sz="0" w:space="0" w:color="auto"/>
          </w:divBdr>
        </w:div>
        <w:div w:id="339623568">
          <w:marLeft w:val="0"/>
          <w:marRight w:val="0"/>
          <w:marTop w:val="0"/>
          <w:marBottom w:val="0"/>
          <w:divBdr>
            <w:top w:val="none" w:sz="0" w:space="0" w:color="auto"/>
            <w:left w:val="none" w:sz="0" w:space="0" w:color="auto"/>
            <w:bottom w:val="none" w:sz="0" w:space="0" w:color="auto"/>
            <w:right w:val="none" w:sz="0" w:space="0" w:color="auto"/>
          </w:divBdr>
        </w:div>
        <w:div w:id="593829491">
          <w:marLeft w:val="0"/>
          <w:marRight w:val="0"/>
          <w:marTop w:val="0"/>
          <w:marBottom w:val="0"/>
          <w:divBdr>
            <w:top w:val="none" w:sz="0" w:space="0" w:color="auto"/>
            <w:left w:val="none" w:sz="0" w:space="0" w:color="auto"/>
            <w:bottom w:val="none" w:sz="0" w:space="0" w:color="auto"/>
            <w:right w:val="none" w:sz="0" w:space="0" w:color="auto"/>
          </w:divBdr>
        </w:div>
        <w:div w:id="598412656">
          <w:marLeft w:val="0"/>
          <w:marRight w:val="0"/>
          <w:marTop w:val="0"/>
          <w:marBottom w:val="0"/>
          <w:divBdr>
            <w:top w:val="none" w:sz="0" w:space="0" w:color="auto"/>
            <w:left w:val="none" w:sz="0" w:space="0" w:color="auto"/>
            <w:bottom w:val="none" w:sz="0" w:space="0" w:color="auto"/>
            <w:right w:val="none" w:sz="0" w:space="0" w:color="auto"/>
          </w:divBdr>
        </w:div>
        <w:div w:id="743642337">
          <w:marLeft w:val="0"/>
          <w:marRight w:val="0"/>
          <w:marTop w:val="0"/>
          <w:marBottom w:val="0"/>
          <w:divBdr>
            <w:top w:val="none" w:sz="0" w:space="0" w:color="auto"/>
            <w:left w:val="none" w:sz="0" w:space="0" w:color="auto"/>
            <w:bottom w:val="none" w:sz="0" w:space="0" w:color="auto"/>
            <w:right w:val="none" w:sz="0" w:space="0" w:color="auto"/>
          </w:divBdr>
        </w:div>
        <w:div w:id="840237615">
          <w:marLeft w:val="0"/>
          <w:marRight w:val="0"/>
          <w:marTop w:val="0"/>
          <w:marBottom w:val="0"/>
          <w:divBdr>
            <w:top w:val="none" w:sz="0" w:space="0" w:color="auto"/>
            <w:left w:val="none" w:sz="0" w:space="0" w:color="auto"/>
            <w:bottom w:val="none" w:sz="0" w:space="0" w:color="auto"/>
            <w:right w:val="none" w:sz="0" w:space="0" w:color="auto"/>
          </w:divBdr>
        </w:div>
        <w:div w:id="998575409">
          <w:marLeft w:val="0"/>
          <w:marRight w:val="0"/>
          <w:marTop w:val="0"/>
          <w:marBottom w:val="0"/>
          <w:divBdr>
            <w:top w:val="none" w:sz="0" w:space="0" w:color="auto"/>
            <w:left w:val="none" w:sz="0" w:space="0" w:color="auto"/>
            <w:bottom w:val="none" w:sz="0" w:space="0" w:color="auto"/>
            <w:right w:val="none" w:sz="0" w:space="0" w:color="auto"/>
          </w:divBdr>
        </w:div>
        <w:div w:id="1030959124">
          <w:marLeft w:val="0"/>
          <w:marRight w:val="0"/>
          <w:marTop w:val="0"/>
          <w:marBottom w:val="0"/>
          <w:divBdr>
            <w:top w:val="none" w:sz="0" w:space="0" w:color="auto"/>
            <w:left w:val="none" w:sz="0" w:space="0" w:color="auto"/>
            <w:bottom w:val="none" w:sz="0" w:space="0" w:color="auto"/>
            <w:right w:val="none" w:sz="0" w:space="0" w:color="auto"/>
          </w:divBdr>
        </w:div>
        <w:div w:id="1060176431">
          <w:marLeft w:val="0"/>
          <w:marRight w:val="0"/>
          <w:marTop w:val="0"/>
          <w:marBottom w:val="0"/>
          <w:divBdr>
            <w:top w:val="none" w:sz="0" w:space="0" w:color="auto"/>
            <w:left w:val="none" w:sz="0" w:space="0" w:color="auto"/>
            <w:bottom w:val="none" w:sz="0" w:space="0" w:color="auto"/>
            <w:right w:val="none" w:sz="0" w:space="0" w:color="auto"/>
          </w:divBdr>
        </w:div>
        <w:div w:id="1131097049">
          <w:marLeft w:val="0"/>
          <w:marRight w:val="0"/>
          <w:marTop w:val="0"/>
          <w:marBottom w:val="0"/>
          <w:divBdr>
            <w:top w:val="none" w:sz="0" w:space="0" w:color="auto"/>
            <w:left w:val="none" w:sz="0" w:space="0" w:color="auto"/>
            <w:bottom w:val="none" w:sz="0" w:space="0" w:color="auto"/>
            <w:right w:val="none" w:sz="0" w:space="0" w:color="auto"/>
          </w:divBdr>
        </w:div>
        <w:div w:id="1602881279">
          <w:marLeft w:val="0"/>
          <w:marRight w:val="0"/>
          <w:marTop w:val="0"/>
          <w:marBottom w:val="0"/>
          <w:divBdr>
            <w:top w:val="none" w:sz="0" w:space="0" w:color="auto"/>
            <w:left w:val="none" w:sz="0" w:space="0" w:color="auto"/>
            <w:bottom w:val="none" w:sz="0" w:space="0" w:color="auto"/>
            <w:right w:val="none" w:sz="0" w:space="0" w:color="auto"/>
          </w:divBdr>
        </w:div>
        <w:div w:id="1975600169">
          <w:marLeft w:val="0"/>
          <w:marRight w:val="0"/>
          <w:marTop w:val="0"/>
          <w:marBottom w:val="0"/>
          <w:divBdr>
            <w:top w:val="none" w:sz="0" w:space="0" w:color="auto"/>
            <w:left w:val="none" w:sz="0" w:space="0" w:color="auto"/>
            <w:bottom w:val="none" w:sz="0" w:space="0" w:color="auto"/>
            <w:right w:val="none" w:sz="0" w:space="0" w:color="auto"/>
          </w:divBdr>
        </w:div>
      </w:divsChild>
    </w:div>
    <w:div w:id="1662658250">
      <w:bodyDiv w:val="1"/>
      <w:marLeft w:val="0"/>
      <w:marRight w:val="0"/>
      <w:marTop w:val="0"/>
      <w:marBottom w:val="0"/>
      <w:divBdr>
        <w:top w:val="none" w:sz="0" w:space="0" w:color="auto"/>
        <w:left w:val="none" w:sz="0" w:space="0" w:color="auto"/>
        <w:bottom w:val="none" w:sz="0" w:space="0" w:color="auto"/>
        <w:right w:val="none" w:sz="0" w:space="0" w:color="auto"/>
      </w:divBdr>
    </w:div>
    <w:div w:id="1718432319">
      <w:bodyDiv w:val="1"/>
      <w:marLeft w:val="0"/>
      <w:marRight w:val="0"/>
      <w:marTop w:val="0"/>
      <w:marBottom w:val="0"/>
      <w:divBdr>
        <w:top w:val="none" w:sz="0" w:space="0" w:color="auto"/>
        <w:left w:val="none" w:sz="0" w:space="0" w:color="auto"/>
        <w:bottom w:val="none" w:sz="0" w:space="0" w:color="auto"/>
        <w:right w:val="none" w:sz="0" w:space="0" w:color="auto"/>
      </w:divBdr>
      <w:divsChild>
        <w:div w:id="171459631">
          <w:marLeft w:val="0"/>
          <w:marRight w:val="0"/>
          <w:marTop w:val="0"/>
          <w:marBottom w:val="0"/>
          <w:divBdr>
            <w:top w:val="none" w:sz="0" w:space="0" w:color="auto"/>
            <w:left w:val="none" w:sz="0" w:space="0" w:color="auto"/>
            <w:bottom w:val="none" w:sz="0" w:space="0" w:color="auto"/>
            <w:right w:val="none" w:sz="0" w:space="0" w:color="auto"/>
          </w:divBdr>
          <w:divsChild>
            <w:div w:id="191001435">
              <w:marLeft w:val="0"/>
              <w:marRight w:val="0"/>
              <w:marTop w:val="0"/>
              <w:marBottom w:val="0"/>
              <w:divBdr>
                <w:top w:val="single" w:sz="2" w:space="0" w:color="FFFFFF"/>
                <w:left w:val="single" w:sz="6" w:space="0" w:color="FFFFFF"/>
                <w:bottom w:val="single" w:sz="6" w:space="0" w:color="FFFFFF"/>
                <w:right w:val="single" w:sz="6" w:space="0" w:color="FFFFFF"/>
              </w:divBdr>
              <w:divsChild>
                <w:div w:id="819728906">
                  <w:marLeft w:val="0"/>
                  <w:marRight w:val="0"/>
                  <w:marTop w:val="0"/>
                  <w:marBottom w:val="0"/>
                  <w:divBdr>
                    <w:top w:val="single" w:sz="6" w:space="1" w:color="D3D3D3"/>
                    <w:left w:val="none" w:sz="0" w:space="0" w:color="auto"/>
                    <w:bottom w:val="none" w:sz="0" w:space="0" w:color="auto"/>
                    <w:right w:val="none" w:sz="0" w:space="0" w:color="auto"/>
                  </w:divBdr>
                  <w:divsChild>
                    <w:div w:id="43409903">
                      <w:marLeft w:val="0"/>
                      <w:marRight w:val="0"/>
                      <w:marTop w:val="0"/>
                      <w:marBottom w:val="0"/>
                      <w:divBdr>
                        <w:top w:val="none" w:sz="0" w:space="0" w:color="auto"/>
                        <w:left w:val="none" w:sz="0" w:space="0" w:color="auto"/>
                        <w:bottom w:val="none" w:sz="0" w:space="0" w:color="auto"/>
                        <w:right w:val="none" w:sz="0" w:space="0" w:color="auto"/>
                      </w:divBdr>
                      <w:divsChild>
                        <w:div w:id="3141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226712">
      <w:bodyDiv w:val="1"/>
      <w:marLeft w:val="0"/>
      <w:marRight w:val="0"/>
      <w:marTop w:val="0"/>
      <w:marBottom w:val="0"/>
      <w:divBdr>
        <w:top w:val="none" w:sz="0" w:space="0" w:color="auto"/>
        <w:left w:val="none" w:sz="0" w:space="0" w:color="auto"/>
        <w:bottom w:val="none" w:sz="0" w:space="0" w:color="auto"/>
        <w:right w:val="none" w:sz="0" w:space="0" w:color="auto"/>
      </w:divBdr>
      <w:divsChild>
        <w:div w:id="1713654800">
          <w:marLeft w:val="0"/>
          <w:marRight w:val="0"/>
          <w:marTop w:val="0"/>
          <w:marBottom w:val="0"/>
          <w:divBdr>
            <w:top w:val="none" w:sz="0" w:space="0" w:color="auto"/>
            <w:left w:val="none" w:sz="0" w:space="0" w:color="auto"/>
            <w:bottom w:val="none" w:sz="0" w:space="0" w:color="auto"/>
            <w:right w:val="none" w:sz="0" w:space="0" w:color="auto"/>
          </w:divBdr>
        </w:div>
        <w:div w:id="292291736">
          <w:marLeft w:val="0"/>
          <w:marRight w:val="0"/>
          <w:marTop w:val="0"/>
          <w:marBottom w:val="0"/>
          <w:divBdr>
            <w:top w:val="none" w:sz="0" w:space="0" w:color="auto"/>
            <w:left w:val="none" w:sz="0" w:space="0" w:color="auto"/>
            <w:bottom w:val="none" w:sz="0" w:space="0" w:color="auto"/>
            <w:right w:val="none" w:sz="0" w:space="0" w:color="auto"/>
          </w:divBdr>
        </w:div>
        <w:div w:id="1096244486">
          <w:marLeft w:val="0"/>
          <w:marRight w:val="0"/>
          <w:marTop w:val="0"/>
          <w:marBottom w:val="0"/>
          <w:divBdr>
            <w:top w:val="none" w:sz="0" w:space="0" w:color="auto"/>
            <w:left w:val="none" w:sz="0" w:space="0" w:color="auto"/>
            <w:bottom w:val="none" w:sz="0" w:space="0" w:color="auto"/>
            <w:right w:val="none" w:sz="0" w:space="0" w:color="auto"/>
          </w:divBdr>
        </w:div>
        <w:div w:id="1254700188">
          <w:marLeft w:val="0"/>
          <w:marRight w:val="0"/>
          <w:marTop w:val="0"/>
          <w:marBottom w:val="0"/>
          <w:divBdr>
            <w:top w:val="none" w:sz="0" w:space="0" w:color="auto"/>
            <w:left w:val="none" w:sz="0" w:space="0" w:color="auto"/>
            <w:bottom w:val="none" w:sz="0" w:space="0" w:color="auto"/>
            <w:right w:val="none" w:sz="0" w:space="0" w:color="auto"/>
          </w:divBdr>
        </w:div>
        <w:div w:id="1552841680">
          <w:marLeft w:val="0"/>
          <w:marRight w:val="0"/>
          <w:marTop w:val="0"/>
          <w:marBottom w:val="0"/>
          <w:divBdr>
            <w:top w:val="none" w:sz="0" w:space="0" w:color="auto"/>
            <w:left w:val="none" w:sz="0" w:space="0" w:color="auto"/>
            <w:bottom w:val="none" w:sz="0" w:space="0" w:color="auto"/>
            <w:right w:val="none" w:sz="0" w:space="0" w:color="auto"/>
          </w:divBdr>
        </w:div>
        <w:div w:id="219943306">
          <w:marLeft w:val="0"/>
          <w:marRight w:val="0"/>
          <w:marTop w:val="0"/>
          <w:marBottom w:val="0"/>
          <w:divBdr>
            <w:top w:val="none" w:sz="0" w:space="0" w:color="auto"/>
            <w:left w:val="none" w:sz="0" w:space="0" w:color="auto"/>
            <w:bottom w:val="none" w:sz="0" w:space="0" w:color="auto"/>
            <w:right w:val="none" w:sz="0" w:space="0" w:color="auto"/>
          </w:divBdr>
        </w:div>
        <w:div w:id="1495103254">
          <w:marLeft w:val="0"/>
          <w:marRight w:val="0"/>
          <w:marTop w:val="0"/>
          <w:marBottom w:val="0"/>
          <w:divBdr>
            <w:top w:val="none" w:sz="0" w:space="0" w:color="auto"/>
            <w:left w:val="none" w:sz="0" w:space="0" w:color="auto"/>
            <w:bottom w:val="none" w:sz="0" w:space="0" w:color="auto"/>
            <w:right w:val="none" w:sz="0" w:space="0" w:color="auto"/>
          </w:divBdr>
        </w:div>
        <w:div w:id="894776723">
          <w:marLeft w:val="0"/>
          <w:marRight w:val="0"/>
          <w:marTop w:val="0"/>
          <w:marBottom w:val="0"/>
          <w:divBdr>
            <w:top w:val="none" w:sz="0" w:space="0" w:color="auto"/>
            <w:left w:val="none" w:sz="0" w:space="0" w:color="auto"/>
            <w:bottom w:val="none" w:sz="0" w:space="0" w:color="auto"/>
            <w:right w:val="none" w:sz="0" w:space="0" w:color="auto"/>
          </w:divBdr>
        </w:div>
      </w:divsChild>
    </w:div>
    <w:div w:id="1893619503">
      <w:bodyDiv w:val="1"/>
      <w:marLeft w:val="0"/>
      <w:marRight w:val="0"/>
      <w:marTop w:val="0"/>
      <w:marBottom w:val="0"/>
      <w:divBdr>
        <w:top w:val="none" w:sz="0" w:space="0" w:color="auto"/>
        <w:left w:val="none" w:sz="0" w:space="0" w:color="auto"/>
        <w:bottom w:val="none" w:sz="0" w:space="0" w:color="auto"/>
        <w:right w:val="none" w:sz="0" w:space="0" w:color="auto"/>
      </w:divBdr>
      <w:divsChild>
        <w:div w:id="654913132">
          <w:marLeft w:val="0"/>
          <w:marRight w:val="0"/>
          <w:marTop w:val="0"/>
          <w:marBottom w:val="0"/>
          <w:divBdr>
            <w:top w:val="none" w:sz="0" w:space="0" w:color="auto"/>
            <w:left w:val="none" w:sz="0" w:space="0" w:color="auto"/>
            <w:bottom w:val="none" w:sz="0" w:space="0" w:color="auto"/>
            <w:right w:val="none" w:sz="0" w:space="0" w:color="auto"/>
          </w:divBdr>
        </w:div>
        <w:div w:id="1764035823">
          <w:marLeft w:val="0"/>
          <w:marRight w:val="0"/>
          <w:marTop w:val="0"/>
          <w:marBottom w:val="0"/>
          <w:divBdr>
            <w:top w:val="none" w:sz="0" w:space="0" w:color="auto"/>
            <w:left w:val="none" w:sz="0" w:space="0" w:color="auto"/>
            <w:bottom w:val="none" w:sz="0" w:space="0" w:color="auto"/>
            <w:right w:val="none" w:sz="0" w:space="0" w:color="auto"/>
          </w:divBdr>
        </w:div>
        <w:div w:id="1102797895">
          <w:marLeft w:val="0"/>
          <w:marRight w:val="0"/>
          <w:marTop w:val="0"/>
          <w:marBottom w:val="0"/>
          <w:divBdr>
            <w:top w:val="none" w:sz="0" w:space="0" w:color="auto"/>
            <w:left w:val="none" w:sz="0" w:space="0" w:color="auto"/>
            <w:bottom w:val="none" w:sz="0" w:space="0" w:color="auto"/>
            <w:right w:val="none" w:sz="0" w:space="0" w:color="auto"/>
          </w:divBdr>
        </w:div>
        <w:div w:id="954023169">
          <w:marLeft w:val="0"/>
          <w:marRight w:val="0"/>
          <w:marTop w:val="0"/>
          <w:marBottom w:val="0"/>
          <w:divBdr>
            <w:top w:val="none" w:sz="0" w:space="0" w:color="auto"/>
            <w:left w:val="none" w:sz="0" w:space="0" w:color="auto"/>
            <w:bottom w:val="none" w:sz="0" w:space="0" w:color="auto"/>
            <w:right w:val="none" w:sz="0" w:space="0" w:color="auto"/>
          </w:divBdr>
        </w:div>
        <w:div w:id="1737698723">
          <w:marLeft w:val="0"/>
          <w:marRight w:val="0"/>
          <w:marTop w:val="0"/>
          <w:marBottom w:val="0"/>
          <w:divBdr>
            <w:top w:val="none" w:sz="0" w:space="0" w:color="auto"/>
            <w:left w:val="none" w:sz="0" w:space="0" w:color="auto"/>
            <w:bottom w:val="none" w:sz="0" w:space="0" w:color="auto"/>
            <w:right w:val="none" w:sz="0" w:space="0" w:color="auto"/>
          </w:divBdr>
        </w:div>
        <w:div w:id="1366953385">
          <w:marLeft w:val="0"/>
          <w:marRight w:val="0"/>
          <w:marTop w:val="0"/>
          <w:marBottom w:val="0"/>
          <w:divBdr>
            <w:top w:val="none" w:sz="0" w:space="0" w:color="auto"/>
            <w:left w:val="none" w:sz="0" w:space="0" w:color="auto"/>
            <w:bottom w:val="none" w:sz="0" w:space="0" w:color="auto"/>
            <w:right w:val="none" w:sz="0" w:space="0" w:color="auto"/>
          </w:divBdr>
        </w:div>
        <w:div w:id="470947500">
          <w:marLeft w:val="0"/>
          <w:marRight w:val="0"/>
          <w:marTop w:val="0"/>
          <w:marBottom w:val="0"/>
          <w:divBdr>
            <w:top w:val="none" w:sz="0" w:space="0" w:color="auto"/>
            <w:left w:val="none" w:sz="0" w:space="0" w:color="auto"/>
            <w:bottom w:val="none" w:sz="0" w:space="0" w:color="auto"/>
            <w:right w:val="none" w:sz="0" w:space="0" w:color="auto"/>
          </w:divBdr>
        </w:div>
        <w:div w:id="1298947056">
          <w:marLeft w:val="0"/>
          <w:marRight w:val="0"/>
          <w:marTop w:val="0"/>
          <w:marBottom w:val="0"/>
          <w:divBdr>
            <w:top w:val="none" w:sz="0" w:space="0" w:color="auto"/>
            <w:left w:val="none" w:sz="0" w:space="0" w:color="auto"/>
            <w:bottom w:val="none" w:sz="0" w:space="0" w:color="auto"/>
            <w:right w:val="none" w:sz="0" w:space="0" w:color="auto"/>
          </w:divBdr>
        </w:div>
        <w:div w:id="441153314">
          <w:marLeft w:val="0"/>
          <w:marRight w:val="0"/>
          <w:marTop w:val="0"/>
          <w:marBottom w:val="0"/>
          <w:divBdr>
            <w:top w:val="none" w:sz="0" w:space="0" w:color="auto"/>
            <w:left w:val="none" w:sz="0" w:space="0" w:color="auto"/>
            <w:bottom w:val="none" w:sz="0" w:space="0" w:color="auto"/>
            <w:right w:val="none" w:sz="0" w:space="0" w:color="auto"/>
          </w:divBdr>
        </w:div>
        <w:div w:id="1878156433">
          <w:marLeft w:val="0"/>
          <w:marRight w:val="0"/>
          <w:marTop w:val="0"/>
          <w:marBottom w:val="0"/>
          <w:divBdr>
            <w:top w:val="none" w:sz="0" w:space="0" w:color="auto"/>
            <w:left w:val="none" w:sz="0" w:space="0" w:color="auto"/>
            <w:bottom w:val="none" w:sz="0" w:space="0" w:color="auto"/>
            <w:right w:val="none" w:sz="0" w:space="0" w:color="auto"/>
          </w:divBdr>
        </w:div>
        <w:div w:id="663434284">
          <w:marLeft w:val="0"/>
          <w:marRight w:val="0"/>
          <w:marTop w:val="0"/>
          <w:marBottom w:val="0"/>
          <w:divBdr>
            <w:top w:val="none" w:sz="0" w:space="0" w:color="auto"/>
            <w:left w:val="none" w:sz="0" w:space="0" w:color="auto"/>
            <w:bottom w:val="none" w:sz="0" w:space="0" w:color="auto"/>
            <w:right w:val="none" w:sz="0" w:space="0" w:color="auto"/>
          </w:divBdr>
        </w:div>
        <w:div w:id="573904016">
          <w:marLeft w:val="0"/>
          <w:marRight w:val="0"/>
          <w:marTop w:val="0"/>
          <w:marBottom w:val="0"/>
          <w:divBdr>
            <w:top w:val="none" w:sz="0" w:space="0" w:color="auto"/>
            <w:left w:val="none" w:sz="0" w:space="0" w:color="auto"/>
            <w:bottom w:val="none" w:sz="0" w:space="0" w:color="auto"/>
            <w:right w:val="none" w:sz="0" w:space="0" w:color="auto"/>
          </w:divBdr>
        </w:div>
      </w:divsChild>
    </w:div>
    <w:div w:id="2090418129">
      <w:bodyDiv w:val="1"/>
      <w:marLeft w:val="0"/>
      <w:marRight w:val="0"/>
      <w:marTop w:val="0"/>
      <w:marBottom w:val="0"/>
      <w:divBdr>
        <w:top w:val="none" w:sz="0" w:space="0" w:color="auto"/>
        <w:left w:val="none" w:sz="0" w:space="0" w:color="auto"/>
        <w:bottom w:val="none" w:sz="0" w:space="0" w:color="auto"/>
        <w:right w:val="none" w:sz="0" w:space="0" w:color="auto"/>
      </w:divBdr>
      <w:divsChild>
        <w:div w:id="694814594">
          <w:marLeft w:val="0"/>
          <w:marRight w:val="0"/>
          <w:marTop w:val="0"/>
          <w:marBottom w:val="0"/>
          <w:divBdr>
            <w:top w:val="none" w:sz="0" w:space="0" w:color="auto"/>
            <w:left w:val="none" w:sz="0" w:space="0" w:color="auto"/>
            <w:bottom w:val="none" w:sz="0" w:space="0" w:color="auto"/>
            <w:right w:val="none" w:sz="0" w:space="0" w:color="auto"/>
          </w:divBdr>
        </w:div>
        <w:div w:id="442579972">
          <w:marLeft w:val="0"/>
          <w:marRight w:val="0"/>
          <w:marTop w:val="0"/>
          <w:marBottom w:val="0"/>
          <w:divBdr>
            <w:top w:val="none" w:sz="0" w:space="0" w:color="auto"/>
            <w:left w:val="none" w:sz="0" w:space="0" w:color="auto"/>
            <w:bottom w:val="none" w:sz="0" w:space="0" w:color="auto"/>
            <w:right w:val="none" w:sz="0" w:space="0" w:color="auto"/>
          </w:divBdr>
        </w:div>
      </w:divsChild>
    </w:div>
    <w:div w:id="211558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2511</Words>
  <Characters>12454</Characters>
  <Application>Microsoft Office Word</Application>
  <DocSecurity>0</DocSecurity>
  <Lines>103</Lines>
  <Paragraphs>29</Paragraphs>
  <ScaleCrop>false</ScaleCrop>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2018-08-17T13:14:00Z</dcterms:created>
  <dcterms:modified xsi:type="dcterms:W3CDTF">2018-08-17T13:14:00Z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