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BBF32" w14:textId="77777777" w:rsidR="00A842AA" w:rsidRPr="00AC04A0" w:rsidRDefault="00840B99" w:rsidP="00A842AA">
      <w:pPr>
        <w:jc w:val="center"/>
        <w:rPr>
          <w:rFonts w:ascii="Book Antiqua" w:hAnsi="Book Antiqua" w:cs="Arial"/>
          <w:caps/>
          <w:color w:val="000000"/>
          <w:sz w:val="16"/>
          <w:szCs w:val="16"/>
        </w:rPr>
      </w:pPr>
      <w:r>
        <w:rPr>
          <w:noProof/>
        </w:rPr>
        <w:drawing>
          <wp:inline distT="0" distB="0" distL="0" distR="0" wp14:anchorId="4779709B" wp14:editId="18E1C46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1A8548B6" w14:textId="77777777"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14:paraId="06432019" w14:textId="7079F2CE"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0B4C97">
        <w:rPr>
          <w:rFonts w:ascii="Book Antiqua" w:hAnsi="Book Antiqua" w:cs="Arial"/>
          <w:b/>
          <w:color w:val="000000"/>
        </w:rPr>
        <w:t xml:space="preserve">   </w:t>
      </w:r>
      <w:proofErr w:type="gramEnd"/>
      <w:r w:rsidR="000B4C97">
        <w:rPr>
          <w:rFonts w:ascii="Book Antiqua" w:hAnsi="Book Antiqua" w:cs="Arial"/>
          <w:b/>
          <w:color w:val="000000"/>
        </w:rPr>
        <w:t xml:space="preserve">                    </w:t>
      </w:r>
      <w:r w:rsidR="00B3524D" w:rsidRPr="007802A0">
        <w:rPr>
          <w:rFonts w:ascii="Book Antiqua" w:hAnsi="Book Antiqua" w:cs="Arial"/>
          <w:b/>
          <w:color w:val="000000"/>
        </w:rPr>
        <w:t>Appeal Number</w:t>
      </w:r>
      <w:r w:rsidR="00D53769" w:rsidRPr="007802A0">
        <w:rPr>
          <w:rFonts w:ascii="Book Antiqua" w:hAnsi="Book Antiqua" w:cs="Arial"/>
          <w:b/>
          <w:color w:val="000000"/>
        </w:rPr>
        <w:t>:</w:t>
      </w:r>
      <w:r w:rsidR="00B3524D" w:rsidRPr="007802A0">
        <w:rPr>
          <w:rFonts w:ascii="Book Antiqua" w:hAnsi="Book Antiqua" w:cs="Arial"/>
          <w:b/>
          <w:color w:val="000000"/>
        </w:rPr>
        <w:t xml:space="preserve"> </w:t>
      </w:r>
      <w:r w:rsidR="00D818C9" w:rsidRPr="007802A0">
        <w:rPr>
          <w:rFonts w:ascii="Book Antiqua" w:hAnsi="Book Antiqua" w:cs="Arial"/>
          <w:b/>
          <w:caps/>
          <w:color w:val="000000"/>
        </w:rPr>
        <w:t>PA/02670/2019 (P)</w:t>
      </w:r>
    </w:p>
    <w:p w14:paraId="5833187A" w14:textId="77777777" w:rsidR="00C345E1" w:rsidRPr="00AC04A0" w:rsidRDefault="00C345E1" w:rsidP="00C345E1">
      <w:pPr>
        <w:jc w:val="center"/>
        <w:rPr>
          <w:rFonts w:ascii="Book Antiqua" w:hAnsi="Book Antiqua" w:cs="Arial"/>
          <w:color w:val="000000"/>
        </w:rPr>
      </w:pPr>
    </w:p>
    <w:p w14:paraId="760D5F83" w14:textId="77777777"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14:paraId="3B8074AC" w14:textId="77777777"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CC680E" w14:paraId="22C3EB28" w14:textId="77777777" w:rsidTr="000B4C97">
        <w:tc>
          <w:tcPr>
            <w:tcW w:w="5245" w:type="dxa"/>
            <w:shd w:val="clear" w:color="auto" w:fill="auto"/>
          </w:tcPr>
          <w:p w14:paraId="4A08ACF2" w14:textId="77777777" w:rsidR="00D22636" w:rsidRPr="00CC680E" w:rsidRDefault="00122345" w:rsidP="00CC680E">
            <w:pPr>
              <w:jc w:val="both"/>
              <w:rPr>
                <w:rFonts w:ascii="Book Antiqua" w:hAnsi="Book Antiqua" w:cs="Arial"/>
                <w:b/>
              </w:rPr>
            </w:pPr>
            <w:r>
              <w:rPr>
                <w:rFonts w:ascii="Book Antiqua" w:hAnsi="Book Antiqua" w:cs="Arial"/>
                <w:b/>
              </w:rPr>
              <w:t>Decided Without a Hearing</w:t>
            </w:r>
            <w:r w:rsidR="00D22636" w:rsidRPr="00CC680E">
              <w:rPr>
                <w:rFonts w:ascii="Book Antiqua" w:hAnsi="Book Antiqua" w:cs="Arial"/>
                <w:b/>
              </w:rPr>
              <w:t xml:space="preserve"> at </w:t>
            </w:r>
            <w:r>
              <w:rPr>
                <w:rFonts w:ascii="Book Antiqua" w:hAnsi="Book Antiqua" w:cs="Arial"/>
                <w:b/>
              </w:rPr>
              <w:t>Field House</w:t>
            </w:r>
          </w:p>
        </w:tc>
        <w:tc>
          <w:tcPr>
            <w:tcW w:w="4763" w:type="dxa"/>
            <w:shd w:val="clear" w:color="auto" w:fill="auto"/>
          </w:tcPr>
          <w:p w14:paraId="49DF9E2C" w14:textId="216006E1" w:rsidR="00D22636" w:rsidRPr="00CC680E" w:rsidRDefault="000B4C97" w:rsidP="00CC680E">
            <w:pPr>
              <w:jc w:val="both"/>
              <w:rPr>
                <w:rFonts w:ascii="Book Antiqua" w:hAnsi="Book Antiqua" w:cs="Arial"/>
                <w:b/>
                <w:color w:val="000000"/>
              </w:rPr>
            </w:pPr>
            <w:r>
              <w:rPr>
                <w:rFonts w:ascii="Book Antiqua" w:hAnsi="Book Antiqua" w:cs="Arial"/>
                <w:b/>
                <w:color w:val="000000"/>
              </w:rPr>
              <w:t xml:space="preserve"> </w:t>
            </w:r>
            <w:r w:rsidR="009F14B8" w:rsidRPr="00CC680E">
              <w:rPr>
                <w:rFonts w:ascii="Book Antiqua" w:hAnsi="Book Antiqua" w:cs="Arial"/>
                <w:b/>
                <w:color w:val="000000"/>
              </w:rPr>
              <w:t>Decision &amp; Reasons</w:t>
            </w:r>
            <w:r w:rsidR="00283659" w:rsidRPr="00CC680E">
              <w:rPr>
                <w:rFonts w:ascii="Book Antiqua" w:hAnsi="Book Antiqua" w:cs="Arial"/>
                <w:b/>
                <w:color w:val="000000"/>
              </w:rPr>
              <w:t xml:space="preserve"> Promulgated</w:t>
            </w:r>
          </w:p>
        </w:tc>
      </w:tr>
      <w:tr w:rsidR="00D22636" w:rsidRPr="00CC680E" w14:paraId="1E6F1F0A" w14:textId="77777777" w:rsidTr="000B4C97">
        <w:tc>
          <w:tcPr>
            <w:tcW w:w="5245" w:type="dxa"/>
            <w:shd w:val="clear" w:color="auto" w:fill="auto"/>
          </w:tcPr>
          <w:p w14:paraId="512129F5" w14:textId="77777777" w:rsidR="00D22636" w:rsidRPr="00CC680E" w:rsidRDefault="00D22636" w:rsidP="00CC680E">
            <w:pPr>
              <w:jc w:val="both"/>
              <w:rPr>
                <w:rFonts w:ascii="Book Antiqua" w:hAnsi="Book Antiqua" w:cs="Arial"/>
                <w:b/>
              </w:rPr>
            </w:pPr>
            <w:r w:rsidRPr="00CC680E">
              <w:rPr>
                <w:rFonts w:ascii="Book Antiqua" w:hAnsi="Book Antiqua" w:cs="Arial"/>
                <w:b/>
              </w:rPr>
              <w:t xml:space="preserve">On </w:t>
            </w:r>
            <w:r w:rsidR="00122345">
              <w:rPr>
                <w:rFonts w:ascii="Book Antiqua" w:hAnsi="Book Antiqua" w:cs="Arial"/>
                <w:b/>
              </w:rPr>
              <w:t>19 June 2020</w:t>
            </w:r>
          </w:p>
        </w:tc>
        <w:tc>
          <w:tcPr>
            <w:tcW w:w="4763" w:type="dxa"/>
            <w:shd w:val="clear" w:color="auto" w:fill="auto"/>
          </w:tcPr>
          <w:p w14:paraId="00538056" w14:textId="285F51E7" w:rsidR="00D22636" w:rsidRPr="00CC680E" w:rsidRDefault="000B4C97" w:rsidP="00CC680E">
            <w:pPr>
              <w:jc w:val="both"/>
              <w:rPr>
                <w:rFonts w:ascii="Book Antiqua" w:hAnsi="Book Antiqua" w:cs="Arial"/>
                <w:b/>
              </w:rPr>
            </w:pPr>
            <w:r>
              <w:rPr>
                <w:rFonts w:ascii="Book Antiqua" w:hAnsi="Book Antiqua" w:cs="Arial"/>
                <w:b/>
              </w:rPr>
              <w:t xml:space="preserve"> </w:t>
            </w:r>
            <w:r w:rsidR="002A6803">
              <w:rPr>
                <w:rFonts w:ascii="Book Antiqua" w:hAnsi="Book Antiqua" w:cs="Arial"/>
                <w:b/>
              </w:rPr>
              <w:t>On 29 June 2020</w:t>
            </w:r>
          </w:p>
        </w:tc>
      </w:tr>
      <w:tr w:rsidR="00D22636" w:rsidRPr="00CC680E" w14:paraId="01FF1AE0" w14:textId="77777777" w:rsidTr="000B4C97">
        <w:tc>
          <w:tcPr>
            <w:tcW w:w="5245" w:type="dxa"/>
            <w:shd w:val="clear" w:color="auto" w:fill="auto"/>
          </w:tcPr>
          <w:p w14:paraId="2806742A" w14:textId="77777777" w:rsidR="00D22636" w:rsidRPr="00CC680E" w:rsidRDefault="00D22636" w:rsidP="00CC680E">
            <w:pPr>
              <w:jc w:val="both"/>
              <w:rPr>
                <w:rFonts w:ascii="Book Antiqua" w:hAnsi="Book Antiqua" w:cs="Arial"/>
                <w:b/>
              </w:rPr>
            </w:pPr>
          </w:p>
        </w:tc>
        <w:tc>
          <w:tcPr>
            <w:tcW w:w="4763" w:type="dxa"/>
            <w:shd w:val="clear" w:color="auto" w:fill="auto"/>
          </w:tcPr>
          <w:p w14:paraId="1AA33398" w14:textId="725FD72C" w:rsidR="00D22636" w:rsidRPr="00CC680E" w:rsidRDefault="00D22636" w:rsidP="00CC680E">
            <w:pPr>
              <w:jc w:val="both"/>
              <w:rPr>
                <w:rFonts w:ascii="Book Antiqua" w:hAnsi="Book Antiqua" w:cs="Arial"/>
                <w:b/>
              </w:rPr>
            </w:pPr>
          </w:p>
        </w:tc>
      </w:tr>
    </w:tbl>
    <w:p w14:paraId="32B6AFE2" w14:textId="77777777" w:rsidR="00A15234" w:rsidRPr="00AC04A0" w:rsidRDefault="00A15234" w:rsidP="00A15234">
      <w:pPr>
        <w:jc w:val="center"/>
        <w:rPr>
          <w:rFonts w:ascii="Book Antiqua" w:hAnsi="Book Antiqua" w:cs="Arial"/>
        </w:rPr>
      </w:pPr>
    </w:p>
    <w:p w14:paraId="258646E6" w14:textId="77777777" w:rsidR="00A15234" w:rsidRPr="00AC04A0" w:rsidRDefault="00A15234" w:rsidP="00A15234">
      <w:pPr>
        <w:jc w:val="center"/>
        <w:rPr>
          <w:rFonts w:ascii="Book Antiqua" w:hAnsi="Book Antiqua" w:cs="Arial"/>
        </w:rPr>
      </w:pPr>
    </w:p>
    <w:p w14:paraId="2B5AAF36" w14:textId="77777777"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14:paraId="5100734C" w14:textId="77777777" w:rsidR="00A15234" w:rsidRPr="00AC04A0" w:rsidRDefault="00A15234" w:rsidP="00A15234">
      <w:pPr>
        <w:jc w:val="center"/>
        <w:rPr>
          <w:rFonts w:ascii="Book Antiqua" w:hAnsi="Book Antiqua" w:cs="Arial"/>
          <w:b/>
        </w:rPr>
      </w:pPr>
    </w:p>
    <w:p w14:paraId="19540BCB" w14:textId="77777777"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14:paraId="485534C6" w14:textId="77777777" w:rsidR="00D20757" w:rsidRPr="00AC04A0" w:rsidRDefault="00D20757" w:rsidP="00A15234">
      <w:pPr>
        <w:jc w:val="center"/>
        <w:rPr>
          <w:rFonts w:ascii="Book Antiqua" w:hAnsi="Book Antiqua" w:cs="Arial"/>
          <w:b/>
        </w:rPr>
      </w:pPr>
    </w:p>
    <w:p w14:paraId="07D67B75" w14:textId="77777777" w:rsidR="00A845DC" w:rsidRPr="00AC04A0" w:rsidRDefault="00A845DC" w:rsidP="00A15234">
      <w:pPr>
        <w:jc w:val="center"/>
        <w:rPr>
          <w:rFonts w:ascii="Book Antiqua" w:hAnsi="Book Antiqua" w:cs="Arial"/>
          <w:b/>
        </w:rPr>
      </w:pPr>
      <w:r w:rsidRPr="00AC04A0">
        <w:rPr>
          <w:rFonts w:ascii="Book Antiqua" w:hAnsi="Book Antiqua" w:cs="Arial"/>
          <w:b/>
        </w:rPr>
        <w:t>Between</w:t>
      </w:r>
    </w:p>
    <w:p w14:paraId="4A4ADDB8" w14:textId="77777777" w:rsidR="00A845DC" w:rsidRPr="00AC04A0" w:rsidRDefault="00A845DC" w:rsidP="00A15234">
      <w:pPr>
        <w:jc w:val="center"/>
        <w:rPr>
          <w:rFonts w:ascii="Book Antiqua" w:hAnsi="Book Antiqua" w:cs="Arial"/>
          <w:b/>
        </w:rPr>
      </w:pPr>
    </w:p>
    <w:p w14:paraId="3528A7BF" w14:textId="77777777" w:rsidR="00A845DC" w:rsidRDefault="00122345" w:rsidP="00A15234">
      <w:pPr>
        <w:jc w:val="center"/>
        <w:rPr>
          <w:rFonts w:ascii="Book Antiqua" w:hAnsi="Book Antiqua" w:cs="Arial"/>
          <w:b/>
          <w:caps/>
        </w:rPr>
      </w:pPr>
      <w:r>
        <w:rPr>
          <w:rFonts w:ascii="Book Antiqua" w:hAnsi="Book Antiqua" w:cs="Arial"/>
          <w:b/>
          <w:caps/>
        </w:rPr>
        <w:t>r k i</w:t>
      </w:r>
    </w:p>
    <w:p w14:paraId="73B8244C" w14:textId="77777777" w:rsidR="009F14B8" w:rsidRPr="000B4C97" w:rsidRDefault="009F14B8" w:rsidP="009F14B8">
      <w:pPr>
        <w:jc w:val="center"/>
        <w:rPr>
          <w:rFonts w:ascii="Book Antiqua" w:hAnsi="Book Antiqua" w:cs="Arial"/>
          <w:caps/>
        </w:rPr>
      </w:pPr>
      <w:r w:rsidRPr="000B4C97">
        <w:rPr>
          <w:rFonts w:ascii="Book Antiqua" w:hAnsi="Book Antiqua" w:cs="Arial"/>
          <w:caps/>
        </w:rPr>
        <w:t xml:space="preserve">(ANONYMITY DIRECTION </w:t>
      </w:r>
      <w:r w:rsidR="00122345" w:rsidRPr="000B4C97">
        <w:rPr>
          <w:rFonts w:ascii="Book Antiqua" w:hAnsi="Book Antiqua" w:cs="Arial"/>
          <w:caps/>
        </w:rPr>
        <w:t>made</w:t>
      </w:r>
      <w:r w:rsidRPr="000B4C97">
        <w:rPr>
          <w:rFonts w:ascii="Book Antiqua" w:hAnsi="Book Antiqua" w:cs="Arial"/>
          <w:caps/>
        </w:rPr>
        <w:t>)</w:t>
      </w:r>
    </w:p>
    <w:p w14:paraId="3BB43A61" w14:textId="77777777"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14:paraId="3967592E" w14:textId="77777777" w:rsidR="00704B61" w:rsidRPr="00AC04A0" w:rsidRDefault="00DD5071" w:rsidP="00704B61">
      <w:pPr>
        <w:jc w:val="center"/>
        <w:rPr>
          <w:rFonts w:ascii="Book Antiqua" w:hAnsi="Book Antiqua" w:cs="Arial"/>
          <w:b/>
        </w:rPr>
      </w:pPr>
      <w:r w:rsidRPr="00AC04A0">
        <w:rPr>
          <w:rFonts w:ascii="Book Antiqua" w:hAnsi="Book Antiqua" w:cs="Arial"/>
          <w:b/>
        </w:rPr>
        <w:t>and</w:t>
      </w:r>
    </w:p>
    <w:p w14:paraId="4CD513B3" w14:textId="77777777" w:rsidR="00DD5071" w:rsidRPr="00AC04A0" w:rsidRDefault="00DD5071" w:rsidP="00704B61">
      <w:pPr>
        <w:jc w:val="center"/>
        <w:rPr>
          <w:rFonts w:ascii="Book Antiqua" w:hAnsi="Book Antiqua" w:cs="Arial"/>
          <w:b/>
        </w:rPr>
      </w:pPr>
    </w:p>
    <w:p w14:paraId="14C9177E" w14:textId="77777777" w:rsidR="00344153" w:rsidRDefault="00344153" w:rsidP="00704B61">
      <w:pPr>
        <w:jc w:val="center"/>
        <w:rPr>
          <w:rFonts w:ascii="Book Antiqua" w:hAnsi="Book Antiqua" w:cs="Arial"/>
          <w:b/>
        </w:rPr>
      </w:pPr>
      <w:r>
        <w:rPr>
          <w:rFonts w:ascii="Book Antiqua" w:hAnsi="Book Antiqua" w:cs="Arial"/>
          <w:b/>
        </w:rPr>
        <w:t>SECRETARY OF STATE FOR THE HOME DEPARTMENT</w:t>
      </w:r>
    </w:p>
    <w:p w14:paraId="0D6C65C3" w14:textId="77777777"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14:paraId="46EF0153" w14:textId="77777777" w:rsidR="00DE7DB7" w:rsidRPr="000B19CE" w:rsidRDefault="009F14B8" w:rsidP="000B19CE">
      <w:pPr>
        <w:tabs>
          <w:tab w:val="left" w:pos="2520"/>
        </w:tabs>
        <w:spacing w:before="100" w:beforeAutospacing="1" w:after="100" w:afterAutospacing="1"/>
        <w:jc w:val="center"/>
        <w:rPr>
          <w:rFonts w:ascii="Book Antiqua" w:hAnsi="Book Antiqua" w:cs="Arial"/>
          <w:sz w:val="28"/>
          <w:szCs w:val="28"/>
        </w:rPr>
      </w:pPr>
      <w:r w:rsidRPr="000B19CE">
        <w:rPr>
          <w:rFonts w:ascii="Book Antiqua" w:hAnsi="Book Antiqua" w:cs="Arial"/>
          <w:b/>
          <w:sz w:val="28"/>
          <w:szCs w:val="28"/>
          <w:u w:val="single"/>
        </w:rPr>
        <w:t xml:space="preserve">DECISION </w:t>
      </w:r>
      <w:r w:rsidR="00402B9E" w:rsidRPr="000B19CE">
        <w:rPr>
          <w:rFonts w:ascii="Book Antiqua" w:hAnsi="Book Antiqua" w:cs="Arial"/>
          <w:b/>
          <w:sz w:val="28"/>
          <w:szCs w:val="28"/>
          <w:u w:val="single"/>
        </w:rPr>
        <w:t>AND REASONS</w:t>
      </w:r>
    </w:p>
    <w:p w14:paraId="3CD065B3" w14:textId="77777777" w:rsidR="003F7B0E" w:rsidRDefault="000B19CE" w:rsidP="003F7B0E">
      <w:pPr>
        <w:numPr>
          <w:ilvl w:val="0"/>
          <w:numId w:val="4"/>
        </w:numPr>
        <w:tabs>
          <w:tab w:val="left" w:pos="0"/>
        </w:tabs>
        <w:spacing w:before="120"/>
        <w:ind w:hanging="561"/>
        <w:jc w:val="both"/>
      </w:pPr>
      <w:r w:rsidRPr="002F6941">
        <w:rPr>
          <w:rFonts w:ascii="Century Schoolbook" w:hAnsi="Century Schoolbook" w:cs="Arial"/>
        </w:rPr>
        <w:t>Pursuant to rule 14 of the Tribunal Procedure (Upper Tribunal) Rules 2008 I make an order prohibiting the disclosure or publication of any matter likely to lead members of the public to identify the</w:t>
      </w:r>
      <w:r>
        <w:rPr>
          <w:rFonts w:ascii="Century Schoolbook" w:hAnsi="Century Schoolbook" w:cs="Arial"/>
        </w:rPr>
        <w:t xml:space="preserve"> Appellant</w:t>
      </w:r>
      <w:r w:rsidRPr="002F6941">
        <w:rPr>
          <w:rFonts w:ascii="Century Schoolbook" w:hAnsi="Century Schoolbook" w:cs="Arial"/>
        </w:rPr>
        <w:t xml:space="preserve">. Breach of this order can be punished as a contempt of court. I make this order because </w:t>
      </w:r>
      <w:r>
        <w:rPr>
          <w:rFonts w:ascii="Century Schoolbook" w:hAnsi="Century Schoolbook" w:cs="Arial"/>
        </w:rPr>
        <w:t>the Appellant is an asylum seeker.</w:t>
      </w:r>
      <w:r w:rsidR="00BC5004" w:rsidRPr="00BC5004">
        <w:rPr>
          <w:rFonts w:ascii="Book Antiqua" w:hAnsi="Book Antiqua" w:cs="Arial"/>
        </w:rPr>
        <w:t xml:space="preserve"> I find it surprising that the First-tier Tribunal Judge did not make an anonymity order.  </w:t>
      </w:r>
      <w:r w:rsidR="00BC5004">
        <w:rPr>
          <w:rFonts w:ascii="Book Antiqua" w:hAnsi="Book Antiqua" w:cs="Arial"/>
        </w:rPr>
        <w:t>An asylum seeker is entitled to anon</w:t>
      </w:r>
      <w:r w:rsidR="003F7B0E">
        <w:rPr>
          <w:rFonts w:ascii="Book Antiqua" w:hAnsi="Book Antiqua" w:cs="Arial"/>
        </w:rPr>
        <w:t>ymity no matter how weak a case might seem to a judge who dismisses an appeal.</w:t>
      </w:r>
    </w:p>
    <w:p w14:paraId="3B9F3D18" w14:textId="6F6DF9D8" w:rsidR="00D6340D" w:rsidRPr="00D6340D" w:rsidRDefault="00122345" w:rsidP="00D6340D">
      <w:pPr>
        <w:numPr>
          <w:ilvl w:val="0"/>
          <w:numId w:val="4"/>
        </w:numPr>
        <w:tabs>
          <w:tab w:val="left" w:pos="0"/>
        </w:tabs>
        <w:spacing w:before="120"/>
        <w:ind w:hanging="561"/>
        <w:jc w:val="both"/>
      </w:pPr>
      <w:r w:rsidRPr="003F7B0E">
        <w:rPr>
          <w:rFonts w:ascii="Book Antiqua" w:hAnsi="Book Antiqua" w:cs="Arial"/>
        </w:rPr>
        <w:t xml:space="preserve">The appeal is brought by the </w:t>
      </w:r>
      <w:r w:rsidR="00471F75">
        <w:rPr>
          <w:rFonts w:ascii="Book Antiqua" w:hAnsi="Book Antiqua" w:cs="Arial"/>
        </w:rPr>
        <w:t>A</w:t>
      </w:r>
      <w:r w:rsidRPr="003F7B0E">
        <w:rPr>
          <w:rFonts w:ascii="Book Antiqua" w:hAnsi="Book Antiqua" w:cs="Arial"/>
        </w:rPr>
        <w:t xml:space="preserve">ppellant with the permission of the First-tier Tribunal against a decision of </w:t>
      </w:r>
      <w:r w:rsidR="00E57A63">
        <w:rPr>
          <w:rFonts w:ascii="Book Antiqua" w:hAnsi="Book Antiqua" w:cs="Arial"/>
        </w:rPr>
        <w:t xml:space="preserve">a different </w:t>
      </w:r>
      <w:r w:rsidRPr="003F7B0E">
        <w:rPr>
          <w:rFonts w:ascii="Book Antiqua" w:hAnsi="Book Antiqua" w:cs="Arial"/>
        </w:rPr>
        <w:t xml:space="preserve">First-tier Tribunal Judge </w:t>
      </w:r>
      <w:r w:rsidR="00605267" w:rsidRPr="003F7B0E">
        <w:rPr>
          <w:rFonts w:ascii="Book Antiqua" w:hAnsi="Book Antiqua" w:cs="Arial"/>
        </w:rPr>
        <w:t>promulgated on 17 December 2019 dismissing his appeal against a decision of the Secretary of State refusing him international protection.</w:t>
      </w:r>
    </w:p>
    <w:p w14:paraId="2F6F29A6" w14:textId="0EB90B58" w:rsidR="00DB6407" w:rsidRDefault="00605267" w:rsidP="00DB6407">
      <w:pPr>
        <w:numPr>
          <w:ilvl w:val="0"/>
          <w:numId w:val="4"/>
        </w:numPr>
        <w:tabs>
          <w:tab w:val="left" w:pos="0"/>
        </w:tabs>
        <w:spacing w:before="120"/>
        <w:ind w:hanging="561"/>
        <w:jc w:val="both"/>
      </w:pPr>
      <w:r w:rsidRPr="00D6340D">
        <w:rPr>
          <w:rFonts w:ascii="Book Antiqua" w:hAnsi="Book Antiqua" w:cs="Arial"/>
        </w:rPr>
        <w:t xml:space="preserve">Appropriate special directions have been sent to the parties </w:t>
      </w:r>
      <w:proofErr w:type="gramStart"/>
      <w:r w:rsidRPr="00D6340D">
        <w:rPr>
          <w:rFonts w:ascii="Book Antiqua" w:hAnsi="Book Antiqua" w:cs="Arial"/>
        </w:rPr>
        <w:t>in light of</w:t>
      </w:r>
      <w:proofErr w:type="gramEnd"/>
      <w:r w:rsidRPr="00D6340D">
        <w:rPr>
          <w:rFonts w:ascii="Book Antiqua" w:hAnsi="Book Antiqua" w:cs="Arial"/>
        </w:rPr>
        <w:t xml:space="preserve"> the well-known national lockdown provisions.  The appellant has responded to those directions with full submissions.  The respondent has not sent in any more detailed response but I </w:t>
      </w:r>
      <w:r w:rsidR="000949FE" w:rsidRPr="00D6340D">
        <w:rPr>
          <w:rFonts w:ascii="Book Antiqua" w:hAnsi="Book Antiqua" w:cs="Arial"/>
        </w:rPr>
        <w:t>do not</w:t>
      </w:r>
      <w:r w:rsidRPr="00D6340D">
        <w:rPr>
          <w:rFonts w:ascii="Book Antiqua" w:hAnsi="Book Antiqua" w:cs="Arial"/>
        </w:rPr>
        <w:t xml:space="preserve"> criticise her for that.  A Rule 24 notice</w:t>
      </w:r>
      <w:r w:rsidR="00471F75">
        <w:rPr>
          <w:rFonts w:ascii="Book Antiqua" w:hAnsi="Book Antiqua" w:cs="Arial"/>
        </w:rPr>
        <w:t>,</w:t>
      </w:r>
      <w:r w:rsidRPr="00D6340D">
        <w:rPr>
          <w:rFonts w:ascii="Book Antiqua" w:hAnsi="Book Antiqua" w:cs="Arial"/>
        </w:rPr>
        <w:t xml:space="preserve"> described appropriately by the appellant’s Counsel</w:t>
      </w:r>
      <w:r w:rsidR="00654627">
        <w:rPr>
          <w:rFonts w:ascii="Book Antiqua" w:hAnsi="Book Antiqua" w:cs="Arial"/>
        </w:rPr>
        <w:t xml:space="preserve">, </w:t>
      </w:r>
      <w:r w:rsidRPr="00D6340D">
        <w:rPr>
          <w:rFonts w:ascii="Book Antiqua" w:hAnsi="Book Antiqua" w:cs="Arial"/>
        </w:rPr>
        <w:t xml:space="preserve">Mr Allan </w:t>
      </w:r>
      <w:proofErr w:type="spellStart"/>
      <w:r w:rsidRPr="00D6340D">
        <w:rPr>
          <w:rFonts w:ascii="Book Antiqua" w:hAnsi="Book Antiqua" w:cs="Arial"/>
        </w:rPr>
        <w:t>Briddock</w:t>
      </w:r>
      <w:proofErr w:type="spellEnd"/>
      <w:r w:rsidR="00654627">
        <w:rPr>
          <w:rFonts w:ascii="Book Antiqua" w:hAnsi="Book Antiqua" w:cs="Arial"/>
        </w:rPr>
        <w:t xml:space="preserve">, </w:t>
      </w:r>
      <w:r w:rsidR="00DB6407">
        <w:rPr>
          <w:rFonts w:ascii="Book Antiqua" w:hAnsi="Book Antiqua" w:cs="Arial"/>
        </w:rPr>
        <w:t>a “formulaic” has been served.</w:t>
      </w:r>
    </w:p>
    <w:p w14:paraId="418780C1" w14:textId="6979C1AE" w:rsidR="00DB6407" w:rsidRPr="00DB6407" w:rsidRDefault="00605267" w:rsidP="00471F75">
      <w:pPr>
        <w:numPr>
          <w:ilvl w:val="0"/>
          <w:numId w:val="4"/>
        </w:numPr>
        <w:tabs>
          <w:tab w:val="left" w:pos="0"/>
        </w:tabs>
        <w:spacing w:before="120"/>
        <w:ind w:hanging="561"/>
        <w:jc w:val="both"/>
      </w:pPr>
      <w:r w:rsidRPr="00DB6407">
        <w:rPr>
          <w:rFonts w:ascii="Book Antiqua" w:hAnsi="Book Antiqua" w:cs="Arial"/>
        </w:rPr>
        <w:lastRenderedPageBreak/>
        <w:t>I have no hesitation in setting aside the decision for error of law.  The</w:t>
      </w:r>
      <w:r w:rsidR="00471F75">
        <w:t xml:space="preserve"> </w:t>
      </w:r>
      <w:r w:rsidR="00471F75" w:rsidRPr="00471F75">
        <w:rPr>
          <w:rFonts w:ascii="Book Antiqua" w:hAnsi="Book Antiqua" w:cs="Arial"/>
        </w:rPr>
        <w:t>A</w:t>
      </w:r>
      <w:r w:rsidRPr="00471F75">
        <w:rPr>
          <w:rFonts w:ascii="Book Antiqua" w:hAnsi="Book Antiqua" w:cs="Arial"/>
        </w:rPr>
        <w:t xml:space="preserve">ppellant identifies himself as a citizen of Iran and the Secretary of State accepts that </w:t>
      </w:r>
      <w:proofErr w:type="gramStart"/>
      <w:r w:rsidRPr="00471F75">
        <w:rPr>
          <w:rFonts w:ascii="Book Antiqua" w:hAnsi="Book Antiqua" w:cs="Arial"/>
        </w:rPr>
        <w:t>by reason of</w:t>
      </w:r>
      <w:proofErr w:type="gramEnd"/>
      <w:r w:rsidRPr="00471F75">
        <w:rPr>
          <w:rFonts w:ascii="Book Antiqua" w:hAnsi="Book Antiqua" w:cs="Arial"/>
        </w:rPr>
        <w:t xml:space="preserve"> his in-country activity he needs international protection from the authorities in the event of his return to Iran.  The Secretary of State does not accept that </w:t>
      </w:r>
      <w:r w:rsidR="00471F75" w:rsidRPr="00471F75">
        <w:rPr>
          <w:rFonts w:ascii="Book Antiqua" w:hAnsi="Book Antiqua" w:cs="Arial"/>
        </w:rPr>
        <w:t>t</w:t>
      </w:r>
      <w:r w:rsidRPr="00471F75">
        <w:rPr>
          <w:rFonts w:ascii="Book Antiqua" w:hAnsi="Book Antiqua" w:cs="Arial"/>
        </w:rPr>
        <w:t xml:space="preserve">he </w:t>
      </w:r>
      <w:r w:rsidR="00471F75" w:rsidRPr="00471F75">
        <w:rPr>
          <w:rFonts w:ascii="Book Antiqua" w:hAnsi="Book Antiqua" w:cs="Arial"/>
        </w:rPr>
        <w:t xml:space="preserve">appellant </w:t>
      </w:r>
      <w:r w:rsidRPr="00471F75">
        <w:rPr>
          <w:rFonts w:ascii="Book Antiqua" w:hAnsi="Book Antiqua" w:cs="Arial"/>
        </w:rPr>
        <w:t>is in fact an Iranian national.</w:t>
      </w:r>
    </w:p>
    <w:p w14:paraId="4B1DDA32" w14:textId="77777777" w:rsidR="00C72FDB" w:rsidRPr="00C72FDB" w:rsidRDefault="00605267" w:rsidP="005052E7">
      <w:pPr>
        <w:numPr>
          <w:ilvl w:val="0"/>
          <w:numId w:val="4"/>
        </w:numPr>
        <w:tabs>
          <w:tab w:val="left" w:pos="0"/>
        </w:tabs>
        <w:spacing w:before="120"/>
        <w:ind w:hanging="561"/>
        <w:jc w:val="both"/>
      </w:pPr>
      <w:r w:rsidRPr="00C72FDB">
        <w:rPr>
          <w:rFonts w:ascii="Book Antiqua" w:hAnsi="Book Antiqua" w:cs="Arial"/>
        </w:rPr>
        <w:t xml:space="preserve">He has previously been refused leave and appealed and the appeal was dismissed </w:t>
      </w:r>
      <w:r w:rsidR="00C72FDB" w:rsidRPr="00C72FDB">
        <w:rPr>
          <w:rFonts w:ascii="Book Antiqua" w:hAnsi="Book Antiqua" w:cs="Arial"/>
        </w:rPr>
        <w:t xml:space="preserve">at a hearing that the Appellant did not attend </w:t>
      </w:r>
      <w:r w:rsidRPr="00C72FDB">
        <w:rPr>
          <w:rFonts w:ascii="Book Antiqua" w:hAnsi="Book Antiqua" w:cs="Arial"/>
        </w:rPr>
        <w:t>because he failed to show that he was Iranian.</w:t>
      </w:r>
    </w:p>
    <w:p w14:paraId="503ECB88" w14:textId="77777777" w:rsidR="003F6870" w:rsidRDefault="00605267" w:rsidP="003F6870">
      <w:pPr>
        <w:numPr>
          <w:ilvl w:val="0"/>
          <w:numId w:val="4"/>
        </w:numPr>
        <w:tabs>
          <w:tab w:val="left" w:pos="0"/>
        </w:tabs>
        <w:spacing w:before="120"/>
        <w:ind w:hanging="561"/>
        <w:jc w:val="both"/>
      </w:pPr>
      <w:r w:rsidRPr="00C72FDB">
        <w:rPr>
          <w:rFonts w:ascii="Book Antiqua" w:hAnsi="Book Antiqua" w:cs="Arial"/>
        </w:rPr>
        <w:t xml:space="preserve">The appeal was presented on this occasion with the appellant attending and additional supporting evidence.  The First-tier Tribunal did not consider it properly or at all.  Whilst it is right that where a point has been determined then the Tribunal is bound for the reasons given in </w:t>
      </w:r>
      <w:proofErr w:type="spellStart"/>
      <w:r w:rsidRPr="00C72FDB">
        <w:rPr>
          <w:rFonts w:ascii="Book Antiqua" w:hAnsi="Book Antiqua" w:cs="Arial"/>
          <w:b/>
          <w:u w:val="single"/>
        </w:rPr>
        <w:t>Devaseelan</w:t>
      </w:r>
      <w:proofErr w:type="spellEnd"/>
      <w:r w:rsidRPr="00C72FDB">
        <w:rPr>
          <w:rFonts w:ascii="Book Antiqua" w:hAnsi="Book Antiqua" w:cs="Arial"/>
          <w:b/>
          <w:u w:val="single"/>
        </w:rPr>
        <w:t xml:space="preserve"> v SSHD</w:t>
      </w:r>
      <w:r w:rsidRPr="00C72FDB">
        <w:rPr>
          <w:rFonts w:ascii="Book Antiqua" w:hAnsi="Book Antiqua" w:cs="Arial"/>
          <w:b/>
        </w:rPr>
        <w:t xml:space="preserve"> [2002] UKIAT 00702</w:t>
      </w:r>
      <w:r w:rsidRPr="00C72FDB">
        <w:rPr>
          <w:rFonts w:ascii="Book Antiqua" w:hAnsi="Book Antiqua" w:cs="Arial"/>
        </w:rPr>
        <w:t xml:space="preserve"> to take that decision as a necessary starting point</w:t>
      </w:r>
      <w:r w:rsidR="00D957D8">
        <w:rPr>
          <w:rFonts w:ascii="Book Antiqua" w:hAnsi="Book Antiqua" w:cs="Arial"/>
        </w:rPr>
        <w:t xml:space="preserve"> it does not create an irrebut</w:t>
      </w:r>
      <w:r w:rsidR="009D6818">
        <w:rPr>
          <w:rFonts w:ascii="Book Antiqua" w:hAnsi="Book Antiqua" w:cs="Arial"/>
        </w:rPr>
        <w:t>t</w:t>
      </w:r>
      <w:r w:rsidR="00D957D8">
        <w:rPr>
          <w:rFonts w:ascii="Book Antiqua" w:hAnsi="Book Antiqua" w:cs="Arial"/>
        </w:rPr>
        <w:t xml:space="preserve">able </w:t>
      </w:r>
      <w:r w:rsidR="009D6818">
        <w:rPr>
          <w:rFonts w:ascii="Book Antiqua" w:hAnsi="Book Antiqua" w:cs="Arial"/>
        </w:rPr>
        <w:t>presumption</w:t>
      </w:r>
      <w:r w:rsidRPr="00C72FDB">
        <w:rPr>
          <w:rFonts w:ascii="Book Antiqua" w:hAnsi="Book Antiqua" w:cs="Arial"/>
        </w:rPr>
        <w:t xml:space="preserve">.  </w:t>
      </w:r>
      <w:r w:rsidR="009D6818">
        <w:rPr>
          <w:rFonts w:ascii="Book Antiqua" w:hAnsi="Book Antiqua" w:cs="Arial"/>
        </w:rPr>
        <w:t>T</w:t>
      </w:r>
      <w:r w:rsidRPr="00C72FDB">
        <w:rPr>
          <w:rFonts w:ascii="Book Antiqua" w:hAnsi="Book Antiqua" w:cs="Arial"/>
        </w:rPr>
        <w:t>here is clear</w:t>
      </w:r>
      <w:r w:rsidR="009D6818">
        <w:rPr>
          <w:rFonts w:ascii="Book Antiqua" w:hAnsi="Book Antiqua" w:cs="Arial"/>
        </w:rPr>
        <w:t>ly</w:t>
      </w:r>
      <w:r w:rsidRPr="00C72FDB">
        <w:rPr>
          <w:rFonts w:ascii="Book Antiqua" w:hAnsi="Book Antiqua" w:cs="Arial"/>
        </w:rPr>
        <w:t xml:space="preserve"> additional evidence here that had to be considered.  First the appellant gave evidence and was cross-examined.  It may be that </w:t>
      </w:r>
      <w:r w:rsidR="001D774D">
        <w:rPr>
          <w:rFonts w:ascii="Book Antiqua" w:hAnsi="Book Antiqua" w:cs="Arial"/>
        </w:rPr>
        <w:t xml:space="preserve">the oral evidence </w:t>
      </w:r>
      <w:r w:rsidRPr="00C72FDB">
        <w:rPr>
          <w:rFonts w:ascii="Book Antiqua" w:hAnsi="Book Antiqua" w:cs="Arial"/>
        </w:rPr>
        <w:t>did not</w:t>
      </w:r>
      <w:r w:rsidR="001D774D">
        <w:rPr>
          <w:rFonts w:ascii="Book Antiqua" w:hAnsi="Book Antiqua" w:cs="Arial"/>
        </w:rPr>
        <w:t xml:space="preserve"> </w:t>
      </w:r>
      <w:r w:rsidR="00081ED1" w:rsidRPr="00C72FDB">
        <w:rPr>
          <w:rFonts w:ascii="Book Antiqua" w:hAnsi="Book Antiqua" w:cs="Arial"/>
        </w:rPr>
        <w:t>add</w:t>
      </w:r>
      <w:r w:rsidRPr="00C72FDB">
        <w:rPr>
          <w:rFonts w:ascii="Book Antiqua" w:hAnsi="Book Antiqua" w:cs="Arial"/>
        </w:rPr>
        <w:t xml:space="preserve"> much to what had been said previously but as far as I can see the First-tier Tribunal Judge made no attempt to look for anything new and t</w:t>
      </w:r>
      <w:r w:rsidR="001D774D">
        <w:rPr>
          <w:rFonts w:ascii="Book Antiqua" w:hAnsi="Book Antiqua" w:cs="Arial"/>
        </w:rPr>
        <w:t>hen e</w:t>
      </w:r>
      <w:r w:rsidRPr="00C72FDB">
        <w:rPr>
          <w:rFonts w:ascii="Book Antiqua" w:hAnsi="Book Antiqua" w:cs="Arial"/>
        </w:rPr>
        <w:t>valuate it with the rest of the evidence.</w:t>
      </w:r>
    </w:p>
    <w:p w14:paraId="54028A0C" w14:textId="77777777" w:rsidR="00F852E6" w:rsidRDefault="00605267" w:rsidP="00F852E6">
      <w:pPr>
        <w:numPr>
          <w:ilvl w:val="0"/>
          <w:numId w:val="4"/>
        </w:numPr>
        <w:tabs>
          <w:tab w:val="left" w:pos="0"/>
        </w:tabs>
        <w:spacing w:before="120"/>
        <w:ind w:hanging="561"/>
        <w:jc w:val="both"/>
      </w:pPr>
      <w:r w:rsidRPr="003F6870">
        <w:rPr>
          <w:rFonts w:ascii="Book Antiqua" w:hAnsi="Book Antiqua" w:cs="Arial"/>
        </w:rPr>
        <w:t>More significantly there was oral evidence from a friend and a supporting letter.  There is no consideration of the letter and I find no proper reasons given for writing</w:t>
      </w:r>
      <w:r w:rsidR="003F6870">
        <w:rPr>
          <w:rFonts w:ascii="Book Antiqua" w:hAnsi="Book Antiqua" w:cs="Arial"/>
        </w:rPr>
        <w:t>-</w:t>
      </w:r>
      <w:r w:rsidRPr="003F6870">
        <w:rPr>
          <w:rFonts w:ascii="Book Antiqua" w:hAnsi="Book Antiqua" w:cs="Arial"/>
        </w:rPr>
        <w:t xml:space="preserve">off the evidence </w:t>
      </w:r>
      <w:r w:rsidR="00F852E6">
        <w:rPr>
          <w:rFonts w:ascii="Book Antiqua" w:hAnsi="Book Antiqua" w:cs="Arial"/>
        </w:rPr>
        <w:t xml:space="preserve">of </w:t>
      </w:r>
      <w:r w:rsidR="006B79EB" w:rsidRPr="003F6870">
        <w:rPr>
          <w:rFonts w:ascii="Book Antiqua" w:hAnsi="Book Antiqua" w:cs="Arial"/>
        </w:rPr>
        <w:t>a supporter.  Crucially the judge does not seem to deal with the witness’ assertion that he knows the appellant to be Iranian because of his accent.  That is a potentially very contentious area but it needs to be considered properly and it has not been.</w:t>
      </w:r>
    </w:p>
    <w:p w14:paraId="52A78944" w14:textId="01192A71" w:rsidR="005052E7" w:rsidRPr="005052E7" w:rsidRDefault="006B79EB" w:rsidP="00F852E6">
      <w:pPr>
        <w:numPr>
          <w:ilvl w:val="0"/>
          <w:numId w:val="4"/>
        </w:numPr>
        <w:tabs>
          <w:tab w:val="left" w:pos="0"/>
        </w:tabs>
        <w:spacing w:before="120"/>
        <w:ind w:hanging="561"/>
        <w:jc w:val="both"/>
      </w:pPr>
      <w:r w:rsidRPr="00F852E6">
        <w:rPr>
          <w:rFonts w:ascii="Book Antiqua" w:hAnsi="Book Antiqua" w:cs="Arial"/>
        </w:rPr>
        <w:t>I agree too with the second ground which is summarised as a criticism that the judge rather than using the determination of Immigration Judge L Murra</w:t>
      </w:r>
      <w:r w:rsidR="000019F7">
        <w:rPr>
          <w:rFonts w:ascii="Book Antiqua" w:hAnsi="Book Antiqua" w:cs="Arial"/>
        </w:rPr>
        <w:t xml:space="preserve">y </w:t>
      </w:r>
      <w:r w:rsidRPr="00F852E6">
        <w:rPr>
          <w:rFonts w:ascii="Book Antiqua" w:hAnsi="Book Antiqua" w:cs="Arial"/>
        </w:rPr>
        <w:t>is not being treated “as a starting point, but rather erroneously viewed that previous determination as if she were deciding whether the previous Judge had made an error of law.”</w:t>
      </w:r>
    </w:p>
    <w:p w14:paraId="355C4119" w14:textId="77777777" w:rsidR="005052E7" w:rsidRPr="005052E7" w:rsidRDefault="006B79EB" w:rsidP="005052E7">
      <w:pPr>
        <w:numPr>
          <w:ilvl w:val="0"/>
          <w:numId w:val="4"/>
        </w:numPr>
        <w:tabs>
          <w:tab w:val="left" w:pos="0"/>
        </w:tabs>
        <w:spacing w:before="120"/>
        <w:ind w:hanging="561"/>
        <w:jc w:val="both"/>
      </w:pPr>
      <w:r w:rsidRPr="005052E7">
        <w:rPr>
          <w:rFonts w:ascii="Book Antiqua" w:hAnsi="Book Antiqua" w:cs="Arial"/>
        </w:rPr>
        <w:t>I may not have formulated the point in quite that way but it is substantially made out.</w:t>
      </w:r>
    </w:p>
    <w:p w14:paraId="1B746E8B" w14:textId="2F215E1C" w:rsidR="005052E7" w:rsidRPr="005052E7" w:rsidRDefault="006B79EB" w:rsidP="005052E7">
      <w:pPr>
        <w:numPr>
          <w:ilvl w:val="0"/>
          <w:numId w:val="4"/>
        </w:numPr>
        <w:tabs>
          <w:tab w:val="left" w:pos="0"/>
        </w:tabs>
        <w:spacing w:before="120"/>
        <w:ind w:hanging="561"/>
        <w:jc w:val="both"/>
      </w:pPr>
      <w:r w:rsidRPr="005052E7">
        <w:rPr>
          <w:rFonts w:ascii="Book Antiqua" w:hAnsi="Book Antiqua" w:cs="Arial"/>
        </w:rPr>
        <w:t xml:space="preserve">The third point is that the judge made findings before considering the evidence in the round.  That is always an easy argument to raise </w:t>
      </w:r>
      <w:r w:rsidR="002805D8">
        <w:rPr>
          <w:rFonts w:ascii="Book Antiqua" w:hAnsi="Book Antiqua" w:cs="Arial"/>
        </w:rPr>
        <w:t xml:space="preserve">but </w:t>
      </w:r>
      <w:r w:rsidRPr="005052E7">
        <w:rPr>
          <w:rFonts w:ascii="Book Antiqua" w:hAnsi="Book Antiqua" w:cs="Arial"/>
        </w:rPr>
        <w:t xml:space="preserve">can be quite difficult to sustain.  A judge </w:t>
      </w:r>
      <w:proofErr w:type="gramStart"/>
      <w:r w:rsidRPr="005052E7">
        <w:rPr>
          <w:rFonts w:ascii="Book Antiqua" w:hAnsi="Book Antiqua" w:cs="Arial"/>
        </w:rPr>
        <w:t>making a decision</w:t>
      </w:r>
      <w:proofErr w:type="gramEnd"/>
      <w:r w:rsidRPr="005052E7">
        <w:rPr>
          <w:rFonts w:ascii="Book Antiqua" w:hAnsi="Book Antiqua" w:cs="Arial"/>
        </w:rPr>
        <w:t xml:space="preserve"> has to start somewhere and in my experience, particularly in difficult and contentious cases, the writing on the page does not reflect the starting point of the analysis but is the beginning of an explanation derived </w:t>
      </w:r>
      <w:r w:rsidR="00081ED1" w:rsidRPr="005052E7">
        <w:rPr>
          <w:rFonts w:ascii="Book Antiqua" w:hAnsi="Book Antiqua" w:cs="Arial"/>
        </w:rPr>
        <w:t xml:space="preserve">at </w:t>
      </w:r>
      <w:r w:rsidRPr="005052E7">
        <w:rPr>
          <w:rFonts w:ascii="Book Antiqua" w:hAnsi="Book Antiqua" w:cs="Arial"/>
        </w:rPr>
        <w:t xml:space="preserve">after considerable thought.  </w:t>
      </w:r>
      <w:r w:rsidR="000949FE" w:rsidRPr="005052E7">
        <w:rPr>
          <w:rFonts w:ascii="Book Antiqua" w:hAnsi="Book Antiqua" w:cs="Arial"/>
        </w:rPr>
        <w:t>Nevertheless,</w:t>
      </w:r>
      <w:r w:rsidRPr="005052E7">
        <w:rPr>
          <w:rFonts w:ascii="Book Antiqua" w:hAnsi="Book Antiqua" w:cs="Arial"/>
        </w:rPr>
        <w:t xml:space="preserve"> there is merit in Mr </w:t>
      </w:r>
      <w:proofErr w:type="spellStart"/>
      <w:r w:rsidRPr="005052E7">
        <w:rPr>
          <w:rFonts w:ascii="Book Antiqua" w:hAnsi="Book Antiqua" w:cs="Arial"/>
        </w:rPr>
        <w:t>Briddock’s</w:t>
      </w:r>
      <w:proofErr w:type="spellEnd"/>
      <w:r w:rsidRPr="005052E7">
        <w:rPr>
          <w:rFonts w:ascii="Book Antiqua" w:hAnsi="Book Antiqua" w:cs="Arial"/>
        </w:rPr>
        <w:t xml:space="preserve"> point.  The </w:t>
      </w:r>
      <w:r w:rsidR="002805D8">
        <w:rPr>
          <w:rFonts w:ascii="Book Antiqua" w:hAnsi="Book Antiqua" w:cs="Arial"/>
        </w:rPr>
        <w:t>D</w:t>
      </w:r>
      <w:r w:rsidRPr="005052E7">
        <w:rPr>
          <w:rFonts w:ascii="Book Antiqua" w:hAnsi="Book Antiqua" w:cs="Arial"/>
        </w:rPr>
        <w:t>etermination does read as if the original findings were set in stone and nothing powerful was found to move away from them rather than looking at them on their own terms and deciding the case mindful that things had been decided previously.</w:t>
      </w:r>
    </w:p>
    <w:p w14:paraId="72B53786" w14:textId="77777777" w:rsidR="001748EF" w:rsidRPr="001748EF" w:rsidRDefault="006B79EB" w:rsidP="00097A65">
      <w:pPr>
        <w:numPr>
          <w:ilvl w:val="0"/>
          <w:numId w:val="4"/>
        </w:numPr>
        <w:tabs>
          <w:tab w:val="left" w:pos="0"/>
        </w:tabs>
        <w:spacing w:before="120"/>
        <w:ind w:hanging="561"/>
        <w:jc w:val="both"/>
      </w:pPr>
      <w:r w:rsidRPr="005052E7">
        <w:rPr>
          <w:rFonts w:ascii="Book Antiqua" w:hAnsi="Book Antiqua" w:cs="Arial"/>
        </w:rPr>
        <w:t xml:space="preserve">I have no hesitation in setting aside the decision for error of law.  I find that this is a case that </w:t>
      </w:r>
      <w:proofErr w:type="gramStart"/>
      <w:r w:rsidRPr="005052E7">
        <w:rPr>
          <w:rFonts w:ascii="Book Antiqua" w:hAnsi="Book Antiqua" w:cs="Arial"/>
        </w:rPr>
        <w:t>has to</w:t>
      </w:r>
      <w:proofErr w:type="gramEnd"/>
      <w:r w:rsidRPr="005052E7">
        <w:rPr>
          <w:rFonts w:ascii="Book Antiqua" w:hAnsi="Book Antiqua" w:cs="Arial"/>
        </w:rPr>
        <w:t xml:space="preserve"> be heard again in the First-tier Tribunal</w:t>
      </w:r>
      <w:r w:rsidR="001748EF">
        <w:rPr>
          <w:rFonts w:ascii="Book Antiqua" w:hAnsi="Book Antiqua" w:cs="Arial"/>
        </w:rPr>
        <w:t xml:space="preserve"> because there has been no proper consideration of the Appellant’s case</w:t>
      </w:r>
      <w:r w:rsidRPr="005052E7">
        <w:rPr>
          <w:rFonts w:ascii="Book Antiqua" w:hAnsi="Book Antiqua" w:cs="Arial"/>
        </w:rPr>
        <w:t xml:space="preserve">.  </w:t>
      </w:r>
    </w:p>
    <w:p w14:paraId="6C0B9D33" w14:textId="325A1CF9" w:rsidR="00097A65" w:rsidRPr="00097A65" w:rsidRDefault="006B79EB" w:rsidP="00097A65">
      <w:pPr>
        <w:numPr>
          <w:ilvl w:val="0"/>
          <w:numId w:val="4"/>
        </w:numPr>
        <w:tabs>
          <w:tab w:val="left" w:pos="0"/>
        </w:tabs>
        <w:spacing w:before="120"/>
        <w:ind w:hanging="561"/>
        <w:jc w:val="both"/>
      </w:pPr>
      <w:r w:rsidRPr="005052E7">
        <w:rPr>
          <w:rFonts w:ascii="Book Antiqua" w:hAnsi="Book Antiqua" w:cs="Arial"/>
        </w:rPr>
        <w:t xml:space="preserve">In the response to </w:t>
      </w:r>
      <w:r w:rsidR="001748EF">
        <w:rPr>
          <w:rFonts w:ascii="Book Antiqua" w:hAnsi="Book Antiqua" w:cs="Arial"/>
        </w:rPr>
        <w:t>D</w:t>
      </w:r>
      <w:r w:rsidRPr="005052E7">
        <w:rPr>
          <w:rFonts w:ascii="Book Antiqua" w:hAnsi="Book Antiqua" w:cs="Arial"/>
        </w:rPr>
        <w:t xml:space="preserve">irections the </w:t>
      </w:r>
      <w:r w:rsidR="001748EF">
        <w:rPr>
          <w:rFonts w:ascii="Book Antiqua" w:hAnsi="Book Antiqua" w:cs="Arial"/>
        </w:rPr>
        <w:t>A</w:t>
      </w:r>
      <w:r w:rsidRPr="005052E7">
        <w:rPr>
          <w:rFonts w:ascii="Book Antiqua" w:hAnsi="Book Antiqua" w:cs="Arial"/>
        </w:rPr>
        <w:t xml:space="preserve">ppellant’s representative said: “The appeal cannot be determined on the papers if the Tribunal is minded </w:t>
      </w:r>
      <w:proofErr w:type="gramStart"/>
      <w:r w:rsidRPr="005052E7">
        <w:rPr>
          <w:rFonts w:ascii="Book Antiqua" w:hAnsi="Book Antiqua" w:cs="Arial"/>
        </w:rPr>
        <w:t>to dismiss</w:t>
      </w:r>
      <w:proofErr w:type="gramEnd"/>
      <w:r w:rsidRPr="005052E7">
        <w:rPr>
          <w:rFonts w:ascii="Book Antiqua" w:hAnsi="Book Antiqua" w:cs="Arial"/>
        </w:rPr>
        <w:t xml:space="preserve"> it.”</w:t>
      </w:r>
    </w:p>
    <w:p w14:paraId="0ED3E8BF" w14:textId="02CF967B" w:rsidR="00097A65" w:rsidRPr="00097A65" w:rsidRDefault="006B79EB" w:rsidP="00097A65">
      <w:pPr>
        <w:numPr>
          <w:ilvl w:val="0"/>
          <w:numId w:val="4"/>
        </w:numPr>
        <w:tabs>
          <w:tab w:val="left" w:pos="0"/>
        </w:tabs>
        <w:spacing w:before="120"/>
        <w:ind w:hanging="561"/>
        <w:jc w:val="both"/>
      </w:pPr>
      <w:r w:rsidRPr="00097A65">
        <w:rPr>
          <w:rFonts w:ascii="Book Antiqua" w:hAnsi="Book Antiqua" w:cs="Arial"/>
        </w:rPr>
        <w:t xml:space="preserve">I am not going to determine it on the papers.  This is not because I am minded </w:t>
      </w:r>
      <w:proofErr w:type="gramStart"/>
      <w:r w:rsidRPr="00097A65">
        <w:rPr>
          <w:rFonts w:ascii="Book Antiqua" w:hAnsi="Book Antiqua" w:cs="Arial"/>
        </w:rPr>
        <w:t>to</w:t>
      </w:r>
      <w:r w:rsidR="00081ED1" w:rsidRPr="00097A65">
        <w:rPr>
          <w:rFonts w:ascii="Book Antiqua" w:hAnsi="Book Antiqua" w:cs="Arial"/>
        </w:rPr>
        <w:t xml:space="preserve"> </w:t>
      </w:r>
      <w:r w:rsidRPr="00097A65">
        <w:rPr>
          <w:rFonts w:ascii="Book Antiqua" w:hAnsi="Book Antiqua" w:cs="Arial"/>
        </w:rPr>
        <w:t>dismiss</w:t>
      </w:r>
      <w:proofErr w:type="gramEnd"/>
      <w:r w:rsidRPr="00097A65">
        <w:rPr>
          <w:rFonts w:ascii="Book Antiqua" w:hAnsi="Book Antiqua" w:cs="Arial"/>
        </w:rPr>
        <w:t xml:space="preserve"> it.  I am quite satisfied that there is an arguable case here but it is one that needs to be presented and</w:t>
      </w:r>
      <w:r w:rsidR="00AE5B86">
        <w:rPr>
          <w:rFonts w:ascii="Book Antiqua" w:hAnsi="Book Antiqua" w:cs="Arial"/>
        </w:rPr>
        <w:t xml:space="preserve"> any </w:t>
      </w:r>
      <w:r w:rsidRPr="00097A65">
        <w:rPr>
          <w:rFonts w:ascii="Book Antiqua" w:hAnsi="Book Antiqua" w:cs="Arial"/>
        </w:rPr>
        <w:t>evidence c</w:t>
      </w:r>
      <w:r w:rsidR="00AE5B86">
        <w:rPr>
          <w:rFonts w:ascii="Book Antiqua" w:hAnsi="Book Antiqua" w:cs="Arial"/>
        </w:rPr>
        <w:t>alled must be seen to be c</w:t>
      </w:r>
      <w:r w:rsidRPr="00097A65">
        <w:rPr>
          <w:rFonts w:ascii="Book Antiqua" w:hAnsi="Book Antiqua" w:cs="Arial"/>
        </w:rPr>
        <w:t>onsidered</w:t>
      </w:r>
      <w:r w:rsidR="00AE5B86">
        <w:rPr>
          <w:rFonts w:ascii="Book Antiqua" w:hAnsi="Book Antiqua" w:cs="Arial"/>
        </w:rPr>
        <w:t xml:space="preserve">. </w:t>
      </w:r>
      <w:r w:rsidRPr="00097A65">
        <w:rPr>
          <w:rFonts w:ascii="Book Antiqua" w:hAnsi="Book Antiqua" w:cs="Arial"/>
        </w:rPr>
        <w:t xml:space="preserve">It </w:t>
      </w:r>
      <w:r w:rsidR="004C6E50" w:rsidRPr="00097A65">
        <w:rPr>
          <w:rFonts w:ascii="Book Antiqua" w:hAnsi="Book Antiqua" w:cs="Arial"/>
        </w:rPr>
        <w:t>w</w:t>
      </w:r>
      <w:r w:rsidR="004C6E50">
        <w:rPr>
          <w:rFonts w:ascii="Book Antiqua" w:hAnsi="Book Antiqua" w:cs="Arial"/>
        </w:rPr>
        <w:t>ould</w:t>
      </w:r>
      <w:r w:rsidR="00E1485F">
        <w:rPr>
          <w:rFonts w:ascii="Book Antiqua" w:hAnsi="Book Antiqua" w:cs="Arial"/>
        </w:rPr>
        <w:t xml:space="preserve"> </w:t>
      </w:r>
      <w:r w:rsidRPr="00097A65">
        <w:rPr>
          <w:rFonts w:ascii="Book Antiqua" w:hAnsi="Book Antiqua" w:cs="Arial"/>
        </w:rPr>
        <w:t xml:space="preserve">be wrong to decide this appeal on the papers.  I have also decided it should be remitted to the First-tier Tribunal.  </w:t>
      </w:r>
      <w:r w:rsidRPr="00097A65">
        <w:rPr>
          <w:rFonts w:ascii="Book Antiqua" w:hAnsi="Book Antiqua" w:cs="Arial"/>
        </w:rPr>
        <w:lastRenderedPageBreak/>
        <w:t xml:space="preserve">The whole point of the appeal </w:t>
      </w:r>
      <w:r w:rsidR="00E75AAA" w:rsidRPr="00097A65">
        <w:rPr>
          <w:rFonts w:ascii="Book Antiqua" w:hAnsi="Book Antiqua" w:cs="Arial"/>
        </w:rPr>
        <w:t xml:space="preserve">was for a decision to be made on the new evidence and there has not been one.  </w:t>
      </w:r>
    </w:p>
    <w:p w14:paraId="65296A6D" w14:textId="77777777" w:rsidR="00097A65" w:rsidRPr="00097A65" w:rsidRDefault="00E75AAA" w:rsidP="00097A65">
      <w:pPr>
        <w:numPr>
          <w:ilvl w:val="0"/>
          <w:numId w:val="4"/>
        </w:numPr>
        <w:tabs>
          <w:tab w:val="left" w:pos="0"/>
        </w:tabs>
        <w:spacing w:before="120"/>
        <w:ind w:hanging="561"/>
        <w:jc w:val="both"/>
      </w:pPr>
      <w:r w:rsidRPr="00097A65">
        <w:rPr>
          <w:rFonts w:ascii="Book Antiqua" w:hAnsi="Book Antiqua" w:cs="Arial"/>
        </w:rPr>
        <w:t>I also note there are certain linguistic curiosities in the First-tier Tribunal’s decision.  For example, at paragraph 21, we are told: “The appellant can read girlish but not righted.  He can read girlish te</w:t>
      </w:r>
      <w:r w:rsidR="00081ED1" w:rsidRPr="00097A65">
        <w:rPr>
          <w:rFonts w:ascii="Book Antiqua" w:hAnsi="Book Antiqua" w:cs="Arial"/>
        </w:rPr>
        <w:t>x</w:t>
      </w:r>
      <w:r w:rsidRPr="00097A65">
        <w:rPr>
          <w:rFonts w:ascii="Book Antiqua" w:hAnsi="Book Antiqua" w:cs="Arial"/>
        </w:rPr>
        <w:t>ts in English alphabet.”</w:t>
      </w:r>
    </w:p>
    <w:p w14:paraId="257877CF" w14:textId="073FF9F2" w:rsidR="00097A65" w:rsidRPr="00097A65" w:rsidRDefault="00E75AAA" w:rsidP="00097A65">
      <w:pPr>
        <w:numPr>
          <w:ilvl w:val="0"/>
          <w:numId w:val="4"/>
        </w:numPr>
        <w:tabs>
          <w:tab w:val="left" w:pos="0"/>
        </w:tabs>
        <w:spacing w:before="120"/>
        <w:ind w:hanging="561"/>
        <w:jc w:val="both"/>
      </w:pPr>
      <w:r w:rsidRPr="00097A65">
        <w:rPr>
          <w:rFonts w:ascii="Book Antiqua" w:hAnsi="Book Antiqua" w:cs="Arial"/>
        </w:rPr>
        <w:t xml:space="preserve">I am very aware of the imaginative properties of </w:t>
      </w:r>
      <w:r w:rsidR="00042D25">
        <w:rPr>
          <w:rFonts w:ascii="Book Antiqua" w:hAnsi="Book Antiqua" w:cs="Arial"/>
        </w:rPr>
        <w:t xml:space="preserve">software that is </w:t>
      </w:r>
      <w:r w:rsidRPr="00097A65">
        <w:rPr>
          <w:rFonts w:ascii="Book Antiqua" w:hAnsi="Book Antiqua" w:cs="Arial"/>
        </w:rPr>
        <w:t xml:space="preserve">deliciously misnamed </w:t>
      </w:r>
      <w:r w:rsidR="00042D25">
        <w:rPr>
          <w:rFonts w:ascii="Book Antiqua" w:hAnsi="Book Antiqua" w:cs="Arial"/>
        </w:rPr>
        <w:t>as “</w:t>
      </w:r>
      <w:r w:rsidRPr="00097A65">
        <w:rPr>
          <w:rFonts w:ascii="Book Antiqua" w:hAnsi="Book Antiqua" w:cs="Arial"/>
        </w:rPr>
        <w:t>voice recognition</w:t>
      </w:r>
      <w:r w:rsidR="00042D25">
        <w:rPr>
          <w:rFonts w:ascii="Book Antiqua" w:hAnsi="Book Antiqua" w:cs="Arial"/>
        </w:rPr>
        <w:t>”</w:t>
      </w:r>
      <w:r w:rsidRPr="00097A65">
        <w:rPr>
          <w:rFonts w:ascii="Book Antiqua" w:hAnsi="Book Antiqua" w:cs="Arial"/>
        </w:rPr>
        <w:t>.  I wonder if the judge meant: “The appellant can read Kurdish but not writ</w:t>
      </w:r>
      <w:r w:rsidR="009A4ED0">
        <w:rPr>
          <w:rFonts w:ascii="Book Antiqua" w:hAnsi="Book Antiqua" w:cs="Arial"/>
        </w:rPr>
        <w:t>e</w:t>
      </w:r>
      <w:r w:rsidRPr="00097A65">
        <w:rPr>
          <w:rFonts w:ascii="Book Antiqua" w:hAnsi="Book Antiqua" w:cs="Arial"/>
        </w:rPr>
        <w:t xml:space="preserve"> it.  He can read Kurdish texts in English alphabet.”</w:t>
      </w:r>
    </w:p>
    <w:p w14:paraId="7B655D3D" w14:textId="25FF217A" w:rsidR="00097A65" w:rsidRPr="000B4C97" w:rsidRDefault="00E75AAA" w:rsidP="00097A65">
      <w:pPr>
        <w:numPr>
          <w:ilvl w:val="0"/>
          <w:numId w:val="4"/>
        </w:numPr>
        <w:tabs>
          <w:tab w:val="left" w:pos="0"/>
        </w:tabs>
        <w:spacing w:before="120"/>
        <w:ind w:hanging="561"/>
        <w:jc w:val="both"/>
      </w:pPr>
      <w:r w:rsidRPr="00097A65">
        <w:rPr>
          <w:rFonts w:ascii="Book Antiqua" w:hAnsi="Book Antiqua" w:cs="Arial"/>
        </w:rPr>
        <w:t xml:space="preserve">Mr </w:t>
      </w:r>
      <w:proofErr w:type="spellStart"/>
      <w:r w:rsidRPr="00097A65">
        <w:rPr>
          <w:rFonts w:ascii="Book Antiqua" w:hAnsi="Book Antiqua" w:cs="Arial"/>
        </w:rPr>
        <w:t>Briddock</w:t>
      </w:r>
      <w:proofErr w:type="spellEnd"/>
      <w:r w:rsidRPr="00097A65">
        <w:rPr>
          <w:rFonts w:ascii="Book Antiqua" w:hAnsi="Book Antiqua" w:cs="Arial"/>
        </w:rPr>
        <w:t xml:space="preserve"> drew attention to these errors but was too much of a gentleman to make much of them.  They should not have happened and the judge might want to think carefully about her proofreading</w:t>
      </w:r>
      <w:r w:rsidR="00097A65">
        <w:rPr>
          <w:rFonts w:ascii="Book Antiqua" w:hAnsi="Book Antiqua" w:cs="Arial"/>
        </w:rPr>
        <w:t>.</w:t>
      </w:r>
    </w:p>
    <w:p w14:paraId="47B3FD97" w14:textId="77777777" w:rsidR="000B4C97" w:rsidRPr="00097A65" w:rsidRDefault="000B4C97" w:rsidP="000B4C97">
      <w:pPr>
        <w:tabs>
          <w:tab w:val="left" w:pos="0"/>
        </w:tabs>
        <w:spacing w:before="120"/>
        <w:ind w:left="-567"/>
        <w:jc w:val="both"/>
      </w:pPr>
      <w:bookmarkStart w:id="0" w:name="_GoBack"/>
      <w:bookmarkEnd w:id="0"/>
    </w:p>
    <w:p w14:paraId="18D48AE5" w14:textId="77777777" w:rsidR="00097A65" w:rsidRPr="00097A65" w:rsidRDefault="009F14B8" w:rsidP="009A4ED0">
      <w:pPr>
        <w:tabs>
          <w:tab w:val="left" w:pos="0"/>
        </w:tabs>
        <w:spacing w:before="120"/>
        <w:ind w:left="-6"/>
        <w:jc w:val="both"/>
      </w:pPr>
      <w:r w:rsidRPr="00097A65">
        <w:rPr>
          <w:rFonts w:ascii="Book Antiqua" w:hAnsi="Book Antiqua" w:cs="Arial"/>
          <w:b/>
          <w:u w:val="single"/>
        </w:rPr>
        <w:t>Notice of Decision</w:t>
      </w:r>
    </w:p>
    <w:p w14:paraId="19F8BFB0" w14:textId="4E11B834" w:rsidR="009F14B8" w:rsidRPr="00097A65" w:rsidRDefault="009F14B8" w:rsidP="00097A65">
      <w:pPr>
        <w:numPr>
          <w:ilvl w:val="0"/>
          <w:numId w:val="4"/>
        </w:numPr>
        <w:tabs>
          <w:tab w:val="left" w:pos="0"/>
        </w:tabs>
        <w:spacing w:before="120"/>
        <w:ind w:hanging="561"/>
        <w:jc w:val="both"/>
      </w:pPr>
      <w:r w:rsidRPr="00097A65">
        <w:rPr>
          <w:rFonts w:ascii="Book Antiqua" w:hAnsi="Book Antiqua" w:cs="Arial"/>
        </w:rPr>
        <w:t xml:space="preserve">The appeal is </w:t>
      </w:r>
      <w:r w:rsidR="00E75AAA" w:rsidRPr="00097A65">
        <w:rPr>
          <w:rFonts w:ascii="Book Antiqua" w:hAnsi="Book Antiqua" w:cs="Arial"/>
        </w:rPr>
        <w:t>allowed.  The decision of the First-tier Tribunal is set aside and I direct that the appeal be heard again in the First-tier Tribunal.</w:t>
      </w:r>
    </w:p>
    <w:p w14:paraId="270C6777" w14:textId="77777777" w:rsidR="009A4ED0" w:rsidRDefault="009A4ED0" w:rsidP="009A4ED0">
      <w:pPr>
        <w:spacing w:before="120"/>
        <w:jc w:val="center"/>
        <w:rPr>
          <w:rFonts w:ascii="Book Antiqua" w:hAnsi="Book Antiqua" w:cs="Arial"/>
        </w:rPr>
      </w:pPr>
    </w:p>
    <w:p w14:paraId="76DE8BEA" w14:textId="662B5297" w:rsidR="009F14B8" w:rsidRPr="009A4ED0" w:rsidRDefault="009A4ED0" w:rsidP="009A4ED0">
      <w:pPr>
        <w:spacing w:before="120"/>
        <w:jc w:val="center"/>
        <w:rPr>
          <w:rFonts w:ascii="Lucida Handwriting" w:hAnsi="Lucida Handwriting" w:cs="Arial"/>
        </w:rPr>
      </w:pPr>
      <w:r w:rsidRPr="009A4ED0">
        <w:rPr>
          <w:rFonts w:ascii="Lucida Handwriting" w:hAnsi="Lucida Handwriting" w:cs="Arial"/>
        </w:rPr>
        <w:t>Jonathan Perkins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4"/>
      </w:tblGrid>
      <w:tr w:rsidR="009A4ED0" w14:paraId="417C1A8F" w14:textId="77777777" w:rsidTr="009A4ED0">
        <w:tc>
          <w:tcPr>
            <w:tcW w:w="4814" w:type="dxa"/>
          </w:tcPr>
          <w:p w14:paraId="5A3F1245" w14:textId="77777777" w:rsidR="009A4ED0" w:rsidRDefault="009A4ED0" w:rsidP="007C38B5">
            <w:pPr>
              <w:jc w:val="both"/>
              <w:rPr>
                <w:rFonts w:ascii="Book Antiqua" w:hAnsi="Book Antiqua" w:cs="Arial"/>
              </w:rPr>
            </w:pPr>
            <w:r>
              <w:rPr>
                <w:rFonts w:ascii="Book Antiqua" w:hAnsi="Book Antiqua" w:cs="Arial"/>
              </w:rPr>
              <w:t>Signed</w:t>
            </w:r>
          </w:p>
        </w:tc>
        <w:tc>
          <w:tcPr>
            <w:tcW w:w="4814" w:type="dxa"/>
          </w:tcPr>
          <w:p w14:paraId="40ACD535" w14:textId="77777777" w:rsidR="009A4ED0" w:rsidRDefault="009A4ED0" w:rsidP="007C38B5">
            <w:pPr>
              <w:jc w:val="both"/>
              <w:rPr>
                <w:rFonts w:ascii="Book Antiqua" w:hAnsi="Book Antiqua" w:cs="Arial"/>
              </w:rPr>
            </w:pPr>
          </w:p>
        </w:tc>
      </w:tr>
      <w:tr w:rsidR="009A4ED0" w14:paraId="141388A0" w14:textId="77777777" w:rsidTr="009A4ED0">
        <w:tc>
          <w:tcPr>
            <w:tcW w:w="4814" w:type="dxa"/>
          </w:tcPr>
          <w:p w14:paraId="5113C4A7" w14:textId="77777777" w:rsidR="009A4ED0" w:rsidRDefault="009A4ED0" w:rsidP="007C38B5">
            <w:pPr>
              <w:jc w:val="both"/>
              <w:rPr>
                <w:rFonts w:ascii="Book Antiqua" w:hAnsi="Book Antiqua" w:cs="Arial"/>
              </w:rPr>
            </w:pPr>
            <w:r>
              <w:rPr>
                <w:rFonts w:ascii="Book Antiqua" w:hAnsi="Book Antiqua" w:cs="Arial"/>
              </w:rPr>
              <w:t>Jonathan Perkins</w:t>
            </w:r>
          </w:p>
        </w:tc>
        <w:tc>
          <w:tcPr>
            <w:tcW w:w="4814" w:type="dxa"/>
          </w:tcPr>
          <w:p w14:paraId="7E6C194D" w14:textId="77777777" w:rsidR="009A4ED0" w:rsidRDefault="009A4ED0" w:rsidP="007C38B5">
            <w:pPr>
              <w:jc w:val="both"/>
              <w:rPr>
                <w:rFonts w:ascii="Book Antiqua" w:hAnsi="Book Antiqua" w:cs="Arial"/>
              </w:rPr>
            </w:pPr>
          </w:p>
        </w:tc>
      </w:tr>
      <w:tr w:rsidR="009A4ED0" w14:paraId="58D4063A" w14:textId="77777777" w:rsidTr="009A4ED0">
        <w:tc>
          <w:tcPr>
            <w:tcW w:w="4814" w:type="dxa"/>
          </w:tcPr>
          <w:p w14:paraId="4C6D1A19" w14:textId="77777777" w:rsidR="009A4ED0" w:rsidRDefault="009A4ED0" w:rsidP="007C38B5">
            <w:pPr>
              <w:jc w:val="both"/>
              <w:rPr>
                <w:rFonts w:ascii="Book Antiqua" w:hAnsi="Book Antiqua" w:cs="Arial"/>
              </w:rPr>
            </w:pPr>
            <w:r>
              <w:rPr>
                <w:rFonts w:ascii="Book Antiqua" w:hAnsi="Book Antiqua" w:cs="Arial"/>
              </w:rPr>
              <w:t>Judge of the Upper Tribunal</w:t>
            </w:r>
          </w:p>
        </w:tc>
        <w:tc>
          <w:tcPr>
            <w:tcW w:w="4814" w:type="dxa"/>
          </w:tcPr>
          <w:p w14:paraId="108EFEDC" w14:textId="1B139E35" w:rsidR="009A4ED0" w:rsidRDefault="009A4ED0" w:rsidP="007C38B5">
            <w:pPr>
              <w:jc w:val="right"/>
              <w:rPr>
                <w:rFonts w:ascii="Book Antiqua" w:hAnsi="Book Antiqua" w:cs="Arial"/>
              </w:rPr>
            </w:pPr>
            <w:r>
              <w:rPr>
                <w:rFonts w:ascii="Book Antiqua" w:hAnsi="Book Antiqua" w:cs="Arial"/>
              </w:rPr>
              <w:t>Dated 24 June 2020</w:t>
            </w:r>
          </w:p>
        </w:tc>
      </w:tr>
    </w:tbl>
    <w:p w14:paraId="58FFC3C6" w14:textId="77777777" w:rsidR="009A4ED0" w:rsidRDefault="009A4ED0" w:rsidP="005E4B29">
      <w:pPr>
        <w:spacing w:before="120"/>
        <w:jc w:val="both"/>
        <w:rPr>
          <w:rFonts w:ascii="Book Antiqua" w:hAnsi="Book Antiqua" w:cs="Arial"/>
        </w:rPr>
      </w:pPr>
    </w:p>
    <w:p w14:paraId="74E3DB62" w14:textId="0D59C471" w:rsidR="009A4ED0" w:rsidRPr="009F14B8" w:rsidRDefault="009A4ED0" w:rsidP="00212F47">
      <w:pPr>
        <w:spacing w:before="120"/>
        <w:jc w:val="both"/>
        <w:rPr>
          <w:rFonts w:ascii="Book Antiqua" w:hAnsi="Book Antiqua" w:cs="Arial"/>
        </w:rPr>
      </w:pPr>
    </w:p>
    <w:p w14:paraId="52AA8D10" w14:textId="77777777" w:rsidR="000949FE" w:rsidRDefault="000949FE" w:rsidP="00212F47">
      <w:pPr>
        <w:spacing w:before="120"/>
        <w:jc w:val="both"/>
        <w:rPr>
          <w:rFonts w:ascii="Book Antiqua" w:hAnsi="Book Antiqua" w:cs="Arial"/>
          <w:b/>
          <w:u w:val="single"/>
        </w:rPr>
      </w:pPr>
    </w:p>
    <w:p w14:paraId="73F27ECB" w14:textId="77777777" w:rsidR="000949FE" w:rsidRDefault="000949FE" w:rsidP="00212F47">
      <w:pPr>
        <w:spacing w:before="120"/>
        <w:jc w:val="both"/>
        <w:rPr>
          <w:rFonts w:ascii="Book Antiqua" w:hAnsi="Book Antiqua" w:cs="Arial"/>
          <w:b/>
          <w:u w:val="single"/>
        </w:rPr>
      </w:pPr>
    </w:p>
    <w:p w14:paraId="38F725BC" w14:textId="77777777" w:rsidR="000949FE" w:rsidRDefault="000949FE" w:rsidP="00212F47">
      <w:pPr>
        <w:spacing w:before="120"/>
        <w:jc w:val="both"/>
        <w:rPr>
          <w:rFonts w:ascii="Book Antiqua" w:hAnsi="Book Antiqua" w:cs="Arial"/>
          <w:b/>
          <w:u w:val="single"/>
        </w:rPr>
      </w:pPr>
    </w:p>
    <w:p w14:paraId="7C6F7E07" w14:textId="1ED57CBC" w:rsidR="000949FE" w:rsidRDefault="00AF5EAA" w:rsidP="00212F47">
      <w:pPr>
        <w:spacing w:before="120"/>
        <w:jc w:val="both"/>
        <w:rPr>
          <w:rFonts w:ascii="Book Antiqua" w:hAnsi="Book Antiqua" w:cs="Arial"/>
          <w:b/>
          <w:u w:val="single"/>
        </w:rPr>
      </w:pPr>
      <w:r>
        <w:rPr>
          <w:noProof/>
        </w:rPr>
        <w:drawing>
          <wp:anchor distT="0" distB="0" distL="114300" distR="114300" simplePos="0" relativeHeight="251659264" behindDoc="1" locked="0" layoutInCell="1" allowOverlap="1" wp14:anchorId="7F1EED7E" wp14:editId="6089F9A0">
            <wp:simplePos x="0" y="0"/>
            <wp:positionH relativeFrom="column">
              <wp:posOffset>0</wp:posOffset>
            </wp:positionH>
            <wp:positionV relativeFrom="paragraph">
              <wp:posOffset>-635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949FE" w:rsidSect="007802A0">
      <w:headerReference w:type="default" r:id="rId10"/>
      <w:footerReference w:type="default" r:id="rId11"/>
      <w:footerReference w:type="first" r:id="rId12"/>
      <w:pgSz w:w="11906" w:h="16838"/>
      <w:pgMar w:top="1135"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06062" w14:textId="77777777" w:rsidR="001750AB" w:rsidRDefault="001750AB">
      <w:r>
        <w:separator/>
      </w:r>
    </w:p>
  </w:endnote>
  <w:endnote w:type="continuationSeparator" w:id="0">
    <w:p w14:paraId="197A7D01" w14:textId="77777777" w:rsidR="001750AB" w:rsidRDefault="00175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436283"/>
      <w:docPartObj>
        <w:docPartGallery w:val="Page Numbers (Bottom of Page)"/>
        <w:docPartUnique/>
      </w:docPartObj>
    </w:sdtPr>
    <w:sdtEndPr>
      <w:rPr>
        <w:rFonts w:ascii="Book Antiqua" w:hAnsi="Book Antiqua"/>
        <w:noProof/>
      </w:rPr>
    </w:sdtEndPr>
    <w:sdtContent>
      <w:p w14:paraId="60D609B5" w14:textId="4277AE01" w:rsidR="00FB49DC" w:rsidRPr="000B4C97" w:rsidRDefault="00212F47" w:rsidP="00D818C9">
        <w:pPr>
          <w:pStyle w:val="Footer"/>
          <w:jc w:val="center"/>
          <w:rPr>
            <w:rFonts w:ascii="Book Antiqua" w:hAnsi="Book Antiqua"/>
          </w:rPr>
        </w:pPr>
        <w:r w:rsidRPr="000B4C97">
          <w:rPr>
            <w:rFonts w:ascii="Book Antiqua" w:hAnsi="Book Antiqua"/>
          </w:rPr>
          <w:fldChar w:fldCharType="begin"/>
        </w:r>
        <w:r w:rsidRPr="000B4C97">
          <w:rPr>
            <w:rFonts w:ascii="Book Antiqua" w:hAnsi="Book Antiqua"/>
          </w:rPr>
          <w:instrText xml:space="preserve"> PAGE   \* MERGEFORMAT </w:instrText>
        </w:r>
        <w:r w:rsidRPr="000B4C97">
          <w:rPr>
            <w:rFonts w:ascii="Book Antiqua" w:hAnsi="Book Antiqua"/>
          </w:rPr>
          <w:fldChar w:fldCharType="separate"/>
        </w:r>
        <w:r w:rsidR="002F1C2D">
          <w:rPr>
            <w:rFonts w:ascii="Book Antiqua" w:hAnsi="Book Antiqua"/>
            <w:noProof/>
          </w:rPr>
          <w:t>3</w:t>
        </w:r>
        <w:r w:rsidRPr="000B4C97">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F7D95" w14:textId="06082639" w:rsidR="00D818C9" w:rsidRPr="00D818C9" w:rsidRDefault="00D818C9" w:rsidP="00D818C9">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5DA48" w14:textId="77777777" w:rsidR="001750AB" w:rsidRDefault="001750AB">
      <w:r>
        <w:separator/>
      </w:r>
    </w:p>
  </w:footnote>
  <w:footnote w:type="continuationSeparator" w:id="0">
    <w:p w14:paraId="35C21150" w14:textId="77777777" w:rsidR="001750AB" w:rsidRDefault="00175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9B277" w14:textId="67B53840" w:rsidR="00FB49DC" w:rsidRPr="000B4C97" w:rsidRDefault="00D818C9" w:rsidP="00D818C9">
    <w:pPr>
      <w:pStyle w:val="Header"/>
      <w:jc w:val="right"/>
      <w:rPr>
        <w:sz w:val="16"/>
        <w:szCs w:val="16"/>
      </w:rPr>
    </w:pPr>
    <w:r w:rsidRPr="000B4C97">
      <w:rPr>
        <w:rFonts w:ascii="Book Antiqua" w:hAnsi="Book Antiqua" w:cs="Arial"/>
        <w:color w:val="000000"/>
        <w:sz w:val="16"/>
        <w:szCs w:val="16"/>
      </w:rPr>
      <w:t>Appeal number: PA/02670/2019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7EF"/>
    <w:multiLevelType w:val="multilevel"/>
    <w:tmpl w:val="579A4A8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1" w15:restartNumberingAfterBreak="0">
    <w:nsid w:val="0C292584"/>
    <w:multiLevelType w:val="hybridMultilevel"/>
    <w:tmpl w:val="97DA2E60"/>
    <w:lvl w:ilvl="0" w:tplc="9A589FB4">
      <w:start w:val="1"/>
      <w:numFmt w:val="decimal"/>
      <w:lvlText w:val="%1."/>
      <w:lvlJc w:val="left"/>
      <w:pPr>
        <w:ind w:left="-6" w:hanging="420"/>
      </w:pPr>
      <w:rPr>
        <w:rFonts w:ascii="Book Antiqua" w:hAnsi="Book Antiqua" w:hint="default"/>
        <w:sz w:val="24"/>
        <w:szCs w:val="24"/>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 w15:restartNumberingAfterBreak="0">
    <w:nsid w:val="355D7F6C"/>
    <w:multiLevelType w:val="hybridMultilevel"/>
    <w:tmpl w:val="817CFA9C"/>
    <w:lvl w:ilvl="0" w:tplc="C4D0E7D6">
      <w:start w:val="1"/>
      <w:numFmt w:val="decimal"/>
      <w:lvlText w:val="%1."/>
      <w:lvlJc w:val="left"/>
      <w:pPr>
        <w:ind w:left="-3" w:hanging="564"/>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 w15:restartNumberingAfterBreak="0">
    <w:nsid w:val="52BC2C1E"/>
    <w:multiLevelType w:val="hybridMultilevel"/>
    <w:tmpl w:val="719CE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99"/>
    <w:rsid w:val="00000621"/>
    <w:rsid w:val="000019F7"/>
    <w:rsid w:val="000036C2"/>
    <w:rsid w:val="000225BC"/>
    <w:rsid w:val="00023FA1"/>
    <w:rsid w:val="00033D3D"/>
    <w:rsid w:val="00042D25"/>
    <w:rsid w:val="00062F02"/>
    <w:rsid w:val="00071A7E"/>
    <w:rsid w:val="000746C0"/>
    <w:rsid w:val="00074D1D"/>
    <w:rsid w:val="00081ED1"/>
    <w:rsid w:val="00092580"/>
    <w:rsid w:val="00093D4D"/>
    <w:rsid w:val="000949FE"/>
    <w:rsid w:val="00096D48"/>
    <w:rsid w:val="00097A65"/>
    <w:rsid w:val="000B19CE"/>
    <w:rsid w:val="000B2BA7"/>
    <w:rsid w:val="000B3442"/>
    <w:rsid w:val="000B4C97"/>
    <w:rsid w:val="000C5341"/>
    <w:rsid w:val="000D5D94"/>
    <w:rsid w:val="000F064A"/>
    <w:rsid w:val="000F1A0E"/>
    <w:rsid w:val="001165A7"/>
    <w:rsid w:val="00122345"/>
    <w:rsid w:val="00127ECB"/>
    <w:rsid w:val="001554B5"/>
    <w:rsid w:val="00167D3A"/>
    <w:rsid w:val="00171434"/>
    <w:rsid w:val="001748EF"/>
    <w:rsid w:val="001750AB"/>
    <w:rsid w:val="001A3082"/>
    <w:rsid w:val="001B186A"/>
    <w:rsid w:val="001B2F75"/>
    <w:rsid w:val="001D774D"/>
    <w:rsid w:val="001F2716"/>
    <w:rsid w:val="001F5024"/>
    <w:rsid w:val="00207617"/>
    <w:rsid w:val="00212F47"/>
    <w:rsid w:val="0023134B"/>
    <w:rsid w:val="00243169"/>
    <w:rsid w:val="00245E38"/>
    <w:rsid w:val="00265840"/>
    <w:rsid w:val="002805D8"/>
    <w:rsid w:val="00283659"/>
    <w:rsid w:val="002A6803"/>
    <w:rsid w:val="002C0F46"/>
    <w:rsid w:val="002C6BD4"/>
    <w:rsid w:val="002D290A"/>
    <w:rsid w:val="002D68BF"/>
    <w:rsid w:val="002F0753"/>
    <w:rsid w:val="002F1C2D"/>
    <w:rsid w:val="002F6B98"/>
    <w:rsid w:val="00336CBF"/>
    <w:rsid w:val="003421AA"/>
    <w:rsid w:val="00343FE3"/>
    <w:rsid w:val="00344153"/>
    <w:rsid w:val="003546C8"/>
    <w:rsid w:val="0036493E"/>
    <w:rsid w:val="003A7CF2"/>
    <w:rsid w:val="003C5CE5"/>
    <w:rsid w:val="003E267B"/>
    <w:rsid w:val="003E7CD1"/>
    <w:rsid w:val="003F1117"/>
    <w:rsid w:val="003F6870"/>
    <w:rsid w:val="003F7B0E"/>
    <w:rsid w:val="00402B9E"/>
    <w:rsid w:val="004249CB"/>
    <w:rsid w:val="0044127D"/>
    <w:rsid w:val="004448DB"/>
    <w:rsid w:val="00446C9A"/>
    <w:rsid w:val="00452F2B"/>
    <w:rsid w:val="00471F75"/>
    <w:rsid w:val="00477193"/>
    <w:rsid w:val="004A1848"/>
    <w:rsid w:val="004A3DDC"/>
    <w:rsid w:val="004A41A6"/>
    <w:rsid w:val="004A6F4A"/>
    <w:rsid w:val="004C6E50"/>
    <w:rsid w:val="004E0F3D"/>
    <w:rsid w:val="004E4717"/>
    <w:rsid w:val="005052E7"/>
    <w:rsid w:val="00507FEC"/>
    <w:rsid w:val="00510F0E"/>
    <w:rsid w:val="005479E1"/>
    <w:rsid w:val="00553E0A"/>
    <w:rsid w:val="005570FD"/>
    <w:rsid w:val="005575EA"/>
    <w:rsid w:val="00562F7A"/>
    <w:rsid w:val="0057790C"/>
    <w:rsid w:val="00593795"/>
    <w:rsid w:val="005A75FF"/>
    <w:rsid w:val="005D10AB"/>
    <w:rsid w:val="005F0CDB"/>
    <w:rsid w:val="00601D8F"/>
    <w:rsid w:val="00605267"/>
    <w:rsid w:val="00607D3E"/>
    <w:rsid w:val="00653E97"/>
    <w:rsid w:val="00654627"/>
    <w:rsid w:val="006701F7"/>
    <w:rsid w:val="00684A74"/>
    <w:rsid w:val="00690B8A"/>
    <w:rsid w:val="006B79EB"/>
    <w:rsid w:val="006C133D"/>
    <w:rsid w:val="006F2CF1"/>
    <w:rsid w:val="007038ED"/>
    <w:rsid w:val="00703BC3"/>
    <w:rsid w:val="00704B61"/>
    <w:rsid w:val="007552A9"/>
    <w:rsid w:val="00756090"/>
    <w:rsid w:val="00761858"/>
    <w:rsid w:val="0076727C"/>
    <w:rsid w:val="00767D59"/>
    <w:rsid w:val="00776E97"/>
    <w:rsid w:val="007802A0"/>
    <w:rsid w:val="00780F86"/>
    <w:rsid w:val="007912AD"/>
    <w:rsid w:val="007A0B88"/>
    <w:rsid w:val="007B0824"/>
    <w:rsid w:val="007B5D3C"/>
    <w:rsid w:val="007F2A46"/>
    <w:rsid w:val="00806249"/>
    <w:rsid w:val="00821B72"/>
    <w:rsid w:val="00823EF2"/>
    <w:rsid w:val="008303B8"/>
    <w:rsid w:val="00833DCE"/>
    <w:rsid w:val="00840B99"/>
    <w:rsid w:val="00851D4F"/>
    <w:rsid w:val="008663DD"/>
    <w:rsid w:val="00871D34"/>
    <w:rsid w:val="008A3898"/>
    <w:rsid w:val="008B270C"/>
    <w:rsid w:val="008B5078"/>
    <w:rsid w:val="008C3D3D"/>
    <w:rsid w:val="008D4131"/>
    <w:rsid w:val="008F1932"/>
    <w:rsid w:val="00921062"/>
    <w:rsid w:val="00940AF0"/>
    <w:rsid w:val="00951C5A"/>
    <w:rsid w:val="00957B0F"/>
    <w:rsid w:val="009722BC"/>
    <w:rsid w:val="009727A3"/>
    <w:rsid w:val="00983F46"/>
    <w:rsid w:val="00987774"/>
    <w:rsid w:val="00990DAC"/>
    <w:rsid w:val="009A11E8"/>
    <w:rsid w:val="009A4ED0"/>
    <w:rsid w:val="009D557B"/>
    <w:rsid w:val="009D6818"/>
    <w:rsid w:val="009F14B8"/>
    <w:rsid w:val="009F5220"/>
    <w:rsid w:val="00A15234"/>
    <w:rsid w:val="00A201AB"/>
    <w:rsid w:val="00A31C8B"/>
    <w:rsid w:val="00A509FA"/>
    <w:rsid w:val="00A71C11"/>
    <w:rsid w:val="00A842AA"/>
    <w:rsid w:val="00A845DC"/>
    <w:rsid w:val="00AB6814"/>
    <w:rsid w:val="00AC04A0"/>
    <w:rsid w:val="00AE5B86"/>
    <w:rsid w:val="00AF5EAA"/>
    <w:rsid w:val="00B01D90"/>
    <w:rsid w:val="00B26AA2"/>
    <w:rsid w:val="00B315A7"/>
    <w:rsid w:val="00B3524D"/>
    <w:rsid w:val="00B40F69"/>
    <w:rsid w:val="00B46616"/>
    <w:rsid w:val="00B57AE9"/>
    <w:rsid w:val="00B7040A"/>
    <w:rsid w:val="00B83391"/>
    <w:rsid w:val="00B91640"/>
    <w:rsid w:val="00B95326"/>
    <w:rsid w:val="00BC5004"/>
    <w:rsid w:val="00BD4196"/>
    <w:rsid w:val="00BF22CA"/>
    <w:rsid w:val="00BF23BB"/>
    <w:rsid w:val="00C2080F"/>
    <w:rsid w:val="00C26032"/>
    <w:rsid w:val="00C345E1"/>
    <w:rsid w:val="00C43BFD"/>
    <w:rsid w:val="00C72FDB"/>
    <w:rsid w:val="00CA050F"/>
    <w:rsid w:val="00CB6E35"/>
    <w:rsid w:val="00CC680E"/>
    <w:rsid w:val="00CD3D3A"/>
    <w:rsid w:val="00CE1A46"/>
    <w:rsid w:val="00CE456F"/>
    <w:rsid w:val="00D20757"/>
    <w:rsid w:val="00D22636"/>
    <w:rsid w:val="00D40FD9"/>
    <w:rsid w:val="00D53769"/>
    <w:rsid w:val="00D6340D"/>
    <w:rsid w:val="00D818C9"/>
    <w:rsid w:val="00D8280B"/>
    <w:rsid w:val="00D85C13"/>
    <w:rsid w:val="00D9111A"/>
    <w:rsid w:val="00D91BE3"/>
    <w:rsid w:val="00D94AFC"/>
    <w:rsid w:val="00D957D8"/>
    <w:rsid w:val="00DB6407"/>
    <w:rsid w:val="00DB70AE"/>
    <w:rsid w:val="00DC2238"/>
    <w:rsid w:val="00DC6A43"/>
    <w:rsid w:val="00DD5071"/>
    <w:rsid w:val="00DD5C39"/>
    <w:rsid w:val="00DE5E10"/>
    <w:rsid w:val="00DE7DB7"/>
    <w:rsid w:val="00E00A0A"/>
    <w:rsid w:val="00E066DE"/>
    <w:rsid w:val="00E07F57"/>
    <w:rsid w:val="00E1485F"/>
    <w:rsid w:val="00E30683"/>
    <w:rsid w:val="00E453D8"/>
    <w:rsid w:val="00E50BCE"/>
    <w:rsid w:val="00E574BF"/>
    <w:rsid w:val="00E57A63"/>
    <w:rsid w:val="00E61292"/>
    <w:rsid w:val="00E75AAA"/>
    <w:rsid w:val="00E77C4D"/>
    <w:rsid w:val="00E81D01"/>
    <w:rsid w:val="00EE45D8"/>
    <w:rsid w:val="00F22EDA"/>
    <w:rsid w:val="00F41C53"/>
    <w:rsid w:val="00F852E6"/>
    <w:rsid w:val="00F97377"/>
    <w:rsid w:val="00FB49DC"/>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BC60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numbering" w:customStyle="1" w:styleId="Style1">
    <w:name w:val="Style1"/>
    <w:uiPriority w:val="99"/>
    <w:rsid w:val="00990DAC"/>
    <w:pPr>
      <w:numPr>
        <w:numId w:val="1"/>
      </w:numPr>
    </w:pPr>
  </w:style>
  <w:style w:type="character" w:customStyle="1" w:styleId="FooterChar">
    <w:name w:val="Footer Char"/>
    <w:basedOn w:val="DefaultParagraphFont"/>
    <w:link w:val="Footer"/>
    <w:uiPriority w:val="99"/>
    <w:rsid w:val="00212F47"/>
    <w:rPr>
      <w:sz w:val="24"/>
      <w:szCs w:val="24"/>
    </w:rPr>
  </w:style>
  <w:style w:type="paragraph" w:styleId="ListParagraph">
    <w:name w:val="List Paragraph"/>
    <w:basedOn w:val="Normal"/>
    <w:uiPriority w:val="34"/>
    <w:qFormat/>
    <w:rsid w:val="000B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8576-78AA-417E-9B79-559A492D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2020-07-14T15:25:00Z</dcterms:created>
  <dcterms:modified xsi:type="dcterms:W3CDTF">2020-07-14T15:25:00Z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