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0261A" w14:textId="77777777" w:rsidR="00E500B2" w:rsidRPr="00A94FDC" w:rsidRDefault="009E4CB2" w:rsidP="00E500B2">
      <w:pPr>
        <w:jc w:val="center"/>
        <w:rPr>
          <w:rFonts w:ascii="Book Antiqua" w:hAnsi="Book Antiqua" w:cs="Arial"/>
          <w:caps/>
          <w:color w:val="000000"/>
          <w:sz w:val="16"/>
          <w:szCs w:val="16"/>
        </w:rPr>
      </w:pPr>
      <w:r w:rsidRPr="00A94FDC">
        <w:rPr>
          <w:noProof/>
          <w:sz w:val="16"/>
          <w:szCs w:val="16"/>
        </w:rPr>
        <w:drawing>
          <wp:inline distT="0" distB="0" distL="0" distR="0" wp14:anchorId="7A499FA4" wp14:editId="757E562E">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62E2A9AE" w14:textId="1A246857" w:rsidR="00D94AFC" w:rsidRPr="00A94FDC" w:rsidRDefault="00D94AFC">
      <w:pPr>
        <w:rPr>
          <w:rFonts w:ascii="Book Antiqua" w:hAnsi="Book Antiqua" w:cs="Arial"/>
          <w:color w:val="000000"/>
          <w:sz w:val="16"/>
          <w:szCs w:val="16"/>
        </w:rPr>
      </w:pPr>
    </w:p>
    <w:p w14:paraId="54BA24C0"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0420C2E1"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9E4CB2" w:rsidRPr="000241FB">
        <w:rPr>
          <w:rFonts w:ascii="Book Antiqua" w:hAnsi="Book Antiqua" w:cs="Arial"/>
          <w:caps/>
          <w:color w:val="000000"/>
        </w:rPr>
        <w:t>PA/02677/2018</w:t>
      </w:r>
      <w:bookmarkEnd w:id="0"/>
    </w:p>
    <w:p w14:paraId="77E0DF24" w14:textId="77777777" w:rsidR="00C345E1" w:rsidRPr="00B57D66" w:rsidRDefault="00C345E1" w:rsidP="00C345E1">
      <w:pPr>
        <w:jc w:val="center"/>
        <w:rPr>
          <w:rFonts w:ascii="Book Antiqua" w:hAnsi="Book Antiqua" w:cs="Arial"/>
          <w:color w:val="000000"/>
        </w:rPr>
      </w:pPr>
    </w:p>
    <w:p w14:paraId="08DD6B22" w14:textId="77777777" w:rsidR="00C345E1" w:rsidRPr="00B57D66" w:rsidRDefault="00C345E1" w:rsidP="00C345E1">
      <w:pPr>
        <w:jc w:val="center"/>
        <w:rPr>
          <w:rFonts w:ascii="Book Antiqua" w:hAnsi="Book Antiqua" w:cs="Arial"/>
          <w:color w:val="000000"/>
        </w:rPr>
      </w:pPr>
    </w:p>
    <w:p w14:paraId="31639EFD"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5D72D1F" w14:textId="77777777" w:rsidR="00C345E1" w:rsidRPr="00B57D66" w:rsidRDefault="00C345E1" w:rsidP="00C345E1">
      <w:pPr>
        <w:jc w:val="center"/>
        <w:rPr>
          <w:rFonts w:ascii="Book Antiqua" w:hAnsi="Book Antiqua" w:cs="Arial"/>
          <w:b/>
          <w:u w:val="single"/>
        </w:rPr>
      </w:pPr>
    </w:p>
    <w:p w14:paraId="3AEAD69A"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090F800E" w14:textId="77777777" w:rsidTr="00173CC6">
        <w:tc>
          <w:tcPr>
            <w:tcW w:w="6048" w:type="dxa"/>
          </w:tcPr>
          <w:p w14:paraId="5E37B1B4"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9E4CB2">
              <w:rPr>
                <w:rFonts w:ascii="Book Antiqua" w:hAnsi="Book Antiqua" w:cs="Arial"/>
                <w:b/>
              </w:rPr>
              <w:t xml:space="preserve">Field House </w:t>
            </w:r>
          </w:p>
        </w:tc>
        <w:tc>
          <w:tcPr>
            <w:tcW w:w="3960" w:type="dxa"/>
          </w:tcPr>
          <w:p w14:paraId="19A9257A"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1C3A3FB3" w14:textId="77777777" w:rsidTr="00173CC6">
        <w:tc>
          <w:tcPr>
            <w:tcW w:w="6048" w:type="dxa"/>
          </w:tcPr>
          <w:p w14:paraId="32B05E8C"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9E4CB2">
              <w:rPr>
                <w:rFonts w:ascii="Book Antiqua" w:hAnsi="Book Antiqua" w:cs="Arial"/>
                <w:b/>
              </w:rPr>
              <w:t xml:space="preserve">31 July 2018 </w:t>
            </w:r>
          </w:p>
        </w:tc>
        <w:tc>
          <w:tcPr>
            <w:tcW w:w="3960" w:type="dxa"/>
          </w:tcPr>
          <w:p w14:paraId="3327E2F2" w14:textId="32288379" w:rsidR="00D22636" w:rsidRPr="00B57D66" w:rsidRDefault="00CA0F25" w:rsidP="004A1848">
            <w:pPr>
              <w:jc w:val="both"/>
              <w:rPr>
                <w:rFonts w:ascii="Book Antiqua" w:hAnsi="Book Antiqua" w:cs="Arial"/>
                <w:b/>
              </w:rPr>
            </w:pPr>
            <w:r>
              <w:rPr>
                <w:rFonts w:ascii="Book Antiqua" w:hAnsi="Book Antiqua" w:cs="Arial"/>
                <w:b/>
              </w:rPr>
              <w:t>On 21 August 2018</w:t>
            </w:r>
          </w:p>
        </w:tc>
      </w:tr>
      <w:tr w:rsidR="00D22636" w:rsidRPr="00B57D66" w14:paraId="3C8B4FDE" w14:textId="77777777" w:rsidTr="00173CC6">
        <w:tc>
          <w:tcPr>
            <w:tcW w:w="6048" w:type="dxa"/>
          </w:tcPr>
          <w:p w14:paraId="01AA6B15" w14:textId="77777777" w:rsidR="00D22636" w:rsidRPr="00B57D66" w:rsidRDefault="00D22636" w:rsidP="004A1848">
            <w:pPr>
              <w:jc w:val="both"/>
              <w:rPr>
                <w:rFonts w:ascii="Book Antiqua" w:hAnsi="Book Antiqua" w:cs="Arial"/>
                <w:b/>
              </w:rPr>
            </w:pPr>
          </w:p>
        </w:tc>
        <w:tc>
          <w:tcPr>
            <w:tcW w:w="3960" w:type="dxa"/>
          </w:tcPr>
          <w:p w14:paraId="01DAA8D3" w14:textId="3982961C" w:rsidR="00D22636" w:rsidRPr="00B57D66" w:rsidRDefault="00D22636" w:rsidP="004A1848">
            <w:pPr>
              <w:jc w:val="both"/>
              <w:rPr>
                <w:rFonts w:ascii="Book Antiqua" w:hAnsi="Book Antiqua" w:cs="Arial"/>
                <w:b/>
              </w:rPr>
            </w:pPr>
          </w:p>
        </w:tc>
      </w:tr>
    </w:tbl>
    <w:p w14:paraId="4783BE60" w14:textId="77777777" w:rsidR="00A15234" w:rsidRPr="00B57D66" w:rsidRDefault="00A15234" w:rsidP="00A15234">
      <w:pPr>
        <w:jc w:val="center"/>
        <w:rPr>
          <w:rFonts w:ascii="Book Antiqua" w:hAnsi="Book Antiqua" w:cs="Arial"/>
        </w:rPr>
      </w:pPr>
    </w:p>
    <w:p w14:paraId="242B4D0E"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2C37E64F" w14:textId="77777777" w:rsidR="00A15234" w:rsidRPr="00B57D66" w:rsidRDefault="00A15234" w:rsidP="00A15234">
      <w:pPr>
        <w:jc w:val="center"/>
        <w:rPr>
          <w:rFonts w:ascii="Book Antiqua" w:hAnsi="Book Antiqua" w:cs="Arial"/>
          <w:b/>
        </w:rPr>
      </w:pPr>
    </w:p>
    <w:p w14:paraId="778B1E77"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2F1CBD28"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7C91802B" w14:textId="0E25BBDF" w:rsidR="001B186A" w:rsidRDefault="001B186A" w:rsidP="00A15234">
      <w:pPr>
        <w:jc w:val="center"/>
        <w:rPr>
          <w:rFonts w:ascii="Book Antiqua" w:hAnsi="Book Antiqua" w:cs="Arial"/>
          <w:b/>
          <w:color w:val="000000"/>
        </w:rPr>
      </w:pPr>
    </w:p>
    <w:p w14:paraId="58A516C7" w14:textId="77777777" w:rsidR="00A94FDC" w:rsidRPr="00B57D66" w:rsidRDefault="00A94FDC" w:rsidP="00A15234">
      <w:pPr>
        <w:jc w:val="center"/>
        <w:rPr>
          <w:rFonts w:ascii="Book Antiqua" w:hAnsi="Book Antiqua" w:cs="Arial"/>
          <w:b/>
          <w:color w:val="000000"/>
        </w:rPr>
      </w:pPr>
    </w:p>
    <w:p w14:paraId="74EEED40"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0D10A55E" w14:textId="77777777" w:rsidR="00A845DC" w:rsidRPr="00B57D66" w:rsidRDefault="00A845DC" w:rsidP="00A15234">
      <w:pPr>
        <w:jc w:val="center"/>
        <w:rPr>
          <w:rFonts w:ascii="Book Antiqua" w:hAnsi="Book Antiqua" w:cs="Arial"/>
          <w:b/>
        </w:rPr>
      </w:pPr>
    </w:p>
    <w:p w14:paraId="52A4B707" w14:textId="0E74799D" w:rsidR="00A845DC" w:rsidRDefault="00C3571B" w:rsidP="00A15234">
      <w:pPr>
        <w:jc w:val="center"/>
        <w:rPr>
          <w:rFonts w:ascii="Book Antiqua" w:hAnsi="Book Antiqua" w:cs="Arial"/>
          <w:b/>
          <w:caps/>
        </w:rPr>
      </w:pPr>
      <w:r>
        <w:rPr>
          <w:rFonts w:ascii="Book Antiqua" w:hAnsi="Book Antiqua" w:cs="Arial"/>
          <w:b/>
          <w:caps/>
        </w:rPr>
        <w:t>m</w:t>
      </w:r>
      <w:r w:rsidR="009E4CB2">
        <w:rPr>
          <w:rFonts w:ascii="Book Antiqua" w:hAnsi="Book Antiqua" w:cs="Arial"/>
          <w:b/>
          <w:caps/>
        </w:rPr>
        <w:t xml:space="preserve"> h</w:t>
      </w:r>
    </w:p>
    <w:p w14:paraId="140E6402" w14:textId="77777777"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9E4CB2">
        <w:rPr>
          <w:rFonts w:ascii="Book Antiqua" w:hAnsi="Book Antiqua" w:cs="Arial"/>
          <w:b/>
          <w:caps/>
        </w:rPr>
        <w:t>made</w:t>
      </w:r>
      <w:r w:rsidRPr="00173CC6">
        <w:rPr>
          <w:rFonts w:ascii="Book Antiqua" w:hAnsi="Book Antiqua" w:cs="Arial"/>
          <w:b/>
          <w:caps/>
        </w:rPr>
        <w:t>)</w:t>
      </w:r>
    </w:p>
    <w:p w14:paraId="58C2D6FE"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45BEA99C"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3E7DAF9F" w14:textId="77777777" w:rsidR="00DD5071" w:rsidRPr="00B57D66" w:rsidRDefault="00DD5071" w:rsidP="00704B61">
      <w:pPr>
        <w:jc w:val="center"/>
        <w:rPr>
          <w:rFonts w:ascii="Book Antiqua" w:hAnsi="Book Antiqua" w:cs="Arial"/>
          <w:b/>
        </w:rPr>
      </w:pPr>
    </w:p>
    <w:p w14:paraId="76C73A74"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15500CC2"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3B061DFB" w14:textId="77777777" w:rsidR="00DD5071" w:rsidRPr="00B57D66" w:rsidRDefault="00DD5071" w:rsidP="00DD5071">
      <w:pPr>
        <w:rPr>
          <w:rFonts w:ascii="Book Antiqua" w:hAnsi="Book Antiqua" w:cs="Arial"/>
          <w:u w:val="single"/>
        </w:rPr>
      </w:pPr>
    </w:p>
    <w:p w14:paraId="74B9062A" w14:textId="77777777" w:rsidR="00DD5071" w:rsidRPr="00B57D66" w:rsidRDefault="00DD5071" w:rsidP="00DD5071">
      <w:pPr>
        <w:rPr>
          <w:rFonts w:ascii="Book Antiqua" w:hAnsi="Book Antiqua" w:cs="Arial"/>
          <w:u w:val="single"/>
        </w:rPr>
      </w:pPr>
    </w:p>
    <w:p w14:paraId="792E6D3E"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1329C6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674B7D">
        <w:rPr>
          <w:rFonts w:ascii="Book Antiqua" w:hAnsi="Book Antiqua" w:cs="Arial"/>
        </w:rPr>
        <w:t xml:space="preserve">Mr R Spurling, Counsel instructed by City Heights Solicitors </w:t>
      </w:r>
    </w:p>
    <w:p w14:paraId="0DA799BA"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674B7D">
        <w:rPr>
          <w:rFonts w:ascii="Book Antiqua" w:hAnsi="Book Antiqua" w:cs="Arial"/>
        </w:rPr>
        <w:t xml:space="preserve">Mr L Tarlow, Home Office Presenting Officer </w:t>
      </w:r>
    </w:p>
    <w:p w14:paraId="71C13AC7" w14:textId="77777777" w:rsidR="00DE7DB7" w:rsidRPr="00B57D66" w:rsidRDefault="00DE7DB7" w:rsidP="00402B9E">
      <w:pPr>
        <w:tabs>
          <w:tab w:val="left" w:pos="2520"/>
        </w:tabs>
        <w:jc w:val="center"/>
        <w:rPr>
          <w:rFonts w:ascii="Book Antiqua" w:hAnsi="Book Antiqua" w:cs="Arial"/>
        </w:rPr>
      </w:pPr>
    </w:p>
    <w:p w14:paraId="1CF8D134" w14:textId="77777777" w:rsidR="00DE7DB7" w:rsidRPr="00B57D66" w:rsidRDefault="00DE7DB7" w:rsidP="00402B9E">
      <w:pPr>
        <w:tabs>
          <w:tab w:val="left" w:pos="2520"/>
        </w:tabs>
        <w:jc w:val="center"/>
        <w:rPr>
          <w:rFonts w:ascii="Book Antiqua" w:hAnsi="Book Antiqua" w:cs="Arial"/>
        </w:rPr>
      </w:pPr>
    </w:p>
    <w:p w14:paraId="107E7F27"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481A72D0" w14:textId="77777777" w:rsidR="004B5AEF" w:rsidRDefault="004B5AEF" w:rsidP="00BF23BB">
      <w:pPr>
        <w:tabs>
          <w:tab w:val="left" w:pos="567"/>
        </w:tabs>
        <w:ind w:left="567" w:hanging="567"/>
        <w:jc w:val="both"/>
        <w:rPr>
          <w:rFonts w:ascii="Book Antiqua" w:hAnsi="Book Antiqua" w:cs="Arial"/>
        </w:rPr>
      </w:pPr>
    </w:p>
    <w:p w14:paraId="39B379F8" w14:textId="77777777" w:rsidR="009E4CB2"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9E4CB2" w:rsidRPr="007E4BD4">
        <w:rPr>
          <w:rFonts w:ascii="Book Antiqua" w:hAnsi="Book Antiqua" w:cs="Arial"/>
        </w:rPr>
        <w:t>In a decision sent on 23 April 2018 Judge Graves of the First-tier Tribunal dismissed the appeal of the appellant, a national of Bangladesh, against the decision made by the respondent on 9 February 2018 refusing his protection claim.</w:t>
      </w:r>
    </w:p>
    <w:p w14:paraId="0201736A" w14:textId="77777777" w:rsidR="00A94FDC" w:rsidRDefault="00A94FDC" w:rsidP="00BF23BB">
      <w:pPr>
        <w:tabs>
          <w:tab w:val="left" w:pos="567"/>
        </w:tabs>
        <w:ind w:left="567" w:hanging="567"/>
        <w:jc w:val="both"/>
        <w:rPr>
          <w:rFonts w:ascii="Book Antiqua" w:hAnsi="Book Antiqua" w:cs="Arial"/>
        </w:rPr>
      </w:pPr>
    </w:p>
    <w:p w14:paraId="355AE1DB" w14:textId="287A970C" w:rsidR="009E4CB2" w:rsidRDefault="009E4CB2"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advances three grounds, it being alleged that the judge erred in refusing to adjourn; in </w:t>
      </w:r>
      <w:r w:rsidR="008466A5">
        <w:rPr>
          <w:rFonts w:ascii="Book Antiqua" w:hAnsi="Book Antiqua" w:cs="Arial"/>
        </w:rPr>
        <w:t>failing</w:t>
      </w:r>
      <w:r>
        <w:rPr>
          <w:rFonts w:ascii="Book Antiqua" w:hAnsi="Book Antiqua" w:cs="Arial"/>
        </w:rPr>
        <w:t xml:space="preserve"> to address the psychological report assessment that the appellant would be at risk on </w:t>
      </w:r>
      <w:r w:rsidR="008466A5">
        <w:rPr>
          <w:rFonts w:ascii="Book Antiqua" w:hAnsi="Book Antiqua" w:cs="Arial"/>
        </w:rPr>
        <w:t>return</w:t>
      </w:r>
      <w:r>
        <w:rPr>
          <w:rFonts w:ascii="Book Antiqua" w:hAnsi="Book Antiqua" w:cs="Arial"/>
        </w:rPr>
        <w:t xml:space="preserve"> by virtue of being at high risk of </w:t>
      </w:r>
      <w:r w:rsidR="008466A5">
        <w:rPr>
          <w:rFonts w:ascii="Book Antiqua" w:hAnsi="Book Antiqua" w:cs="Arial"/>
        </w:rPr>
        <w:t>suicide</w:t>
      </w:r>
      <w:r>
        <w:rPr>
          <w:rFonts w:ascii="Book Antiqua" w:hAnsi="Book Antiqua" w:cs="Arial"/>
        </w:rPr>
        <w:t xml:space="preserve">; and in </w:t>
      </w:r>
      <w:r w:rsidR="008466A5">
        <w:rPr>
          <w:rFonts w:ascii="Book Antiqua" w:hAnsi="Book Antiqua" w:cs="Arial"/>
        </w:rPr>
        <w:t>failing</w:t>
      </w:r>
      <w:r>
        <w:rPr>
          <w:rFonts w:ascii="Book Antiqua" w:hAnsi="Book Antiqua" w:cs="Arial"/>
        </w:rPr>
        <w:t xml:space="preserve"> to </w:t>
      </w:r>
      <w:r>
        <w:rPr>
          <w:rFonts w:ascii="Book Antiqua" w:hAnsi="Book Antiqua" w:cs="Arial"/>
        </w:rPr>
        <w:lastRenderedPageBreak/>
        <w:t>weigh in the balance the third witness’s evidence that the appellant attended LGBT groups and events.</w:t>
      </w:r>
    </w:p>
    <w:p w14:paraId="7A976253" w14:textId="77777777" w:rsidR="009E4CB2" w:rsidRDefault="009E4CB2" w:rsidP="00BF23BB">
      <w:pPr>
        <w:tabs>
          <w:tab w:val="left" w:pos="567"/>
        </w:tabs>
        <w:ind w:left="567" w:hanging="567"/>
        <w:jc w:val="both"/>
        <w:rPr>
          <w:rFonts w:ascii="Book Antiqua" w:hAnsi="Book Antiqua" w:cs="Arial"/>
        </w:rPr>
      </w:pPr>
    </w:p>
    <w:p w14:paraId="1CA40D34" w14:textId="77777777" w:rsidR="009E4CB2" w:rsidRDefault="009E4CB2" w:rsidP="009E4CB2">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see no arguable merit in the first </w:t>
      </w:r>
      <w:r w:rsidR="008466A5">
        <w:rPr>
          <w:rFonts w:ascii="Book Antiqua" w:hAnsi="Book Antiqua" w:cs="Arial"/>
        </w:rPr>
        <w:t>ground</w:t>
      </w:r>
      <w:r>
        <w:rPr>
          <w:rFonts w:ascii="Book Antiqua" w:hAnsi="Book Antiqua" w:cs="Arial"/>
        </w:rPr>
        <w:t>.  The judge’s treatment of the adjournment issue was set out in paragraph 9:</w:t>
      </w:r>
    </w:p>
    <w:p w14:paraId="5C9B51E4" w14:textId="77777777" w:rsidR="009E4CB2" w:rsidRPr="000241FB" w:rsidRDefault="009E4CB2" w:rsidP="009E4CB2">
      <w:pPr>
        <w:pStyle w:val="ListParagraph"/>
        <w:rPr>
          <w:rFonts w:ascii="Book Antiqua" w:hAnsi="Book Antiqua" w:cs="Arial"/>
        </w:rPr>
      </w:pPr>
    </w:p>
    <w:p w14:paraId="4DA1750A" w14:textId="77777777" w:rsidR="009E4CB2" w:rsidRDefault="009E4CB2" w:rsidP="009E4CB2">
      <w:pPr>
        <w:ind w:left="1134" w:hanging="1134"/>
        <w:jc w:val="both"/>
        <w:rPr>
          <w:rFonts w:ascii="Book Antiqua" w:hAnsi="Book Antiqua" w:cs="Arial"/>
        </w:rPr>
      </w:pPr>
      <w:r>
        <w:rPr>
          <w:rFonts w:ascii="Book Antiqua" w:hAnsi="Book Antiqua" w:cs="Arial"/>
        </w:rPr>
        <w:tab/>
        <w:t xml:space="preserve">“At the start of the hearing Mr Murphy applied for an adjournment to obtain a second psychiatric or psychological report, to specifically address the appellant’s memory and whether his mental health problems affected his ability to give consistent evidence about his experiences in Bangladesh.  I refused that application.  There was </w:t>
      </w:r>
      <w:r w:rsidR="008466A5">
        <w:rPr>
          <w:rFonts w:ascii="Book Antiqua" w:hAnsi="Book Antiqua" w:cs="Arial"/>
        </w:rPr>
        <w:t>already</w:t>
      </w:r>
      <w:r>
        <w:rPr>
          <w:rFonts w:ascii="Book Antiqua" w:hAnsi="Book Antiqua" w:cs="Arial"/>
        </w:rPr>
        <w:t xml:space="preserve"> a report from a Consultant </w:t>
      </w:r>
      <w:r w:rsidR="008466A5">
        <w:rPr>
          <w:rFonts w:ascii="Book Antiqua" w:hAnsi="Book Antiqua" w:cs="Arial"/>
        </w:rPr>
        <w:t>Psychiatrist</w:t>
      </w:r>
      <w:r>
        <w:rPr>
          <w:rFonts w:ascii="Book Antiqua" w:hAnsi="Book Antiqua" w:cs="Arial"/>
        </w:rPr>
        <w:t xml:space="preserve"> before me, that said that one of the appellant’s reported symptoms of depression was ‘</w:t>
      </w:r>
      <w:r w:rsidR="008466A5">
        <w:rPr>
          <w:rFonts w:ascii="Book Antiqua" w:hAnsi="Book Antiqua" w:cs="Arial"/>
        </w:rPr>
        <w:t>diminished</w:t>
      </w:r>
      <w:r>
        <w:rPr>
          <w:rFonts w:ascii="Book Antiqua" w:hAnsi="Book Antiqua" w:cs="Arial"/>
        </w:rPr>
        <w:t xml:space="preserve"> ability to think or c</w:t>
      </w:r>
      <w:r w:rsidR="008466A5">
        <w:rPr>
          <w:rFonts w:ascii="Book Antiqua" w:hAnsi="Book Antiqua" w:cs="Arial"/>
        </w:rPr>
        <w:t>oncentrate</w:t>
      </w:r>
      <w:r>
        <w:rPr>
          <w:rFonts w:ascii="Book Antiqua" w:hAnsi="Book Antiqua" w:cs="Arial"/>
        </w:rPr>
        <w:t xml:space="preserve">’, and this could be taken into </w:t>
      </w:r>
      <w:r w:rsidR="008466A5">
        <w:rPr>
          <w:rFonts w:ascii="Book Antiqua" w:hAnsi="Book Antiqua" w:cs="Arial"/>
        </w:rPr>
        <w:t>account</w:t>
      </w:r>
      <w:r>
        <w:rPr>
          <w:rFonts w:ascii="Book Antiqua" w:hAnsi="Book Antiqua" w:cs="Arial"/>
        </w:rPr>
        <w:t xml:space="preserve"> when assessing the evidence.  The psychologist had been provided with a copy of the decision and relevant documents and so would have been aware of the reasons why the claim had been refused.  There was no suggestion that the appellant was not mentally fit to give evidence.  I put the hearing back to allow Mr Murphy further time with the appellant and asked him to address me on any steps that might be </w:t>
      </w:r>
      <w:r w:rsidR="008466A5">
        <w:rPr>
          <w:rFonts w:ascii="Book Antiqua" w:hAnsi="Book Antiqua" w:cs="Arial"/>
        </w:rPr>
        <w:t>taken</w:t>
      </w:r>
      <w:r>
        <w:rPr>
          <w:rFonts w:ascii="Book Antiqua" w:hAnsi="Book Antiqua" w:cs="Arial"/>
        </w:rPr>
        <w:t xml:space="preserve"> to ensure the hearing was fair and accessible for the appellant.  On return to court in the afternoon, Mr Murphy suggested breaks for the appellant might be advisable, and breaks were offered.  I suggested that the appellant take his time giving evidence and that answers and questions could be checked and with him if necessary.  I did not observe any signs of the appellant being distressed or confused when giving evidence.”</w:t>
      </w:r>
    </w:p>
    <w:p w14:paraId="4613D8F9" w14:textId="77777777" w:rsidR="00BF23BB" w:rsidRDefault="009E4CB2" w:rsidP="00BF23BB">
      <w:pPr>
        <w:tabs>
          <w:tab w:val="left" w:pos="567"/>
        </w:tabs>
        <w:ind w:left="567" w:hanging="567"/>
        <w:jc w:val="both"/>
        <w:rPr>
          <w:rFonts w:ascii="Book Antiqua" w:hAnsi="Book Antiqua" w:cs="Arial"/>
        </w:rPr>
      </w:pPr>
      <w:r w:rsidRPr="009E4CB2">
        <w:rPr>
          <w:rFonts w:ascii="Book Antiqua" w:hAnsi="Book Antiqua" w:cs="Arial"/>
        </w:rPr>
        <w:t xml:space="preserve">    </w:t>
      </w:r>
    </w:p>
    <w:p w14:paraId="0277A838" w14:textId="433AD983" w:rsidR="00173CC6" w:rsidRDefault="00272637"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It is clear from the file that the grounds of appeal submitted in response to the respondent’s decision contended, inter alia, that the appellant had memory problems (as well as other mental health problems) and his representatives had ample opportunity to obtain medical evidence prior to the hearing, which had already been adjourned once or to submit a supplementary witness statement going through any respects in which it was considered memory problems had affected his evidence-giving.  In the above, t</w:t>
      </w:r>
      <w:r w:rsidR="009E4CB2">
        <w:rPr>
          <w:rFonts w:ascii="Book Antiqua" w:hAnsi="Book Antiqua" w:cs="Arial"/>
        </w:rPr>
        <w:t xml:space="preserve">he judge was entitled to take into </w:t>
      </w:r>
      <w:r w:rsidR="008466A5">
        <w:rPr>
          <w:rFonts w:ascii="Book Antiqua" w:hAnsi="Book Antiqua" w:cs="Arial"/>
        </w:rPr>
        <w:t>account</w:t>
      </w:r>
      <w:r w:rsidR="009E4CB2">
        <w:rPr>
          <w:rFonts w:ascii="Book Antiqua" w:hAnsi="Book Antiqua" w:cs="Arial"/>
        </w:rPr>
        <w:t>, in deciding whether to adjourn, that the psychologist’s report addressed the appellant’s memory problems in any event.</w:t>
      </w:r>
    </w:p>
    <w:p w14:paraId="437D2511" w14:textId="77777777" w:rsidR="009E4CB2" w:rsidRDefault="009E4CB2" w:rsidP="00BF23BB">
      <w:pPr>
        <w:tabs>
          <w:tab w:val="left" w:pos="567"/>
        </w:tabs>
        <w:ind w:left="567" w:hanging="567"/>
        <w:jc w:val="both"/>
        <w:rPr>
          <w:rFonts w:ascii="Book Antiqua" w:hAnsi="Book Antiqua" w:cs="Arial"/>
        </w:rPr>
      </w:pPr>
    </w:p>
    <w:p w14:paraId="3303C3E9" w14:textId="7CE96922" w:rsidR="009E4CB2" w:rsidRDefault="009E4CB2"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8466A5">
        <w:rPr>
          <w:rFonts w:ascii="Book Antiqua" w:hAnsi="Book Antiqua" w:cs="Arial"/>
        </w:rPr>
        <w:t>Turning</w:t>
      </w:r>
      <w:r>
        <w:rPr>
          <w:rFonts w:ascii="Book Antiqua" w:hAnsi="Book Antiqua" w:cs="Arial"/>
        </w:rPr>
        <w:t xml:space="preserve"> to the third </w:t>
      </w:r>
      <w:r w:rsidR="008466A5">
        <w:rPr>
          <w:rFonts w:ascii="Book Antiqua" w:hAnsi="Book Antiqua" w:cs="Arial"/>
        </w:rPr>
        <w:t>ground</w:t>
      </w:r>
      <w:r>
        <w:rPr>
          <w:rFonts w:ascii="Book Antiqua" w:hAnsi="Book Antiqua" w:cs="Arial"/>
        </w:rPr>
        <w:t>, if it had been relied upon on its own, I would not have found it sufficient to establish a material error of law because although the judge accepted the evidence of the third witness (see paragraph 38)</w:t>
      </w:r>
      <w:r w:rsidR="00C3571B">
        <w:rPr>
          <w:rFonts w:ascii="Book Antiqua" w:hAnsi="Book Antiqua" w:cs="Arial"/>
        </w:rPr>
        <w:t>,</w:t>
      </w:r>
      <w:r>
        <w:rPr>
          <w:rFonts w:ascii="Book Antiqua" w:hAnsi="Book Antiqua" w:cs="Arial"/>
        </w:rPr>
        <w:t xml:space="preserve"> whose evidence was that the appellant had accompanied him to LGBT groups and events</w:t>
      </w:r>
      <w:r w:rsidR="00C3571B">
        <w:rPr>
          <w:rFonts w:ascii="Book Antiqua" w:hAnsi="Book Antiqua" w:cs="Arial"/>
        </w:rPr>
        <w:t>,</w:t>
      </w:r>
      <w:r>
        <w:rPr>
          <w:rFonts w:ascii="Book Antiqua" w:hAnsi="Book Antiqua" w:cs="Arial"/>
        </w:rPr>
        <w:t xml:space="preserve"> it was the appellant’s own evidence that he had only attended group meetings sporadically and it was arguably open to the judge to consider that the appellant’s attendances </w:t>
      </w:r>
      <w:r w:rsidR="00C3571B">
        <w:rPr>
          <w:rFonts w:ascii="Book Antiqua" w:hAnsi="Book Antiqua" w:cs="Arial"/>
        </w:rPr>
        <w:t xml:space="preserve">even if they occurred </w:t>
      </w:r>
      <w:r>
        <w:rPr>
          <w:rFonts w:ascii="Book Antiqua" w:hAnsi="Book Antiqua" w:cs="Arial"/>
        </w:rPr>
        <w:t xml:space="preserve">were contrived.  That said, for the judge to state at paragraph 38 that [the witnesses’] evidence was based on his self-report to them </w:t>
      </w:r>
      <w:r w:rsidR="00C3571B">
        <w:rPr>
          <w:rFonts w:ascii="Book Antiqua" w:hAnsi="Book Antiqua" w:cs="Arial"/>
        </w:rPr>
        <w:t>(rather</w:t>
      </w:r>
      <w:r>
        <w:rPr>
          <w:rFonts w:ascii="Book Antiqua" w:hAnsi="Book Antiqua" w:cs="Arial"/>
        </w:rPr>
        <w:t xml:space="preserve"> than </w:t>
      </w:r>
      <w:r w:rsidR="00C3571B">
        <w:rPr>
          <w:rFonts w:ascii="Book Antiqua" w:hAnsi="Book Antiqua" w:cs="Arial"/>
        </w:rPr>
        <w:t xml:space="preserve">at least in part on </w:t>
      </w:r>
      <w:r>
        <w:rPr>
          <w:rFonts w:ascii="Book Antiqua" w:hAnsi="Book Antiqua" w:cs="Arial"/>
        </w:rPr>
        <w:t xml:space="preserve">their </w:t>
      </w:r>
      <w:r w:rsidR="00C3571B">
        <w:rPr>
          <w:rFonts w:ascii="Book Antiqua" w:hAnsi="Book Antiqua" w:cs="Arial"/>
        </w:rPr>
        <w:t xml:space="preserve">own </w:t>
      </w:r>
      <w:r>
        <w:rPr>
          <w:rFonts w:ascii="Book Antiqua" w:hAnsi="Book Antiqua" w:cs="Arial"/>
        </w:rPr>
        <w:t>knowledge</w:t>
      </w:r>
      <w:r w:rsidR="00C3571B">
        <w:rPr>
          <w:rFonts w:ascii="Book Antiqua" w:hAnsi="Book Antiqua" w:cs="Arial"/>
        </w:rPr>
        <w:t xml:space="preserve">) regarding his involvement </w:t>
      </w:r>
      <w:r>
        <w:rPr>
          <w:rFonts w:ascii="Book Antiqua" w:hAnsi="Book Antiqua" w:cs="Arial"/>
        </w:rPr>
        <w:t xml:space="preserve">with </w:t>
      </w:r>
      <w:r w:rsidR="008466A5">
        <w:rPr>
          <w:rFonts w:ascii="Book Antiqua" w:hAnsi="Book Antiqua" w:cs="Arial"/>
        </w:rPr>
        <w:t xml:space="preserve">the </w:t>
      </w:r>
      <w:r>
        <w:rPr>
          <w:rFonts w:ascii="Book Antiqua" w:hAnsi="Book Antiqua" w:cs="Arial"/>
        </w:rPr>
        <w:t xml:space="preserve">gay community, was incorrect, since the third witness’s evidence was at least that the appellant had attended some gay </w:t>
      </w:r>
      <w:r w:rsidR="008466A5">
        <w:rPr>
          <w:rFonts w:ascii="Book Antiqua" w:hAnsi="Book Antiqua" w:cs="Arial"/>
        </w:rPr>
        <w:t>community</w:t>
      </w:r>
      <w:r>
        <w:rPr>
          <w:rFonts w:ascii="Book Antiqua" w:hAnsi="Book Antiqua" w:cs="Arial"/>
        </w:rPr>
        <w:t xml:space="preserve"> events with him.</w:t>
      </w:r>
    </w:p>
    <w:p w14:paraId="21733F6E" w14:textId="77777777" w:rsidR="00C3571B" w:rsidRDefault="00C3571B" w:rsidP="00BF23BB">
      <w:pPr>
        <w:tabs>
          <w:tab w:val="left" w:pos="567"/>
        </w:tabs>
        <w:ind w:left="567" w:hanging="567"/>
        <w:jc w:val="both"/>
        <w:rPr>
          <w:rFonts w:ascii="Book Antiqua" w:hAnsi="Book Antiqua" w:cs="Arial"/>
        </w:rPr>
      </w:pPr>
    </w:p>
    <w:p w14:paraId="327F9E1B" w14:textId="3C023471" w:rsidR="009E4CB2" w:rsidRDefault="009E4CB2"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 do consider, however, that the appellant’s second ground identifies</w:t>
      </w:r>
      <w:r w:rsidR="00C3571B">
        <w:rPr>
          <w:rFonts w:ascii="Book Antiqua" w:hAnsi="Book Antiqua" w:cs="Arial"/>
        </w:rPr>
        <w:t xml:space="preserve"> an outright error of law.  The</w:t>
      </w:r>
      <w:r>
        <w:rPr>
          <w:rFonts w:ascii="Book Antiqua" w:hAnsi="Book Antiqua" w:cs="Arial"/>
        </w:rPr>
        <w:t xml:space="preserve"> psychological report by Dr Brian Sreenan dated 7 March 2018 set out, inter alia, that the appellant was at high risk of suicide (see p. 6 of the report) and </w:t>
      </w:r>
      <w:r w:rsidR="008466A5">
        <w:rPr>
          <w:rFonts w:ascii="Book Antiqua" w:hAnsi="Book Antiqua" w:cs="Arial"/>
        </w:rPr>
        <w:t>it</w:t>
      </w:r>
      <w:r>
        <w:rPr>
          <w:rFonts w:ascii="Book Antiqua" w:hAnsi="Book Antiqua" w:cs="Arial"/>
        </w:rPr>
        <w:t xml:space="preserve"> was incumbent on the judge to assess whether in light of this evidence there would be a real risk on return of t</w:t>
      </w:r>
      <w:r w:rsidR="007B19A3">
        <w:rPr>
          <w:rFonts w:ascii="Book Antiqua" w:hAnsi="Book Antiqua" w:cs="Arial"/>
        </w:rPr>
        <w:t xml:space="preserve">he appellant </w:t>
      </w:r>
      <w:r>
        <w:rPr>
          <w:rFonts w:ascii="Book Antiqua" w:hAnsi="Book Antiqua" w:cs="Arial"/>
        </w:rPr>
        <w:t xml:space="preserve">committing </w:t>
      </w:r>
      <w:r w:rsidR="008466A5">
        <w:rPr>
          <w:rFonts w:ascii="Book Antiqua" w:hAnsi="Book Antiqua" w:cs="Arial"/>
        </w:rPr>
        <w:t>suicide</w:t>
      </w:r>
      <w:r w:rsidR="00C3571B">
        <w:rPr>
          <w:rFonts w:ascii="Book Antiqua" w:hAnsi="Book Antiqua" w:cs="Arial"/>
        </w:rPr>
        <w:t>;</w:t>
      </w:r>
      <w:r>
        <w:rPr>
          <w:rFonts w:ascii="Book Antiqua" w:hAnsi="Book Antiqua" w:cs="Arial"/>
        </w:rPr>
        <w:t xml:space="preserve"> and to conduct that assessment applying the approach enjoyed by the Court of Appeal in </w:t>
      </w:r>
      <w:r w:rsidRPr="007E4BD4">
        <w:rPr>
          <w:b/>
          <w:u w:val="single"/>
        </w:rPr>
        <w:t>J</w:t>
      </w:r>
      <w:r>
        <w:rPr>
          <w:rFonts w:ascii="Book Antiqua" w:hAnsi="Book Antiqua" w:cs="Arial"/>
        </w:rPr>
        <w:t>.  The judge wholly failed to conduct such an assessment.</w:t>
      </w:r>
    </w:p>
    <w:p w14:paraId="64E15131" w14:textId="77777777" w:rsidR="009E4CB2" w:rsidRDefault="009E4CB2" w:rsidP="00BF23BB">
      <w:pPr>
        <w:tabs>
          <w:tab w:val="left" w:pos="567"/>
        </w:tabs>
        <w:ind w:left="567" w:hanging="567"/>
        <w:jc w:val="both"/>
        <w:rPr>
          <w:rFonts w:ascii="Book Antiqua" w:hAnsi="Book Antiqua" w:cs="Arial"/>
        </w:rPr>
      </w:pPr>
    </w:p>
    <w:p w14:paraId="32F4A768" w14:textId="77777777" w:rsidR="009E4CB2" w:rsidRDefault="009E4CB2"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In light of my analysis, which includes concerns about the judge’s treatment of the witness evidence, I consider it would be </w:t>
      </w:r>
      <w:r w:rsidR="008466A5">
        <w:rPr>
          <w:rFonts w:ascii="Book Antiqua" w:hAnsi="Book Antiqua" w:cs="Arial"/>
        </w:rPr>
        <w:t>unsafe</w:t>
      </w:r>
      <w:r>
        <w:rPr>
          <w:rFonts w:ascii="Book Antiqua" w:hAnsi="Book Antiqua" w:cs="Arial"/>
        </w:rPr>
        <w:t xml:space="preserve"> to seek to preserve any findings of fact.  The case will be remitted to the FtT.</w:t>
      </w:r>
    </w:p>
    <w:p w14:paraId="6EC71C1E" w14:textId="77777777" w:rsidR="009E4CB2" w:rsidRDefault="009E4CB2" w:rsidP="00BF23BB">
      <w:pPr>
        <w:tabs>
          <w:tab w:val="left" w:pos="567"/>
        </w:tabs>
        <w:ind w:left="567" w:hanging="567"/>
        <w:jc w:val="both"/>
        <w:rPr>
          <w:rFonts w:ascii="Book Antiqua" w:hAnsi="Book Antiqua" w:cs="Arial"/>
        </w:rPr>
      </w:pPr>
    </w:p>
    <w:p w14:paraId="678E94D8" w14:textId="07721F0A" w:rsidR="009E4CB2" w:rsidRDefault="009E4CB2"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674B7D">
        <w:rPr>
          <w:rFonts w:ascii="Book Antiqua" w:hAnsi="Book Antiqua" w:cs="Arial"/>
        </w:rPr>
        <w:t xml:space="preserve">Given my decision it will be open to the appellant’s representative </w:t>
      </w:r>
      <w:r w:rsidR="008466A5">
        <w:rPr>
          <w:rFonts w:ascii="Book Antiqua" w:hAnsi="Book Antiqua" w:cs="Arial"/>
        </w:rPr>
        <w:t xml:space="preserve">to seek to obtain a further medical report addressing in more depth the appellant’s </w:t>
      </w:r>
      <w:r w:rsidR="00272637">
        <w:rPr>
          <w:rFonts w:ascii="Book Antiqua" w:hAnsi="Book Antiqua" w:cs="Arial"/>
        </w:rPr>
        <w:t>memory</w:t>
      </w:r>
      <w:r w:rsidR="008466A5">
        <w:rPr>
          <w:rFonts w:ascii="Book Antiqua" w:hAnsi="Book Antiqua" w:cs="Arial"/>
        </w:rPr>
        <w:t xml:space="preserve"> problems</w:t>
      </w:r>
      <w:r w:rsidR="00C3571B">
        <w:rPr>
          <w:rFonts w:ascii="Book Antiqua" w:hAnsi="Book Antiqua" w:cs="Arial"/>
        </w:rPr>
        <w:t xml:space="preserve"> </w:t>
      </w:r>
      <w:r w:rsidR="008466A5">
        <w:rPr>
          <w:rFonts w:ascii="Book Antiqua" w:hAnsi="Book Antiqua" w:cs="Arial"/>
        </w:rPr>
        <w:t>However, in light of submissions already made regarding the alleged impact of such problems on the appellant’s ability to give consistent and coherent evidence, it is directed that the appellant’s representatives produce within six weeks from the sending of my decision a detailed witness statement in which the appellant offers an explanation for each of the inconsistencies and vagueness</w:t>
      </w:r>
      <w:r w:rsidR="00C3571B">
        <w:rPr>
          <w:rFonts w:ascii="Book Antiqua" w:hAnsi="Book Antiqua" w:cs="Arial"/>
        </w:rPr>
        <w:t>es</w:t>
      </w:r>
      <w:r w:rsidR="008466A5">
        <w:rPr>
          <w:rFonts w:ascii="Book Antiqua" w:hAnsi="Book Antiqua" w:cs="Arial"/>
        </w:rPr>
        <w:t xml:space="preserve"> in his evidence identified by the respondent in her refusal decision and by the FtT judge.  Unless notified to the contrary</w:t>
      </w:r>
      <w:r w:rsidR="00C3571B">
        <w:rPr>
          <w:rFonts w:ascii="Book Antiqua" w:hAnsi="Book Antiqua" w:cs="Arial"/>
        </w:rPr>
        <w:t>,</w:t>
      </w:r>
      <w:r w:rsidR="008466A5">
        <w:rPr>
          <w:rFonts w:ascii="Book Antiqua" w:hAnsi="Book Antiqua" w:cs="Arial"/>
        </w:rPr>
        <w:t xml:space="preserve"> the FtT will proceed to </w:t>
      </w:r>
      <w:r w:rsidR="00C3571B">
        <w:rPr>
          <w:rFonts w:ascii="Book Antiqua" w:hAnsi="Book Antiqua" w:cs="Arial"/>
        </w:rPr>
        <w:t>list</w:t>
      </w:r>
      <w:r w:rsidR="008466A5">
        <w:rPr>
          <w:rFonts w:ascii="Book Antiqua" w:hAnsi="Book Antiqua" w:cs="Arial"/>
        </w:rPr>
        <w:t xml:space="preserve"> this on the basis that it </w:t>
      </w:r>
      <w:r w:rsidR="00272637">
        <w:rPr>
          <w:rFonts w:ascii="Book Antiqua" w:hAnsi="Book Antiqua" w:cs="Arial"/>
        </w:rPr>
        <w:t>will hear</w:t>
      </w:r>
      <w:r w:rsidR="008466A5">
        <w:rPr>
          <w:rFonts w:ascii="Book Antiqua" w:hAnsi="Book Antiqua" w:cs="Arial"/>
        </w:rPr>
        <w:t xml:space="preserve"> oral evidence from the appellant and his witnesses.  </w:t>
      </w:r>
    </w:p>
    <w:p w14:paraId="63F11CAD" w14:textId="77777777" w:rsidR="008466A5" w:rsidRDefault="008466A5" w:rsidP="00BF23BB">
      <w:pPr>
        <w:tabs>
          <w:tab w:val="left" w:pos="567"/>
        </w:tabs>
        <w:ind w:left="567" w:hanging="567"/>
        <w:jc w:val="both"/>
        <w:rPr>
          <w:rFonts w:ascii="Book Antiqua" w:hAnsi="Book Antiqua" w:cs="Arial"/>
        </w:rPr>
      </w:pPr>
    </w:p>
    <w:p w14:paraId="33E5FC81" w14:textId="77777777" w:rsidR="008466A5" w:rsidRDefault="008466A5"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To conclude:</w:t>
      </w:r>
    </w:p>
    <w:p w14:paraId="1914AAAC" w14:textId="77777777" w:rsidR="008466A5" w:rsidRDefault="008466A5" w:rsidP="00BF23BB">
      <w:pPr>
        <w:tabs>
          <w:tab w:val="left" w:pos="567"/>
        </w:tabs>
        <w:ind w:left="567" w:hanging="567"/>
        <w:jc w:val="both"/>
        <w:rPr>
          <w:rFonts w:ascii="Book Antiqua" w:hAnsi="Book Antiqua" w:cs="Arial"/>
        </w:rPr>
      </w:pPr>
    </w:p>
    <w:p w14:paraId="48E438BD" w14:textId="77777777" w:rsidR="008466A5" w:rsidRDefault="008466A5" w:rsidP="008466A5">
      <w:pPr>
        <w:ind w:left="1134" w:hanging="1134"/>
        <w:jc w:val="both"/>
        <w:rPr>
          <w:rFonts w:ascii="Book Antiqua" w:hAnsi="Book Antiqua" w:cs="Arial"/>
        </w:rPr>
      </w:pPr>
      <w:r>
        <w:rPr>
          <w:rFonts w:ascii="Book Antiqua" w:hAnsi="Book Antiqua" w:cs="Arial"/>
        </w:rPr>
        <w:tab/>
      </w:r>
      <w:r>
        <w:rPr>
          <w:rFonts w:ascii="Book Antiqua" w:hAnsi="Book Antiqua" w:cs="Arial"/>
        </w:rPr>
        <w:tab/>
        <w:t>The decision of the FtT judge is set aside for material error of law.</w:t>
      </w:r>
    </w:p>
    <w:p w14:paraId="76618399" w14:textId="77777777" w:rsidR="008466A5" w:rsidRDefault="008466A5" w:rsidP="008466A5">
      <w:pPr>
        <w:ind w:left="1134" w:hanging="1134"/>
        <w:jc w:val="both"/>
        <w:rPr>
          <w:rFonts w:ascii="Book Antiqua" w:hAnsi="Book Antiqua" w:cs="Arial"/>
        </w:rPr>
      </w:pPr>
    </w:p>
    <w:p w14:paraId="160275BA" w14:textId="77777777" w:rsidR="008466A5" w:rsidRDefault="008466A5" w:rsidP="008466A5">
      <w:pPr>
        <w:ind w:left="1134" w:hanging="1134"/>
        <w:jc w:val="both"/>
        <w:rPr>
          <w:rFonts w:ascii="Book Antiqua" w:hAnsi="Book Antiqua" w:cs="Arial"/>
        </w:rPr>
      </w:pPr>
      <w:r>
        <w:rPr>
          <w:rFonts w:ascii="Book Antiqua" w:hAnsi="Book Antiqua" w:cs="Arial"/>
        </w:rPr>
        <w:tab/>
        <w:t>The case is remitted to the FtT (not before Judge Graves).</w:t>
      </w:r>
    </w:p>
    <w:p w14:paraId="638ACF68" w14:textId="77777777" w:rsidR="009E4CB2" w:rsidRDefault="009E4CB2" w:rsidP="00BF23BB">
      <w:pPr>
        <w:tabs>
          <w:tab w:val="left" w:pos="567"/>
        </w:tabs>
        <w:ind w:left="567" w:hanging="567"/>
        <w:jc w:val="both"/>
        <w:rPr>
          <w:rFonts w:ascii="Book Antiqua" w:hAnsi="Book Antiqua" w:cs="Arial"/>
        </w:rPr>
      </w:pPr>
    </w:p>
    <w:p w14:paraId="5F43B6B3"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43C4DCC6" w14:textId="77777777" w:rsidR="00173CC6" w:rsidRPr="00173CC6" w:rsidRDefault="00173CC6" w:rsidP="00173CC6">
      <w:pPr>
        <w:jc w:val="both"/>
        <w:rPr>
          <w:rFonts w:ascii="Book Antiqua" w:hAnsi="Book Antiqua" w:cs="Arial"/>
        </w:rPr>
      </w:pPr>
    </w:p>
    <w:p w14:paraId="72567969"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8466A5">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77E62309" w14:textId="6DE64AF1" w:rsidR="00A509FA" w:rsidRDefault="00A509FA" w:rsidP="00780F86">
      <w:pPr>
        <w:ind w:left="540" w:hanging="540"/>
        <w:jc w:val="both"/>
        <w:rPr>
          <w:rFonts w:ascii="Book Antiqua" w:hAnsi="Book Antiqua" w:cs="Arial"/>
        </w:rPr>
      </w:pPr>
    </w:p>
    <w:p w14:paraId="36D5F27E" w14:textId="77777777" w:rsidR="00A94FDC" w:rsidRPr="00B57D66" w:rsidRDefault="00A94FDC" w:rsidP="00780F86">
      <w:pPr>
        <w:ind w:left="540" w:hanging="540"/>
        <w:jc w:val="both"/>
        <w:rPr>
          <w:rFonts w:ascii="Book Antiqua" w:hAnsi="Book Antiqua" w:cs="Arial"/>
        </w:rPr>
      </w:pPr>
    </w:p>
    <w:p w14:paraId="52DB06E1" w14:textId="092FEF49"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C3571B">
        <w:rPr>
          <w:rFonts w:ascii="Book Antiqua" w:hAnsi="Book Antiqua" w:cs="Arial"/>
        </w:rPr>
        <w:t xml:space="preserve">: </w:t>
      </w:r>
      <w:r w:rsidRPr="00B57D66">
        <w:rPr>
          <w:rFonts w:ascii="Book Antiqua" w:hAnsi="Book Antiqua" w:cs="Arial"/>
        </w:rPr>
        <w:tab/>
      </w:r>
      <w:r w:rsidR="00C3571B" w:rsidRPr="00B35E85">
        <w:rPr>
          <w:noProof/>
        </w:rPr>
        <w:drawing>
          <wp:inline distT="0" distB="0" distL="0" distR="0" wp14:anchorId="207D5F7F" wp14:editId="12BA1E7A">
            <wp:extent cx="1712595" cy="50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2595" cy="508635"/>
                    </a:xfrm>
                    <a:prstGeom prst="rect">
                      <a:avLst/>
                    </a:prstGeom>
                    <a:noFill/>
                    <a:ln>
                      <a:noFill/>
                    </a:ln>
                  </pic:spPr>
                </pic:pic>
              </a:graphicData>
            </a:graphic>
          </wp:inline>
        </w:drawing>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C3571B">
        <w:rPr>
          <w:rFonts w:ascii="Book Antiqua" w:hAnsi="Book Antiqua" w:cs="Arial"/>
        </w:rPr>
        <w:t>: 7 August 2018</w:t>
      </w:r>
    </w:p>
    <w:p w14:paraId="2312BEBF" w14:textId="77777777" w:rsidR="001F2716" w:rsidRPr="00B57D66" w:rsidRDefault="001F2716" w:rsidP="00402B9E">
      <w:pPr>
        <w:tabs>
          <w:tab w:val="left" w:pos="2520"/>
        </w:tabs>
        <w:ind w:left="540" w:hanging="540"/>
        <w:jc w:val="both"/>
        <w:rPr>
          <w:rFonts w:ascii="Book Antiqua" w:hAnsi="Book Antiqua" w:cs="Arial"/>
        </w:rPr>
      </w:pPr>
    </w:p>
    <w:p w14:paraId="212C65E7"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1F86326F" w14:textId="7EC2336B" w:rsidR="00B95326" w:rsidRPr="00B57D66" w:rsidRDefault="00A9409A" w:rsidP="00AD6068">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A49A7" w14:textId="77777777" w:rsidR="00601598" w:rsidRDefault="00601598">
      <w:r>
        <w:separator/>
      </w:r>
    </w:p>
  </w:endnote>
  <w:endnote w:type="continuationSeparator" w:id="0">
    <w:p w14:paraId="7E6211AA" w14:textId="77777777" w:rsidR="00601598" w:rsidRDefault="00601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2891" w14:textId="2E2D215F"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957B92">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380B"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326C6" w14:textId="77777777" w:rsidR="00601598" w:rsidRDefault="00601598">
      <w:r>
        <w:separator/>
      </w:r>
    </w:p>
  </w:footnote>
  <w:footnote w:type="continuationSeparator" w:id="0">
    <w:p w14:paraId="4559509A" w14:textId="77777777" w:rsidR="00601598" w:rsidRDefault="00601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0D25"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9E4CB2" w:rsidRPr="009E4CB2">
      <w:rPr>
        <w:rFonts w:ascii="Book Antiqua" w:hAnsi="Book Antiqua" w:cs="Arial"/>
        <w:sz w:val="16"/>
        <w:szCs w:val="16"/>
      </w:rPr>
      <w:t>PA/02677/2018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C93F6"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C42E2"/>
    <w:multiLevelType w:val="hybridMultilevel"/>
    <w:tmpl w:val="22A68872"/>
    <w:lvl w:ilvl="0" w:tplc="0F98A3EC">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B2"/>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3134B"/>
    <w:rsid w:val="00272637"/>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598"/>
    <w:rsid w:val="00601D8F"/>
    <w:rsid w:val="006215B3"/>
    <w:rsid w:val="00653E97"/>
    <w:rsid w:val="00674B7D"/>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19A3"/>
    <w:rsid w:val="007B5D3C"/>
    <w:rsid w:val="007C1919"/>
    <w:rsid w:val="00821B72"/>
    <w:rsid w:val="00823EF2"/>
    <w:rsid w:val="008303B8"/>
    <w:rsid w:val="00833DCE"/>
    <w:rsid w:val="00842F3A"/>
    <w:rsid w:val="008466A5"/>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57B92"/>
    <w:rsid w:val="009722BC"/>
    <w:rsid w:val="009727A3"/>
    <w:rsid w:val="00975893"/>
    <w:rsid w:val="00987774"/>
    <w:rsid w:val="009A11E8"/>
    <w:rsid w:val="009B4673"/>
    <w:rsid w:val="009E4CB2"/>
    <w:rsid w:val="009F5220"/>
    <w:rsid w:val="00A15234"/>
    <w:rsid w:val="00A201AB"/>
    <w:rsid w:val="00A2306E"/>
    <w:rsid w:val="00A31C8B"/>
    <w:rsid w:val="00A50368"/>
    <w:rsid w:val="00A509FA"/>
    <w:rsid w:val="00A845DC"/>
    <w:rsid w:val="00A9409A"/>
    <w:rsid w:val="00A94FDC"/>
    <w:rsid w:val="00AD17CF"/>
    <w:rsid w:val="00AD6068"/>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26032"/>
    <w:rsid w:val="00C345E1"/>
    <w:rsid w:val="00C3571B"/>
    <w:rsid w:val="00C43BFD"/>
    <w:rsid w:val="00C816AD"/>
    <w:rsid w:val="00CA0F25"/>
    <w:rsid w:val="00CB13D6"/>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DF2EA3"/>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5674E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E4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5447</Characters>
  <Application>Microsoft Office Word</Application>
  <DocSecurity>0</DocSecurity>
  <Lines>45</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2018-09-04T15:36:00Z</dcterms:created>
  <dcterms:modified xsi:type="dcterms:W3CDTF">2018-09-04T15:37:00Z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