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262FC" w14:textId="77777777" w:rsidR="0050388A" w:rsidRPr="006E011B" w:rsidRDefault="002947A8" w:rsidP="0050388A">
      <w:pPr>
        <w:jc w:val="center"/>
        <w:rPr>
          <w:rFonts w:ascii="Book Antiqua" w:hAnsi="Book Antiqua" w:cs="Arial"/>
          <w:caps/>
          <w:color w:val="000000"/>
          <w:sz w:val="16"/>
          <w:szCs w:val="16"/>
        </w:rPr>
      </w:pPr>
      <w:r w:rsidRPr="006E011B">
        <w:rPr>
          <w:noProof/>
          <w:sz w:val="16"/>
          <w:szCs w:val="16"/>
        </w:rPr>
        <w:drawing>
          <wp:inline distT="0" distB="0" distL="0" distR="0" wp14:anchorId="3ABB509E" wp14:editId="3F1094EA">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14:paraId="4C4C476C" w14:textId="1E54E84F" w:rsidR="00D94AFC" w:rsidRPr="006E011B" w:rsidRDefault="00D94AFC">
      <w:pPr>
        <w:rPr>
          <w:rFonts w:ascii="Book Antiqua" w:hAnsi="Book Antiqua" w:cs="Arial"/>
          <w:color w:val="000000"/>
          <w:sz w:val="16"/>
          <w:szCs w:val="16"/>
        </w:rPr>
      </w:pPr>
    </w:p>
    <w:p w14:paraId="734C8513"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599A1DD1" w14:textId="77777777" w:rsidR="007B0824"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6B76D2">
        <w:rPr>
          <w:rFonts w:ascii="Book Antiqua" w:hAnsi="Book Antiqua" w:cs="Arial"/>
          <w:color w:val="000000"/>
        </w:rPr>
        <w:t>s</w:t>
      </w:r>
      <w:r w:rsidR="00D53769" w:rsidRPr="00AE6DDE">
        <w:rPr>
          <w:rFonts w:ascii="Book Antiqua" w:hAnsi="Book Antiqua" w:cs="Arial"/>
          <w:color w:val="000000"/>
        </w:rPr>
        <w:t>:</w:t>
      </w:r>
      <w:r w:rsidR="00B3524D" w:rsidRPr="00AE6DDE">
        <w:rPr>
          <w:rFonts w:ascii="Book Antiqua" w:hAnsi="Book Antiqua" w:cs="Arial"/>
          <w:color w:val="000000"/>
        </w:rPr>
        <w:t xml:space="preserve"> </w:t>
      </w:r>
      <w:r w:rsidR="006B76D2">
        <w:rPr>
          <w:rFonts w:ascii="Book Antiqua" w:hAnsi="Book Antiqua" w:cs="Arial"/>
          <w:caps/>
          <w:color w:val="000000"/>
        </w:rPr>
        <w:t>PA/02733/2017</w:t>
      </w:r>
    </w:p>
    <w:p w14:paraId="0876B4C5" w14:textId="77777777" w:rsidR="006B76D2" w:rsidRPr="00AE6DDE" w:rsidRDefault="006B76D2" w:rsidP="006B76D2">
      <w:pPr>
        <w:tabs>
          <w:tab w:val="right" w:pos="9720"/>
        </w:tabs>
        <w:ind w:right="-82"/>
        <w:jc w:val="right"/>
        <w:rPr>
          <w:rFonts w:ascii="Book Antiqua" w:hAnsi="Book Antiqua" w:cs="Arial"/>
          <w:color w:val="000000"/>
        </w:rPr>
      </w:pPr>
      <w:r>
        <w:rPr>
          <w:rFonts w:ascii="Book Antiqua" w:hAnsi="Book Antiqua" w:cs="Arial"/>
          <w:caps/>
          <w:color w:val="000000"/>
        </w:rPr>
        <w:t>PA/02767/2017</w:t>
      </w:r>
    </w:p>
    <w:p w14:paraId="4D0194E0" w14:textId="77777777" w:rsidR="00C345E1" w:rsidRPr="00AE6DDE" w:rsidRDefault="00C345E1" w:rsidP="006B76D2">
      <w:pPr>
        <w:rPr>
          <w:rFonts w:ascii="Book Antiqua" w:hAnsi="Book Antiqua" w:cs="Arial"/>
          <w:color w:val="000000"/>
        </w:rPr>
      </w:pPr>
    </w:p>
    <w:p w14:paraId="50B92EC4"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6B43E36D" w14:textId="77777777" w:rsidR="00C345E1" w:rsidRPr="00AE6DDE" w:rsidRDefault="00C345E1" w:rsidP="00C345E1">
      <w:pPr>
        <w:jc w:val="center"/>
        <w:rPr>
          <w:rFonts w:ascii="Book Antiqua" w:hAnsi="Book Antiqua" w:cs="Arial"/>
          <w:b/>
          <w:u w:val="single"/>
        </w:rPr>
      </w:pPr>
    </w:p>
    <w:p w14:paraId="2678BEB7" w14:textId="77777777"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39"/>
        <w:gridCol w:w="3899"/>
      </w:tblGrid>
      <w:tr w:rsidR="00D22636" w:rsidRPr="00AE6DDE" w14:paraId="61BBE760" w14:textId="77777777" w:rsidTr="00847259">
        <w:tc>
          <w:tcPr>
            <w:tcW w:w="5868" w:type="dxa"/>
          </w:tcPr>
          <w:p w14:paraId="01393E89"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6B76D2">
              <w:rPr>
                <w:rFonts w:ascii="Book Antiqua" w:hAnsi="Book Antiqua" w:cs="Arial"/>
                <w:b/>
              </w:rPr>
              <w:t>Field House</w:t>
            </w:r>
          </w:p>
        </w:tc>
        <w:tc>
          <w:tcPr>
            <w:tcW w:w="3960" w:type="dxa"/>
          </w:tcPr>
          <w:p w14:paraId="0C20CF43" w14:textId="77777777"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5AE6CC6A" w14:textId="77777777" w:rsidTr="00847259">
        <w:tc>
          <w:tcPr>
            <w:tcW w:w="5868" w:type="dxa"/>
          </w:tcPr>
          <w:p w14:paraId="00A82F66"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6B76D2">
              <w:rPr>
                <w:rFonts w:ascii="Book Antiqua" w:hAnsi="Book Antiqua" w:cs="Arial"/>
                <w:b/>
              </w:rPr>
              <w:t>8 May 2018</w:t>
            </w:r>
          </w:p>
        </w:tc>
        <w:tc>
          <w:tcPr>
            <w:tcW w:w="3960" w:type="dxa"/>
          </w:tcPr>
          <w:p w14:paraId="4F2F0BDC" w14:textId="314E8338" w:rsidR="00D22636" w:rsidRPr="00AE6DDE" w:rsidRDefault="00840592" w:rsidP="004A1848">
            <w:pPr>
              <w:jc w:val="both"/>
              <w:rPr>
                <w:rFonts w:ascii="Book Antiqua" w:hAnsi="Book Antiqua" w:cs="Arial"/>
                <w:b/>
              </w:rPr>
            </w:pPr>
            <w:r>
              <w:rPr>
                <w:rFonts w:ascii="Book Antiqua" w:hAnsi="Book Antiqua" w:cs="Arial"/>
                <w:b/>
              </w:rPr>
              <w:t>On 25 May 2018</w:t>
            </w:r>
          </w:p>
        </w:tc>
      </w:tr>
      <w:tr w:rsidR="00D22636" w:rsidRPr="00AE6DDE" w14:paraId="4D4BC4EB" w14:textId="77777777" w:rsidTr="00847259">
        <w:tc>
          <w:tcPr>
            <w:tcW w:w="5868" w:type="dxa"/>
          </w:tcPr>
          <w:p w14:paraId="633CED7A" w14:textId="77777777" w:rsidR="00D22636" w:rsidRPr="00AE6DDE" w:rsidRDefault="00D22636" w:rsidP="004A1848">
            <w:pPr>
              <w:jc w:val="both"/>
              <w:rPr>
                <w:rFonts w:ascii="Book Antiqua" w:hAnsi="Book Antiqua" w:cs="Arial"/>
                <w:b/>
              </w:rPr>
            </w:pPr>
          </w:p>
        </w:tc>
        <w:tc>
          <w:tcPr>
            <w:tcW w:w="3960" w:type="dxa"/>
          </w:tcPr>
          <w:p w14:paraId="336F3B89" w14:textId="5DCBC6A5" w:rsidR="00D22636" w:rsidRPr="00AE6DDE" w:rsidRDefault="00D22636" w:rsidP="004A1848">
            <w:pPr>
              <w:jc w:val="both"/>
              <w:rPr>
                <w:rFonts w:ascii="Book Antiqua" w:hAnsi="Book Antiqua" w:cs="Arial"/>
                <w:b/>
              </w:rPr>
            </w:pPr>
          </w:p>
        </w:tc>
      </w:tr>
    </w:tbl>
    <w:p w14:paraId="7CD9FC69" w14:textId="33F01116" w:rsidR="00A15234" w:rsidRPr="00AE6DDE" w:rsidRDefault="00A15234" w:rsidP="0093659B">
      <w:pPr>
        <w:rPr>
          <w:rFonts w:ascii="Book Antiqua" w:hAnsi="Book Antiqua" w:cs="Arial"/>
        </w:rPr>
      </w:pPr>
    </w:p>
    <w:p w14:paraId="51B54F17"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33A80471" w14:textId="77777777" w:rsidR="00A15234" w:rsidRPr="00AE6DDE" w:rsidRDefault="00A15234" w:rsidP="00A15234">
      <w:pPr>
        <w:jc w:val="center"/>
        <w:rPr>
          <w:rFonts w:ascii="Book Antiqua" w:hAnsi="Book Antiqua" w:cs="Arial"/>
          <w:b/>
        </w:rPr>
      </w:pPr>
    </w:p>
    <w:p w14:paraId="4FBF29C8" w14:textId="77777777" w:rsidR="00D20757" w:rsidRDefault="00347A9C" w:rsidP="00A15234">
      <w:pPr>
        <w:jc w:val="center"/>
        <w:rPr>
          <w:rFonts w:ascii="Book Antiqua" w:hAnsi="Book Antiqua" w:cs="Arial"/>
          <w:b/>
          <w:color w:val="000000"/>
        </w:rPr>
      </w:pPr>
      <w:smartTag w:uri="urn:schemas-microsoft-com:office:smarttags" w:element="place">
        <w:smartTag w:uri="urn:schemas-microsoft-com:office:smarttags" w:element="City">
          <w:r>
            <w:rPr>
              <w:rFonts w:ascii="Book Antiqua" w:hAnsi="Book Antiqua" w:cs="Arial"/>
              <w:b/>
              <w:color w:val="000000"/>
            </w:rPr>
            <w:t xml:space="preserve">DEPUTY UPPER TRIBUNAL JUDGE </w:t>
          </w:r>
          <w:r w:rsidR="00143A28">
            <w:rPr>
              <w:rFonts w:ascii="Book Antiqua" w:hAnsi="Book Antiqua" w:cs="Arial"/>
              <w:b/>
              <w:color w:val="000000"/>
            </w:rPr>
            <w:t>HILL</w:t>
          </w:r>
        </w:smartTag>
        <w:r w:rsidR="00143A28">
          <w:rPr>
            <w:rFonts w:ascii="Book Antiqua" w:hAnsi="Book Antiqua" w:cs="Arial"/>
            <w:b/>
            <w:color w:val="000000"/>
          </w:rPr>
          <w:t xml:space="preserve"> </w:t>
        </w:r>
        <w:smartTag w:uri="urn:schemas-microsoft-com:office:smarttags" w:element="State">
          <w:r w:rsidR="00143A28">
            <w:rPr>
              <w:rFonts w:ascii="Book Antiqua" w:hAnsi="Book Antiqua" w:cs="Arial"/>
              <w:b/>
              <w:color w:val="000000"/>
            </w:rPr>
            <w:t>QC</w:t>
          </w:r>
        </w:smartTag>
      </w:smartTag>
    </w:p>
    <w:p w14:paraId="73B2C97A" w14:textId="77777777" w:rsidR="001B186A" w:rsidRPr="00AE6DDE" w:rsidRDefault="001B186A" w:rsidP="00A15234">
      <w:pPr>
        <w:jc w:val="center"/>
        <w:rPr>
          <w:rFonts w:ascii="Book Antiqua" w:hAnsi="Book Antiqua" w:cs="Arial"/>
          <w:b/>
          <w:color w:val="000000"/>
        </w:rPr>
      </w:pPr>
    </w:p>
    <w:p w14:paraId="2CE835C6" w14:textId="77777777" w:rsidR="00A845DC" w:rsidRPr="00AE6DDE" w:rsidRDefault="00A845DC" w:rsidP="00A15234">
      <w:pPr>
        <w:jc w:val="center"/>
        <w:rPr>
          <w:rFonts w:ascii="Book Antiqua" w:hAnsi="Book Antiqua" w:cs="Arial"/>
          <w:b/>
        </w:rPr>
      </w:pPr>
    </w:p>
    <w:p w14:paraId="6363A87F"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0143F97D" w14:textId="77777777" w:rsidR="00A845DC" w:rsidRPr="00AE6DDE" w:rsidRDefault="00A845DC" w:rsidP="00A15234">
      <w:pPr>
        <w:jc w:val="center"/>
        <w:rPr>
          <w:rFonts w:ascii="Book Antiqua" w:hAnsi="Book Antiqua" w:cs="Arial"/>
          <w:b/>
        </w:rPr>
      </w:pPr>
    </w:p>
    <w:p w14:paraId="27C6F2B9" w14:textId="5A2393CE" w:rsidR="00A845DC" w:rsidRPr="000E18C9" w:rsidRDefault="006B76D2" w:rsidP="000E18C9">
      <w:pPr>
        <w:pStyle w:val="ListParagraph"/>
        <w:numPr>
          <w:ilvl w:val="0"/>
          <w:numId w:val="1"/>
        </w:numPr>
        <w:jc w:val="center"/>
        <w:rPr>
          <w:rFonts w:ascii="Book Antiqua" w:hAnsi="Book Antiqua" w:cs="Arial"/>
          <w:b/>
          <w:caps/>
        </w:rPr>
      </w:pPr>
      <w:r w:rsidRPr="000E18C9">
        <w:rPr>
          <w:rFonts w:ascii="Book Antiqua" w:hAnsi="Book Antiqua" w:cs="Arial"/>
          <w:b/>
          <w:caps/>
        </w:rPr>
        <w:t xml:space="preserve">RAJA </w:t>
      </w:r>
      <w:r w:rsidR="006E011B">
        <w:rPr>
          <w:rFonts w:ascii="Book Antiqua" w:hAnsi="Book Antiqua" w:cs="Arial"/>
          <w:b/>
          <w:caps/>
        </w:rPr>
        <w:t>[</w:t>
      </w:r>
      <w:r w:rsidRPr="000E18C9">
        <w:rPr>
          <w:rFonts w:ascii="Book Antiqua" w:hAnsi="Book Antiqua" w:cs="Arial"/>
          <w:b/>
          <w:caps/>
        </w:rPr>
        <w:t>A</w:t>
      </w:r>
      <w:r w:rsidR="006E011B">
        <w:rPr>
          <w:rFonts w:ascii="Book Antiqua" w:hAnsi="Book Antiqua" w:cs="Arial"/>
          <w:b/>
          <w:caps/>
        </w:rPr>
        <w:t>]</w:t>
      </w:r>
    </w:p>
    <w:p w14:paraId="4BBF0CD6" w14:textId="058E8259" w:rsidR="006C384F" w:rsidRDefault="006B76D2" w:rsidP="006C384F">
      <w:pPr>
        <w:pStyle w:val="ListParagraph"/>
        <w:numPr>
          <w:ilvl w:val="0"/>
          <w:numId w:val="1"/>
        </w:numPr>
        <w:jc w:val="center"/>
        <w:rPr>
          <w:rFonts w:ascii="Book Antiqua" w:hAnsi="Book Antiqua" w:cs="Arial"/>
          <w:b/>
          <w:caps/>
        </w:rPr>
      </w:pPr>
      <w:r w:rsidRPr="000E18C9">
        <w:rPr>
          <w:rFonts w:ascii="Book Antiqua" w:hAnsi="Book Antiqua" w:cs="Arial"/>
          <w:b/>
          <w:caps/>
        </w:rPr>
        <w:t xml:space="preserve">AYZER </w:t>
      </w:r>
      <w:r w:rsidR="006E011B">
        <w:rPr>
          <w:rFonts w:ascii="Book Antiqua" w:hAnsi="Book Antiqua" w:cs="Arial"/>
          <w:b/>
          <w:caps/>
        </w:rPr>
        <w:t>[</w:t>
      </w:r>
      <w:r w:rsidRPr="000E18C9">
        <w:rPr>
          <w:rFonts w:ascii="Book Antiqua" w:hAnsi="Book Antiqua" w:cs="Arial"/>
          <w:b/>
          <w:caps/>
        </w:rPr>
        <w:t>N</w:t>
      </w:r>
      <w:r w:rsidR="006E011B">
        <w:rPr>
          <w:rFonts w:ascii="Book Antiqua" w:hAnsi="Book Antiqua" w:cs="Arial"/>
          <w:b/>
          <w:caps/>
        </w:rPr>
        <w:t>]</w:t>
      </w:r>
    </w:p>
    <w:p w14:paraId="270F02F5" w14:textId="7B5C4375" w:rsidR="00704B61" w:rsidRPr="006E011B" w:rsidRDefault="00847259" w:rsidP="006C384F">
      <w:pPr>
        <w:pStyle w:val="ListParagraph"/>
        <w:jc w:val="center"/>
        <w:rPr>
          <w:rFonts w:ascii="Book Antiqua" w:hAnsi="Book Antiqua" w:cs="Arial"/>
          <w:b/>
          <w:caps/>
          <w:sz w:val="22"/>
        </w:rPr>
      </w:pPr>
      <w:r w:rsidRPr="006E011B">
        <w:rPr>
          <w:rFonts w:ascii="Book Antiqua" w:hAnsi="Book Antiqua" w:cs="Arial"/>
          <w:b/>
          <w:caps/>
          <w:sz w:val="22"/>
        </w:rPr>
        <w:t>(anonymity directio</w:t>
      </w:r>
      <w:r w:rsidR="000E18C9" w:rsidRPr="006E011B">
        <w:rPr>
          <w:rFonts w:ascii="Book Antiqua" w:hAnsi="Book Antiqua" w:cs="Arial"/>
          <w:b/>
          <w:caps/>
          <w:sz w:val="22"/>
        </w:rPr>
        <w:t>N NOT MADE</w:t>
      </w:r>
      <w:r w:rsidRPr="006E011B">
        <w:rPr>
          <w:rFonts w:ascii="Book Antiqua" w:hAnsi="Book Antiqua" w:cs="Arial"/>
          <w:b/>
          <w:caps/>
          <w:sz w:val="22"/>
        </w:rPr>
        <w:t>)</w:t>
      </w:r>
    </w:p>
    <w:p w14:paraId="05F14B55"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r w:rsidR="006B76D2">
        <w:rPr>
          <w:rFonts w:ascii="Book Antiqua" w:hAnsi="Book Antiqua" w:cs="Arial"/>
          <w:u w:val="single"/>
        </w:rPr>
        <w:t>s</w:t>
      </w:r>
    </w:p>
    <w:p w14:paraId="14E3C14E"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007B78C3" w14:textId="77777777" w:rsidR="00DD5071" w:rsidRPr="00AE6DDE" w:rsidRDefault="00DD5071" w:rsidP="00704B61">
      <w:pPr>
        <w:jc w:val="center"/>
        <w:rPr>
          <w:rFonts w:ascii="Book Antiqua" w:hAnsi="Book Antiqua" w:cs="Arial"/>
          <w:b/>
        </w:rPr>
      </w:pPr>
    </w:p>
    <w:p w14:paraId="1BD47B24" w14:textId="13722702" w:rsidR="00DD5071" w:rsidRPr="00AE6DDE" w:rsidRDefault="00BE08D1" w:rsidP="00704B61">
      <w:pPr>
        <w:jc w:val="center"/>
        <w:rPr>
          <w:rFonts w:ascii="Book Antiqua" w:hAnsi="Book Antiqua" w:cs="Arial"/>
          <w:b/>
        </w:rPr>
      </w:pPr>
      <w:r>
        <w:rPr>
          <w:rFonts w:ascii="Book Antiqua" w:hAnsi="Book Antiqua" w:cs="Arial"/>
          <w:b/>
        </w:rPr>
        <w:t>THE SECRETARY OF STATE FOR THE HOME DEPARTMENT</w:t>
      </w:r>
    </w:p>
    <w:p w14:paraId="1E1D9D5E"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712AF47D" w14:textId="77777777" w:rsidR="00DD5071" w:rsidRPr="00AE6DDE" w:rsidRDefault="00DD5071" w:rsidP="00DD5071">
      <w:pPr>
        <w:rPr>
          <w:rFonts w:ascii="Book Antiqua" w:hAnsi="Book Antiqua" w:cs="Arial"/>
          <w:u w:val="single"/>
        </w:rPr>
      </w:pPr>
    </w:p>
    <w:p w14:paraId="17F25B58" w14:textId="77777777" w:rsidR="00DD5071" w:rsidRPr="00AE6DDE" w:rsidRDefault="00DD5071" w:rsidP="00DD5071">
      <w:pPr>
        <w:rPr>
          <w:rFonts w:ascii="Book Antiqua" w:hAnsi="Book Antiqua" w:cs="Arial"/>
          <w:u w:val="single"/>
        </w:rPr>
      </w:pPr>
    </w:p>
    <w:p w14:paraId="47A7033A"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7391B9E3"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006B76D2">
        <w:rPr>
          <w:rFonts w:ascii="Book Antiqua" w:hAnsi="Book Antiqua" w:cs="Arial"/>
        </w:rPr>
        <w:t>s</w:t>
      </w:r>
      <w:r w:rsidRPr="00AE6DDE">
        <w:rPr>
          <w:rFonts w:ascii="Book Antiqua" w:hAnsi="Book Antiqua" w:cs="Arial"/>
        </w:rPr>
        <w:t>:</w:t>
      </w:r>
      <w:r w:rsidRPr="00AE6DDE">
        <w:rPr>
          <w:rFonts w:ascii="Book Antiqua" w:hAnsi="Book Antiqua" w:cs="Arial"/>
        </w:rPr>
        <w:tab/>
      </w:r>
      <w:r w:rsidR="006B76D2">
        <w:rPr>
          <w:rFonts w:ascii="Book Antiqua" w:hAnsi="Book Antiqua" w:cs="Arial"/>
        </w:rPr>
        <w:t xml:space="preserve">Ms C Hulse, Counsel instructed by Gillman-Smith Lee Solicitors </w:t>
      </w:r>
    </w:p>
    <w:p w14:paraId="38953552"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6B76D2">
        <w:rPr>
          <w:rFonts w:ascii="Book Antiqua" w:hAnsi="Book Antiqua" w:cs="Arial"/>
        </w:rPr>
        <w:t xml:space="preserve">Mr I Jarvis, Home Office Presenting Officer </w:t>
      </w:r>
    </w:p>
    <w:p w14:paraId="4F2B6E5E" w14:textId="77777777" w:rsidR="00DE7DB7" w:rsidRPr="00AE6DDE" w:rsidRDefault="00DE7DB7" w:rsidP="00847259">
      <w:pPr>
        <w:jc w:val="center"/>
        <w:rPr>
          <w:rFonts w:ascii="Book Antiqua" w:hAnsi="Book Antiqua" w:cs="Arial"/>
        </w:rPr>
      </w:pPr>
    </w:p>
    <w:p w14:paraId="5035F559" w14:textId="77777777" w:rsidR="00DE7DB7" w:rsidRPr="00AE6DDE" w:rsidRDefault="00DE7DB7" w:rsidP="00847259">
      <w:pPr>
        <w:jc w:val="center"/>
        <w:rPr>
          <w:rFonts w:ascii="Book Antiqua" w:hAnsi="Book Antiqua" w:cs="Arial"/>
        </w:rPr>
      </w:pPr>
    </w:p>
    <w:p w14:paraId="41123212"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7217B51A" w14:textId="77777777" w:rsidR="00402B9E" w:rsidRPr="00AE6DDE" w:rsidRDefault="00402B9E" w:rsidP="00847259">
      <w:pPr>
        <w:jc w:val="both"/>
        <w:rPr>
          <w:rFonts w:ascii="Book Antiqua" w:hAnsi="Book Antiqua" w:cs="Arial"/>
        </w:rPr>
      </w:pPr>
    </w:p>
    <w:p w14:paraId="71D157A6" w14:textId="0FC08B4B" w:rsidR="0093659B" w:rsidRDefault="00402B9E" w:rsidP="00847259">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2947A8">
        <w:rPr>
          <w:rFonts w:ascii="Book Antiqua" w:hAnsi="Book Antiqua" w:cs="Arial"/>
        </w:rPr>
        <w:t>This is an appeal from the decision of First-tier Tribunal Judge Fletcher-Hill p</w:t>
      </w:r>
      <w:r w:rsidR="00254C79">
        <w:rPr>
          <w:rFonts w:ascii="Book Antiqua" w:hAnsi="Book Antiqua" w:cs="Arial"/>
        </w:rPr>
        <w:t xml:space="preserve">romulgated on 4 December 2017. </w:t>
      </w:r>
      <w:r w:rsidR="002947A8">
        <w:rPr>
          <w:rFonts w:ascii="Book Antiqua" w:hAnsi="Book Antiqua" w:cs="Arial"/>
        </w:rPr>
        <w:t>The two appellants</w:t>
      </w:r>
      <w:r w:rsidR="0093659B">
        <w:rPr>
          <w:rFonts w:ascii="Book Antiqua" w:hAnsi="Book Antiqua" w:cs="Arial"/>
        </w:rPr>
        <w:t>,</w:t>
      </w:r>
      <w:r w:rsidR="002947A8">
        <w:rPr>
          <w:rFonts w:ascii="Book Antiqua" w:hAnsi="Book Antiqua" w:cs="Arial"/>
        </w:rPr>
        <w:t xml:space="preserve"> who were unrepresented before the First-tier Tribunal</w:t>
      </w:r>
      <w:r w:rsidR="0093659B">
        <w:rPr>
          <w:rFonts w:ascii="Book Antiqua" w:hAnsi="Book Antiqua" w:cs="Arial"/>
        </w:rPr>
        <w:t>,</w:t>
      </w:r>
      <w:r w:rsidR="002947A8">
        <w:rPr>
          <w:rFonts w:ascii="Book Antiqua" w:hAnsi="Book Antiqua" w:cs="Arial"/>
        </w:rPr>
        <w:t xml:space="preserve"> are citizens of Malaysia who married on 24 May 2007</w:t>
      </w:r>
      <w:r w:rsidR="0093659B">
        <w:rPr>
          <w:rFonts w:ascii="Book Antiqua" w:hAnsi="Book Antiqua" w:cs="Arial"/>
        </w:rPr>
        <w:t>.</w:t>
      </w:r>
      <w:r w:rsidR="002947A8">
        <w:rPr>
          <w:rFonts w:ascii="Book Antiqua" w:hAnsi="Book Antiqua" w:cs="Arial"/>
        </w:rPr>
        <w:t xml:space="preserve">  </w:t>
      </w:r>
    </w:p>
    <w:p w14:paraId="3A138670" w14:textId="77777777" w:rsidR="0093659B" w:rsidRDefault="0093659B" w:rsidP="00847259">
      <w:pPr>
        <w:ind w:left="567" w:hanging="567"/>
        <w:jc w:val="both"/>
        <w:rPr>
          <w:rFonts w:ascii="Book Antiqua" w:hAnsi="Book Antiqua" w:cs="Arial"/>
        </w:rPr>
      </w:pPr>
    </w:p>
    <w:p w14:paraId="7A93DCCE" w14:textId="47FB5609" w:rsidR="0093659B" w:rsidRDefault="0093659B" w:rsidP="0084725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2947A8">
        <w:rPr>
          <w:rFonts w:ascii="Book Antiqua" w:hAnsi="Book Antiqua" w:cs="Arial"/>
        </w:rPr>
        <w:t xml:space="preserve">Their immigration </w:t>
      </w:r>
      <w:r w:rsidR="0070708E">
        <w:rPr>
          <w:rFonts w:ascii="Book Antiqua" w:hAnsi="Book Antiqua" w:cs="Arial"/>
        </w:rPr>
        <w:t>history can be briefly stated. They arrived with one</w:t>
      </w:r>
      <w:r w:rsidR="002947A8">
        <w:rPr>
          <w:rFonts w:ascii="Book Antiqua" w:hAnsi="Book Antiqua" w:cs="Arial"/>
        </w:rPr>
        <w:t xml:space="preserve"> holding a student visa and the other as a dependant. That situation was extended by further student and dependant visas</w:t>
      </w:r>
      <w:r w:rsidR="006C384F">
        <w:rPr>
          <w:rFonts w:ascii="Book Antiqua" w:hAnsi="Book Antiqua" w:cs="Arial"/>
        </w:rPr>
        <w:t>;</w:t>
      </w:r>
      <w:r w:rsidR="002947A8">
        <w:rPr>
          <w:rFonts w:ascii="Book Antiqua" w:hAnsi="Book Antiqua" w:cs="Arial"/>
        </w:rPr>
        <w:t xml:space="preserve"> and in October 2015 an application was made for leave </w:t>
      </w:r>
      <w:r w:rsidR="002947A8">
        <w:rPr>
          <w:rFonts w:ascii="Book Antiqua" w:hAnsi="Book Antiqua" w:cs="Arial"/>
        </w:rPr>
        <w:lastRenderedPageBreak/>
        <w:t xml:space="preserve">to remain on the basis of </w:t>
      </w:r>
      <w:proofErr w:type="gramStart"/>
      <w:r w:rsidR="002947A8">
        <w:rPr>
          <w:rFonts w:ascii="Book Antiqua" w:hAnsi="Book Antiqua" w:cs="Arial"/>
        </w:rPr>
        <w:t>ten year</w:t>
      </w:r>
      <w:proofErr w:type="gramEnd"/>
      <w:r w:rsidR="002947A8">
        <w:rPr>
          <w:rFonts w:ascii="Book Antiqua" w:hAnsi="Book Antiqua" w:cs="Arial"/>
        </w:rPr>
        <w:t xml:space="preserve"> residency.  This applicatio</w:t>
      </w:r>
      <w:r w:rsidR="0070708E">
        <w:rPr>
          <w:rFonts w:ascii="Book Antiqua" w:hAnsi="Book Antiqua" w:cs="Arial"/>
        </w:rPr>
        <w:t xml:space="preserve">n was refused on 30 July 2016. </w:t>
      </w:r>
      <w:r w:rsidR="002947A8">
        <w:rPr>
          <w:rFonts w:ascii="Book Antiqua" w:hAnsi="Book Antiqua" w:cs="Arial"/>
        </w:rPr>
        <w:t>Shortly thereafter</w:t>
      </w:r>
      <w:r w:rsidR="0070708E">
        <w:rPr>
          <w:rFonts w:ascii="Book Antiqua" w:hAnsi="Book Antiqua" w:cs="Arial"/>
        </w:rPr>
        <w:t>,</w:t>
      </w:r>
      <w:r w:rsidR="002947A8">
        <w:rPr>
          <w:rFonts w:ascii="Book Antiqua" w:hAnsi="Book Antiqua" w:cs="Arial"/>
        </w:rPr>
        <w:t xml:space="preserve"> on 8 September 2016</w:t>
      </w:r>
      <w:r w:rsidR="006C384F">
        <w:rPr>
          <w:rFonts w:ascii="Book Antiqua" w:hAnsi="Book Antiqua" w:cs="Arial"/>
        </w:rPr>
        <w:t xml:space="preserve">, both appellants made </w:t>
      </w:r>
      <w:r w:rsidR="002947A8">
        <w:rPr>
          <w:rFonts w:ascii="Book Antiqua" w:hAnsi="Book Antiqua" w:cs="Arial"/>
        </w:rPr>
        <w:t>claim</w:t>
      </w:r>
      <w:r w:rsidR="006C384F">
        <w:rPr>
          <w:rFonts w:ascii="Book Antiqua" w:hAnsi="Book Antiqua" w:cs="Arial"/>
        </w:rPr>
        <w:t>s</w:t>
      </w:r>
      <w:r w:rsidR="002947A8">
        <w:rPr>
          <w:rFonts w:ascii="Book Antiqua" w:hAnsi="Book Antiqua" w:cs="Arial"/>
        </w:rPr>
        <w:t xml:space="preserve"> for asylum.  This was refused by the Secretary of State on 24 February 2017</w:t>
      </w:r>
      <w:r w:rsidR="0070708E">
        <w:rPr>
          <w:rFonts w:ascii="Book Antiqua" w:hAnsi="Book Antiqua" w:cs="Arial"/>
        </w:rPr>
        <w:t>,</w:t>
      </w:r>
      <w:r w:rsidR="002947A8">
        <w:rPr>
          <w:rFonts w:ascii="Book Antiqua" w:hAnsi="Book Antiqua" w:cs="Arial"/>
        </w:rPr>
        <w:t xml:space="preserve"> which led to the appeal to the First-tier Tribunal.  </w:t>
      </w:r>
    </w:p>
    <w:p w14:paraId="38C189D0" w14:textId="77777777" w:rsidR="0093659B" w:rsidRDefault="0093659B" w:rsidP="00847259">
      <w:pPr>
        <w:ind w:left="567" w:hanging="567"/>
        <w:jc w:val="both"/>
        <w:rPr>
          <w:rFonts w:ascii="Book Antiqua" w:hAnsi="Book Antiqua" w:cs="Arial"/>
        </w:rPr>
      </w:pPr>
    </w:p>
    <w:p w14:paraId="6F034EB0" w14:textId="19A79125" w:rsidR="0084111B" w:rsidRDefault="0093659B" w:rsidP="00847259">
      <w:pPr>
        <w:ind w:left="567" w:hanging="567"/>
        <w:jc w:val="both"/>
        <w:rPr>
          <w:rFonts w:ascii="Book Antiqua" w:hAnsi="Book Antiqua" w:cs="Arial"/>
        </w:rPr>
      </w:pPr>
      <w:r>
        <w:rPr>
          <w:rFonts w:ascii="Book Antiqua" w:hAnsi="Book Antiqua" w:cs="Arial"/>
        </w:rPr>
        <w:t>3.</w:t>
      </w:r>
      <w:r>
        <w:rPr>
          <w:rFonts w:ascii="Book Antiqua" w:hAnsi="Book Antiqua" w:cs="Arial"/>
        </w:rPr>
        <w:tab/>
      </w:r>
      <w:r w:rsidR="002947A8">
        <w:rPr>
          <w:rFonts w:ascii="Book Antiqua" w:hAnsi="Book Antiqua" w:cs="Arial"/>
        </w:rPr>
        <w:t xml:space="preserve">The </w:t>
      </w:r>
      <w:r w:rsidR="00254C79">
        <w:rPr>
          <w:rFonts w:ascii="Book Antiqua" w:hAnsi="Book Antiqua" w:cs="Arial"/>
        </w:rPr>
        <w:t xml:space="preserve">judge’s decision </w:t>
      </w:r>
      <w:r w:rsidR="002947A8">
        <w:rPr>
          <w:rFonts w:ascii="Book Antiqua" w:hAnsi="Book Antiqua" w:cs="Arial"/>
        </w:rPr>
        <w:t>rehearses the issues w</w:t>
      </w:r>
      <w:r w:rsidR="00254C79">
        <w:rPr>
          <w:rFonts w:ascii="Book Antiqua" w:hAnsi="Book Antiqua" w:cs="Arial"/>
        </w:rPr>
        <w:t>hich were to be determined. I</w:t>
      </w:r>
      <w:r w:rsidR="002947A8">
        <w:rPr>
          <w:rFonts w:ascii="Book Antiqua" w:hAnsi="Book Antiqua" w:cs="Arial"/>
        </w:rPr>
        <w:t>t is ma</w:t>
      </w:r>
      <w:r w:rsidR="00254C79">
        <w:rPr>
          <w:rFonts w:ascii="Book Antiqua" w:hAnsi="Book Antiqua" w:cs="Arial"/>
        </w:rPr>
        <w:t xml:space="preserve">de clear at the outset that they concern asylum and not </w:t>
      </w:r>
      <w:r w:rsidR="002947A8">
        <w:rPr>
          <w:rFonts w:ascii="Book Antiqua" w:hAnsi="Book Antiqua" w:cs="Arial"/>
        </w:rPr>
        <w:t xml:space="preserve">the </w:t>
      </w:r>
      <w:proofErr w:type="gramStart"/>
      <w:r w:rsidR="002947A8">
        <w:rPr>
          <w:rFonts w:ascii="Book Antiqua" w:hAnsi="Book Antiqua" w:cs="Arial"/>
        </w:rPr>
        <w:t>ten year</w:t>
      </w:r>
      <w:proofErr w:type="gramEnd"/>
      <w:r w:rsidR="002947A8">
        <w:rPr>
          <w:rFonts w:ascii="Book Antiqua" w:hAnsi="Book Antiqua" w:cs="Arial"/>
        </w:rPr>
        <w:t xml:space="preserve"> </w:t>
      </w:r>
      <w:r w:rsidR="00254C79">
        <w:rPr>
          <w:rFonts w:ascii="Book Antiqua" w:hAnsi="Book Antiqua" w:cs="Arial"/>
        </w:rPr>
        <w:t>residency</w:t>
      </w:r>
      <w:r w:rsidR="006C384F">
        <w:rPr>
          <w:rFonts w:ascii="Book Antiqua" w:hAnsi="Book Antiqua" w:cs="Arial"/>
        </w:rPr>
        <w:t xml:space="preserve"> claim</w:t>
      </w:r>
      <w:r w:rsidR="00254C79">
        <w:rPr>
          <w:rFonts w:ascii="Book Antiqua" w:hAnsi="Book Antiqua" w:cs="Arial"/>
        </w:rPr>
        <w:t xml:space="preserve">. This </w:t>
      </w:r>
      <w:r w:rsidR="002947A8">
        <w:rPr>
          <w:rFonts w:ascii="Book Antiqua" w:hAnsi="Book Antiqua" w:cs="Arial"/>
        </w:rPr>
        <w:t>was expressly not entertained</w:t>
      </w:r>
      <w:r w:rsidR="006C384F">
        <w:rPr>
          <w:rFonts w:ascii="Book Antiqua" w:hAnsi="Book Antiqua" w:cs="Arial"/>
        </w:rPr>
        <w:t xml:space="preserve">. Although this </w:t>
      </w:r>
      <w:r w:rsidR="00254C79">
        <w:rPr>
          <w:rFonts w:ascii="Book Antiqua" w:hAnsi="Book Antiqua" w:cs="Arial"/>
        </w:rPr>
        <w:t xml:space="preserve">features </w:t>
      </w:r>
      <w:r w:rsidR="0084111B">
        <w:rPr>
          <w:rFonts w:ascii="Book Antiqua" w:hAnsi="Book Antiqua" w:cs="Arial"/>
        </w:rPr>
        <w:t xml:space="preserve">in the grounds of appeal, it was made plain in the grant of permission that </w:t>
      </w:r>
      <w:r w:rsidR="002947A8">
        <w:rPr>
          <w:rFonts w:ascii="Book Antiqua" w:hAnsi="Book Antiqua" w:cs="Arial"/>
        </w:rPr>
        <w:t xml:space="preserve">there was nothing wrong </w:t>
      </w:r>
      <w:r w:rsidR="0084111B">
        <w:rPr>
          <w:rFonts w:ascii="Book Antiqua" w:hAnsi="Book Antiqua" w:cs="Arial"/>
        </w:rPr>
        <w:t xml:space="preserve">in the judge </w:t>
      </w:r>
      <w:r w:rsidR="002947A8">
        <w:rPr>
          <w:rFonts w:ascii="Book Antiqua" w:hAnsi="Book Antiqua" w:cs="Arial"/>
        </w:rPr>
        <w:t>limiting the appeal to th</w:t>
      </w:r>
      <w:r w:rsidR="0084111B">
        <w:rPr>
          <w:rFonts w:ascii="Book Antiqua" w:hAnsi="Book Antiqua" w:cs="Arial"/>
        </w:rPr>
        <w:t>os</w:t>
      </w:r>
      <w:r w:rsidR="002947A8">
        <w:rPr>
          <w:rFonts w:ascii="Book Antiqua" w:hAnsi="Book Antiqua" w:cs="Arial"/>
        </w:rPr>
        <w:t xml:space="preserve">e matters which were </w:t>
      </w:r>
      <w:r w:rsidR="0084111B">
        <w:rPr>
          <w:rFonts w:ascii="Book Antiqua" w:hAnsi="Book Antiqua" w:cs="Arial"/>
        </w:rPr>
        <w:t>properly in dispute.</w:t>
      </w:r>
    </w:p>
    <w:p w14:paraId="1C559A42" w14:textId="77777777" w:rsidR="0084111B" w:rsidRDefault="0084111B" w:rsidP="00847259">
      <w:pPr>
        <w:ind w:left="567" w:hanging="567"/>
        <w:jc w:val="both"/>
        <w:rPr>
          <w:rFonts w:ascii="Book Antiqua" w:hAnsi="Book Antiqua" w:cs="Arial"/>
        </w:rPr>
      </w:pPr>
    </w:p>
    <w:p w14:paraId="29290C66" w14:textId="4E268B01" w:rsidR="0093659B" w:rsidRDefault="0084111B" w:rsidP="00847259">
      <w:pPr>
        <w:ind w:left="567" w:hanging="567"/>
        <w:jc w:val="both"/>
        <w:rPr>
          <w:rFonts w:ascii="Book Antiqua" w:hAnsi="Book Antiqua" w:cs="Arial"/>
        </w:rPr>
      </w:pPr>
      <w:r>
        <w:rPr>
          <w:rFonts w:ascii="Book Antiqua" w:hAnsi="Book Antiqua" w:cs="Arial"/>
        </w:rPr>
        <w:t>4.</w:t>
      </w:r>
      <w:r>
        <w:rPr>
          <w:rFonts w:ascii="Book Antiqua" w:hAnsi="Book Antiqua" w:cs="Arial"/>
        </w:rPr>
        <w:tab/>
      </w:r>
      <w:r w:rsidR="002947A8">
        <w:rPr>
          <w:rFonts w:ascii="Book Antiqua" w:hAnsi="Book Antiqua" w:cs="Arial"/>
        </w:rPr>
        <w:t>The jud</w:t>
      </w:r>
      <w:r>
        <w:rPr>
          <w:rFonts w:ascii="Book Antiqua" w:hAnsi="Book Antiqua" w:cs="Arial"/>
        </w:rPr>
        <w:t>ge made clear findings and</w:t>
      </w:r>
      <w:r w:rsidR="002947A8">
        <w:rPr>
          <w:rFonts w:ascii="Book Antiqua" w:hAnsi="Book Antiqua" w:cs="Arial"/>
        </w:rPr>
        <w:t xml:space="preserve"> dismissed </w:t>
      </w:r>
      <w:r>
        <w:rPr>
          <w:rFonts w:ascii="Book Antiqua" w:hAnsi="Book Antiqua" w:cs="Arial"/>
        </w:rPr>
        <w:t xml:space="preserve">the appeal on asylum and </w:t>
      </w:r>
      <w:r w:rsidR="002947A8">
        <w:rPr>
          <w:rFonts w:ascii="Book Antiqua" w:hAnsi="Book Antiqua" w:cs="Arial"/>
        </w:rPr>
        <w:t>humanitarian pr</w:t>
      </w:r>
      <w:r>
        <w:rPr>
          <w:rFonts w:ascii="Book Antiqua" w:hAnsi="Book Antiqua" w:cs="Arial"/>
        </w:rPr>
        <w:t>otection grounds and under the human r</w:t>
      </w:r>
      <w:r w:rsidR="002947A8">
        <w:rPr>
          <w:rFonts w:ascii="Book Antiqua" w:hAnsi="Book Antiqua" w:cs="Arial"/>
        </w:rPr>
        <w:t xml:space="preserve">ights </w:t>
      </w:r>
      <w:r>
        <w:rPr>
          <w:rFonts w:ascii="Book Antiqua" w:hAnsi="Book Antiqua" w:cs="Arial"/>
        </w:rPr>
        <w:t>considerations.</w:t>
      </w:r>
      <w:r w:rsidR="002947A8">
        <w:rPr>
          <w:rFonts w:ascii="Book Antiqua" w:hAnsi="Book Antiqua" w:cs="Arial"/>
        </w:rPr>
        <w:t xml:space="preserve">  </w:t>
      </w:r>
    </w:p>
    <w:p w14:paraId="05C86F35" w14:textId="77777777" w:rsidR="0093659B" w:rsidRDefault="0093659B" w:rsidP="00847259">
      <w:pPr>
        <w:ind w:left="567" w:hanging="567"/>
        <w:jc w:val="both"/>
        <w:rPr>
          <w:rFonts w:ascii="Book Antiqua" w:hAnsi="Book Antiqua" w:cs="Arial"/>
        </w:rPr>
      </w:pPr>
    </w:p>
    <w:p w14:paraId="6B7DB253" w14:textId="7756F0C2" w:rsidR="0093659B" w:rsidRDefault="00DB55A1" w:rsidP="00847259">
      <w:pPr>
        <w:ind w:left="567" w:hanging="567"/>
        <w:jc w:val="both"/>
        <w:rPr>
          <w:rFonts w:ascii="Book Antiqua" w:hAnsi="Book Antiqua" w:cs="Arial"/>
        </w:rPr>
      </w:pPr>
      <w:r>
        <w:rPr>
          <w:rFonts w:ascii="Book Antiqua" w:hAnsi="Book Antiqua" w:cs="Arial"/>
        </w:rPr>
        <w:t>5</w:t>
      </w:r>
      <w:r w:rsidR="0093659B">
        <w:rPr>
          <w:rFonts w:ascii="Book Antiqua" w:hAnsi="Book Antiqua" w:cs="Arial"/>
        </w:rPr>
        <w:t>.</w:t>
      </w:r>
      <w:r w:rsidR="0093659B">
        <w:rPr>
          <w:rFonts w:ascii="Book Antiqua" w:hAnsi="Book Antiqua" w:cs="Arial"/>
        </w:rPr>
        <w:tab/>
      </w:r>
      <w:r>
        <w:rPr>
          <w:rFonts w:ascii="Book Antiqua" w:hAnsi="Book Antiqua" w:cs="Arial"/>
        </w:rPr>
        <w:t xml:space="preserve">The grounds are </w:t>
      </w:r>
      <w:r w:rsidR="002947A8">
        <w:rPr>
          <w:rFonts w:ascii="Book Antiqua" w:hAnsi="Book Antiqua" w:cs="Arial"/>
        </w:rPr>
        <w:t>lengthy and a little discursive</w:t>
      </w:r>
      <w:r>
        <w:rPr>
          <w:rFonts w:ascii="Book Antiqua" w:hAnsi="Book Antiqua" w:cs="Arial"/>
        </w:rPr>
        <w:t>. M</w:t>
      </w:r>
      <w:r w:rsidR="001F2059">
        <w:rPr>
          <w:rFonts w:ascii="Book Antiqua" w:hAnsi="Book Antiqua" w:cs="Arial"/>
        </w:rPr>
        <w:t xml:space="preserve">uch of the narrative is devoted to the </w:t>
      </w:r>
      <w:proofErr w:type="gramStart"/>
      <w:r w:rsidR="001F2059">
        <w:rPr>
          <w:rFonts w:ascii="Book Antiqua" w:hAnsi="Book Antiqua" w:cs="Arial"/>
        </w:rPr>
        <w:t>ten year</w:t>
      </w:r>
      <w:proofErr w:type="gramEnd"/>
      <w:r w:rsidR="001F2059">
        <w:rPr>
          <w:rFonts w:ascii="Book Antiqua" w:hAnsi="Book Antiqua" w:cs="Arial"/>
        </w:rPr>
        <w:t xml:space="preserve"> residence provisions but in substance the appeal comes down t</w:t>
      </w:r>
      <w:r>
        <w:rPr>
          <w:rFonts w:ascii="Book Antiqua" w:hAnsi="Book Antiqua" w:cs="Arial"/>
        </w:rPr>
        <w:t xml:space="preserve">o three separate points as set out </w:t>
      </w:r>
      <w:r w:rsidR="001F2059">
        <w:rPr>
          <w:rFonts w:ascii="Book Antiqua" w:hAnsi="Book Antiqua" w:cs="Arial"/>
        </w:rPr>
        <w:t>by First-tier Tribunal Judge Grant</w:t>
      </w:r>
      <w:r w:rsidR="006B76D2">
        <w:rPr>
          <w:rFonts w:ascii="Book Antiqua" w:hAnsi="Book Antiqua" w:cs="Arial"/>
        </w:rPr>
        <w:t>-Hut</w:t>
      </w:r>
      <w:r>
        <w:rPr>
          <w:rFonts w:ascii="Book Antiqua" w:hAnsi="Book Antiqua" w:cs="Arial"/>
        </w:rPr>
        <w:t xml:space="preserve">chison in granting permission. </w:t>
      </w:r>
    </w:p>
    <w:p w14:paraId="4048D49F" w14:textId="77777777" w:rsidR="0093659B" w:rsidRDefault="0093659B" w:rsidP="00847259">
      <w:pPr>
        <w:ind w:left="567" w:hanging="567"/>
        <w:jc w:val="both"/>
        <w:rPr>
          <w:rFonts w:ascii="Book Antiqua" w:hAnsi="Book Antiqua" w:cs="Arial"/>
        </w:rPr>
      </w:pPr>
    </w:p>
    <w:p w14:paraId="0E6A0F36" w14:textId="455719B0" w:rsidR="0093659B" w:rsidRDefault="00DB55A1" w:rsidP="00847259">
      <w:pPr>
        <w:ind w:left="567" w:hanging="567"/>
        <w:jc w:val="both"/>
        <w:rPr>
          <w:rFonts w:ascii="Book Antiqua" w:hAnsi="Book Antiqua" w:cs="Arial"/>
        </w:rPr>
      </w:pPr>
      <w:r>
        <w:rPr>
          <w:rFonts w:ascii="Book Antiqua" w:hAnsi="Book Antiqua" w:cs="Arial"/>
        </w:rPr>
        <w:t>6</w:t>
      </w:r>
      <w:r w:rsidR="0093659B">
        <w:rPr>
          <w:rFonts w:ascii="Book Antiqua" w:hAnsi="Book Antiqua" w:cs="Arial"/>
        </w:rPr>
        <w:t>.</w:t>
      </w:r>
      <w:r w:rsidR="0093659B">
        <w:rPr>
          <w:rFonts w:ascii="Book Antiqua" w:hAnsi="Book Antiqua" w:cs="Arial"/>
        </w:rPr>
        <w:tab/>
      </w:r>
      <w:r w:rsidR="006C384F">
        <w:rPr>
          <w:rFonts w:ascii="Book Antiqua" w:hAnsi="Book Antiqua" w:cs="Arial"/>
        </w:rPr>
        <w:t xml:space="preserve">The first </w:t>
      </w:r>
      <w:r w:rsidR="0092594E">
        <w:rPr>
          <w:rFonts w:ascii="Book Antiqua" w:hAnsi="Book Antiqua" w:cs="Arial"/>
        </w:rPr>
        <w:t>concerned whether a comment on alleged deception in an English language test may have infected the judge’s overall credibility findings</w:t>
      </w:r>
      <w:r w:rsidR="006B76D2">
        <w:rPr>
          <w:rFonts w:ascii="Book Antiqua" w:hAnsi="Book Antiqua" w:cs="Arial"/>
        </w:rPr>
        <w:t xml:space="preserve">. </w:t>
      </w:r>
      <w:r w:rsidR="0092594E">
        <w:rPr>
          <w:rFonts w:ascii="Book Antiqua" w:hAnsi="Book Antiqua" w:cs="Arial"/>
        </w:rPr>
        <w:t>The s</w:t>
      </w:r>
      <w:r w:rsidR="006C384F">
        <w:rPr>
          <w:rFonts w:ascii="Book Antiqua" w:hAnsi="Book Antiqua" w:cs="Arial"/>
        </w:rPr>
        <w:t>econd</w:t>
      </w:r>
      <w:r w:rsidR="0092594E">
        <w:rPr>
          <w:rFonts w:ascii="Book Antiqua" w:hAnsi="Book Antiqua" w:cs="Arial"/>
        </w:rPr>
        <w:t xml:space="preserve"> </w:t>
      </w:r>
      <w:r w:rsidR="006C384F">
        <w:rPr>
          <w:rFonts w:ascii="Book Antiqua" w:hAnsi="Book Antiqua" w:cs="Arial"/>
        </w:rPr>
        <w:t>(</w:t>
      </w:r>
      <w:r w:rsidR="006B76D2">
        <w:rPr>
          <w:rFonts w:ascii="Book Antiqua" w:hAnsi="Book Antiqua" w:cs="Arial"/>
        </w:rPr>
        <w:t>pursued with less vigour by</w:t>
      </w:r>
      <w:r w:rsidR="003348A5">
        <w:rPr>
          <w:rFonts w:ascii="Book Antiqua" w:hAnsi="Book Antiqua" w:cs="Arial"/>
        </w:rPr>
        <w:t xml:space="preserve"> Ms Hulse in h</w:t>
      </w:r>
      <w:r w:rsidR="000B245A">
        <w:rPr>
          <w:rFonts w:ascii="Book Antiqua" w:hAnsi="Book Antiqua" w:cs="Arial"/>
        </w:rPr>
        <w:t>er oral submissions</w:t>
      </w:r>
      <w:r w:rsidR="006C384F">
        <w:rPr>
          <w:rFonts w:ascii="Book Antiqua" w:hAnsi="Book Antiqua" w:cs="Arial"/>
        </w:rPr>
        <w:t>)</w:t>
      </w:r>
      <w:r w:rsidR="003348A5">
        <w:rPr>
          <w:rFonts w:ascii="Book Antiqua" w:hAnsi="Book Antiqua" w:cs="Arial"/>
        </w:rPr>
        <w:t>, was the possibi</w:t>
      </w:r>
      <w:r w:rsidR="00D22EE3">
        <w:rPr>
          <w:rFonts w:ascii="Book Antiqua" w:hAnsi="Book Antiqua" w:cs="Arial"/>
        </w:rPr>
        <w:t>lity th</w:t>
      </w:r>
      <w:r w:rsidR="000B245A">
        <w:rPr>
          <w:rFonts w:ascii="Book Antiqua" w:hAnsi="Book Antiqua" w:cs="Arial"/>
        </w:rPr>
        <w:t xml:space="preserve">e </w:t>
      </w:r>
      <w:r w:rsidR="003348A5">
        <w:rPr>
          <w:rFonts w:ascii="Book Antiqua" w:hAnsi="Book Antiqua" w:cs="Arial"/>
        </w:rPr>
        <w:t xml:space="preserve">credibility findings </w:t>
      </w:r>
      <w:r w:rsidR="000B245A">
        <w:rPr>
          <w:rFonts w:ascii="Book Antiqua" w:hAnsi="Book Antiqua" w:cs="Arial"/>
        </w:rPr>
        <w:t xml:space="preserve">may also (or alternatively) have been infected </w:t>
      </w:r>
      <w:r w:rsidR="00D22EE3">
        <w:rPr>
          <w:rFonts w:ascii="Book Antiqua" w:hAnsi="Book Antiqua" w:cs="Arial"/>
        </w:rPr>
        <w:t xml:space="preserve">by </w:t>
      </w:r>
      <w:r w:rsidR="003348A5">
        <w:rPr>
          <w:rFonts w:ascii="Book Antiqua" w:hAnsi="Book Antiqua" w:cs="Arial"/>
        </w:rPr>
        <w:t>what the judge perceived to be an inconsistency be</w:t>
      </w:r>
      <w:r w:rsidR="000B245A">
        <w:rPr>
          <w:rFonts w:ascii="Book Antiqua" w:hAnsi="Book Antiqua" w:cs="Arial"/>
        </w:rPr>
        <w:t xml:space="preserve">tween the </w:t>
      </w:r>
      <w:r w:rsidR="003348A5">
        <w:rPr>
          <w:rFonts w:ascii="Book Antiqua" w:hAnsi="Book Antiqua" w:cs="Arial"/>
        </w:rPr>
        <w:t>second appellant</w:t>
      </w:r>
      <w:r w:rsidR="000B245A">
        <w:rPr>
          <w:rFonts w:ascii="Book Antiqua" w:hAnsi="Book Antiqua" w:cs="Arial"/>
        </w:rPr>
        <w:t>’s evidence</w:t>
      </w:r>
      <w:r w:rsidR="003348A5">
        <w:rPr>
          <w:rFonts w:ascii="Book Antiqua" w:hAnsi="Book Antiqua" w:cs="Arial"/>
        </w:rPr>
        <w:t xml:space="preserve"> in</w:t>
      </w:r>
      <w:r w:rsidR="000B245A">
        <w:rPr>
          <w:rFonts w:ascii="Book Antiqua" w:hAnsi="Book Antiqua" w:cs="Arial"/>
        </w:rPr>
        <w:t xml:space="preserve"> interview and that given in</w:t>
      </w:r>
      <w:r w:rsidR="003348A5">
        <w:rPr>
          <w:rFonts w:ascii="Book Antiqua" w:hAnsi="Book Antiqua" w:cs="Arial"/>
        </w:rPr>
        <w:t xml:space="preserve"> the First-tier Tribunal.  The third </w:t>
      </w:r>
      <w:r w:rsidR="000B245A">
        <w:rPr>
          <w:rFonts w:ascii="Book Antiqua" w:hAnsi="Book Antiqua" w:cs="Arial"/>
        </w:rPr>
        <w:t xml:space="preserve">related to </w:t>
      </w:r>
      <w:r w:rsidR="003348A5">
        <w:rPr>
          <w:rFonts w:ascii="Book Antiqua" w:hAnsi="Book Antiqua" w:cs="Arial"/>
        </w:rPr>
        <w:t>the judge’s findings that the first appellant's knowledge of the Hindu faith was</w:t>
      </w:r>
      <w:r w:rsidR="000B245A">
        <w:rPr>
          <w:rFonts w:ascii="Book Antiqua" w:hAnsi="Book Antiqua" w:cs="Arial"/>
        </w:rPr>
        <w:t xml:space="preserve"> “patchy to say the least”. I</w:t>
      </w:r>
      <w:r w:rsidR="003348A5">
        <w:rPr>
          <w:rFonts w:ascii="Book Antiqua" w:hAnsi="Book Antiqua" w:cs="Arial"/>
        </w:rPr>
        <w:t>t is suggested that the manner in</w:t>
      </w:r>
      <w:r w:rsidR="000B245A">
        <w:rPr>
          <w:rFonts w:ascii="Book Antiqua" w:hAnsi="Book Antiqua" w:cs="Arial"/>
        </w:rPr>
        <w:t xml:space="preserve"> which the j</w:t>
      </w:r>
      <w:r w:rsidR="003348A5">
        <w:rPr>
          <w:rFonts w:ascii="Book Antiqua" w:hAnsi="Book Antiqua" w:cs="Arial"/>
        </w:rPr>
        <w:t>udge approached this matter was insufficiently grounded in reality as to the natur</w:t>
      </w:r>
      <w:r w:rsidR="00A5339B">
        <w:rPr>
          <w:rFonts w:ascii="Book Antiqua" w:hAnsi="Book Antiqua" w:cs="Arial"/>
        </w:rPr>
        <w:t>e of the Hindu practice and belief, the manner</w:t>
      </w:r>
      <w:r w:rsidR="003348A5">
        <w:rPr>
          <w:rFonts w:ascii="Book Antiqua" w:hAnsi="Book Antiqua" w:cs="Arial"/>
        </w:rPr>
        <w:t xml:space="preserve"> of conversion </w:t>
      </w:r>
      <w:r w:rsidR="00A5339B">
        <w:rPr>
          <w:rFonts w:ascii="Book Antiqua" w:hAnsi="Book Antiqua" w:cs="Arial"/>
        </w:rPr>
        <w:t xml:space="preserve">into the Hindu tradition, and status of </w:t>
      </w:r>
      <w:r w:rsidR="003348A5">
        <w:rPr>
          <w:rFonts w:ascii="Book Antiqua" w:hAnsi="Book Antiqua" w:cs="Arial"/>
        </w:rPr>
        <w:t xml:space="preserve">interfaith marriages in Malaysia.  </w:t>
      </w:r>
    </w:p>
    <w:p w14:paraId="1E480A39" w14:textId="77777777" w:rsidR="0093659B" w:rsidRDefault="0093659B" w:rsidP="00847259">
      <w:pPr>
        <w:ind w:left="567" w:hanging="567"/>
        <w:jc w:val="both"/>
        <w:rPr>
          <w:rFonts w:ascii="Book Antiqua" w:hAnsi="Book Antiqua" w:cs="Arial"/>
        </w:rPr>
      </w:pPr>
    </w:p>
    <w:p w14:paraId="05D81B24" w14:textId="66B2C3DC" w:rsidR="0093659B" w:rsidRDefault="00A5339B" w:rsidP="00847259">
      <w:pPr>
        <w:ind w:left="567" w:hanging="567"/>
        <w:jc w:val="both"/>
        <w:rPr>
          <w:rFonts w:ascii="Book Antiqua" w:hAnsi="Book Antiqua" w:cs="Arial"/>
        </w:rPr>
      </w:pPr>
      <w:r>
        <w:rPr>
          <w:rFonts w:ascii="Book Antiqua" w:hAnsi="Book Antiqua" w:cs="Arial"/>
        </w:rPr>
        <w:t>7</w:t>
      </w:r>
      <w:r w:rsidR="0093659B">
        <w:rPr>
          <w:rFonts w:ascii="Book Antiqua" w:hAnsi="Book Antiqua" w:cs="Arial"/>
        </w:rPr>
        <w:t>.</w:t>
      </w:r>
      <w:r w:rsidR="0093659B">
        <w:rPr>
          <w:rFonts w:ascii="Book Antiqua" w:hAnsi="Book Antiqua" w:cs="Arial"/>
        </w:rPr>
        <w:tab/>
      </w:r>
      <w:r w:rsidR="003348A5">
        <w:rPr>
          <w:rFonts w:ascii="Book Antiqua" w:hAnsi="Book Antiqua" w:cs="Arial"/>
        </w:rPr>
        <w:t>Ms Hulse sought to develop</w:t>
      </w:r>
      <w:r>
        <w:rPr>
          <w:rFonts w:ascii="Book Antiqua" w:hAnsi="Book Antiqua" w:cs="Arial"/>
        </w:rPr>
        <w:t xml:space="preserve"> the grounds of appeal by </w:t>
      </w:r>
      <w:r w:rsidR="003348A5">
        <w:rPr>
          <w:rFonts w:ascii="Book Antiqua" w:hAnsi="Book Antiqua" w:cs="Arial"/>
        </w:rPr>
        <w:t>reference t</w:t>
      </w:r>
      <w:r>
        <w:rPr>
          <w:rFonts w:ascii="Book Antiqua" w:hAnsi="Book Antiqua" w:cs="Arial"/>
        </w:rPr>
        <w:t xml:space="preserve">o the first appellant’s </w:t>
      </w:r>
      <w:r w:rsidR="003348A5">
        <w:rPr>
          <w:rFonts w:ascii="Book Antiqua" w:hAnsi="Book Antiqua" w:cs="Arial"/>
        </w:rPr>
        <w:t xml:space="preserve">interview record sheet </w:t>
      </w:r>
      <w:r>
        <w:rPr>
          <w:rFonts w:ascii="Book Antiqua" w:hAnsi="Book Antiqua" w:cs="Arial"/>
        </w:rPr>
        <w:t>which was apparently not disclosed</w:t>
      </w:r>
      <w:r w:rsidR="00C14CFB">
        <w:rPr>
          <w:rFonts w:ascii="Book Antiqua" w:hAnsi="Book Antiqua" w:cs="Arial"/>
        </w:rPr>
        <w:t xml:space="preserve"> until the </w:t>
      </w:r>
      <w:r w:rsidR="00D22EE3">
        <w:rPr>
          <w:rFonts w:ascii="Book Antiqua" w:hAnsi="Book Antiqua" w:cs="Arial"/>
        </w:rPr>
        <w:t>day of the hearing</w:t>
      </w:r>
      <w:r w:rsidR="00C14CFB">
        <w:rPr>
          <w:rFonts w:ascii="Book Antiqua" w:hAnsi="Book Antiqua" w:cs="Arial"/>
        </w:rPr>
        <w:t xml:space="preserve">.  She points to </w:t>
      </w:r>
      <w:r w:rsidR="003348A5">
        <w:rPr>
          <w:rFonts w:ascii="Book Antiqua" w:hAnsi="Book Antiqua" w:cs="Arial"/>
        </w:rPr>
        <w:t xml:space="preserve">the conclusion </w:t>
      </w:r>
      <w:r w:rsidR="00C14CFB">
        <w:rPr>
          <w:rFonts w:ascii="Book Antiqua" w:hAnsi="Book Antiqua" w:cs="Arial"/>
        </w:rPr>
        <w:t>which indicates the appellant</w:t>
      </w:r>
      <w:r w:rsidR="00D22EE3">
        <w:rPr>
          <w:rFonts w:ascii="Book Antiqua" w:hAnsi="Book Antiqua" w:cs="Arial"/>
        </w:rPr>
        <w:t xml:space="preserve"> to be “not credible” for the</w:t>
      </w:r>
      <w:r w:rsidR="00C14CFB">
        <w:rPr>
          <w:rFonts w:ascii="Book Antiqua" w:hAnsi="Book Antiqua" w:cs="Arial"/>
        </w:rPr>
        <w:t xml:space="preserve"> following stated reasons</w:t>
      </w:r>
      <w:r w:rsidR="003348A5">
        <w:rPr>
          <w:rFonts w:ascii="Book Antiqua" w:hAnsi="Book Antiqua" w:cs="Arial"/>
        </w:rPr>
        <w:t xml:space="preserve">: </w:t>
      </w:r>
    </w:p>
    <w:p w14:paraId="5930801F" w14:textId="77777777" w:rsidR="0093659B" w:rsidRPr="006E011B" w:rsidRDefault="003348A5" w:rsidP="006E011B">
      <w:pPr>
        <w:spacing w:before="120" w:after="120"/>
        <w:ind w:left="1134"/>
        <w:jc w:val="both"/>
        <w:rPr>
          <w:rFonts w:ascii="Book Antiqua" w:hAnsi="Book Antiqua" w:cs="Arial"/>
          <w:sz w:val="22"/>
          <w:szCs w:val="22"/>
        </w:rPr>
      </w:pPr>
      <w:r w:rsidRPr="006E011B">
        <w:rPr>
          <w:rFonts w:ascii="Book Antiqua" w:hAnsi="Book Antiqua" w:cs="Arial"/>
          <w:sz w:val="22"/>
          <w:szCs w:val="22"/>
        </w:rPr>
        <w:t xml:space="preserve">“The applicant stated that her husband was forced to marry her and to convert to Islam which may be a reason for concern on this application.  The applicant did speak very good English and seemed to have completed the English test in 2013.  All other parts of her interview credible”.  </w:t>
      </w:r>
    </w:p>
    <w:p w14:paraId="3614D317" w14:textId="0936E0B2" w:rsidR="0093659B" w:rsidRDefault="00D22EE3" w:rsidP="00D22EE3">
      <w:pPr>
        <w:ind w:left="567" w:hanging="567"/>
        <w:jc w:val="both"/>
        <w:rPr>
          <w:rFonts w:ascii="Book Antiqua" w:hAnsi="Book Antiqua" w:cs="Arial"/>
        </w:rPr>
      </w:pPr>
      <w:r>
        <w:rPr>
          <w:rFonts w:ascii="Book Antiqua" w:hAnsi="Book Antiqua" w:cs="Arial"/>
        </w:rPr>
        <w:t>8.</w:t>
      </w:r>
      <w:r>
        <w:rPr>
          <w:rFonts w:ascii="Book Antiqua" w:hAnsi="Book Antiqua" w:cs="Arial"/>
        </w:rPr>
        <w:tab/>
      </w:r>
      <w:r w:rsidR="00C14CFB">
        <w:rPr>
          <w:rFonts w:ascii="Book Antiqua" w:hAnsi="Book Antiqua" w:cs="Arial"/>
        </w:rPr>
        <w:t>I do not consider a detailed forensic investigation into ma</w:t>
      </w:r>
      <w:r w:rsidR="003348A5">
        <w:rPr>
          <w:rFonts w:ascii="Book Antiqua" w:hAnsi="Book Antiqua" w:cs="Arial"/>
        </w:rPr>
        <w:t xml:space="preserve">tters concerning the English language test </w:t>
      </w:r>
      <w:r>
        <w:rPr>
          <w:rFonts w:ascii="Book Antiqua" w:hAnsi="Book Antiqua" w:cs="Arial"/>
        </w:rPr>
        <w:t>to be necessary since</w:t>
      </w:r>
      <w:r w:rsidR="00077976">
        <w:rPr>
          <w:rFonts w:ascii="Book Antiqua" w:hAnsi="Book Antiqua" w:cs="Arial"/>
        </w:rPr>
        <w:t>, a</w:t>
      </w:r>
      <w:r w:rsidR="003348A5">
        <w:rPr>
          <w:rFonts w:ascii="Book Antiqua" w:hAnsi="Book Antiqua" w:cs="Arial"/>
        </w:rPr>
        <w:t>t best</w:t>
      </w:r>
      <w:r w:rsidR="00077976">
        <w:rPr>
          <w:rFonts w:ascii="Book Antiqua" w:hAnsi="Book Antiqua" w:cs="Arial"/>
        </w:rPr>
        <w:t xml:space="preserve">, it was of no more than </w:t>
      </w:r>
      <w:r w:rsidR="003348A5">
        <w:rPr>
          <w:rFonts w:ascii="Book Antiqua" w:hAnsi="Book Antiqua" w:cs="Arial"/>
        </w:rPr>
        <w:t>peripher</w:t>
      </w:r>
      <w:r w:rsidR="00077976">
        <w:rPr>
          <w:rFonts w:ascii="Book Antiqua" w:hAnsi="Book Antiqua" w:cs="Arial"/>
        </w:rPr>
        <w:t xml:space="preserve">al to decision and </w:t>
      </w:r>
      <w:r>
        <w:rPr>
          <w:rFonts w:ascii="Book Antiqua" w:hAnsi="Book Antiqua" w:cs="Arial"/>
        </w:rPr>
        <w:t xml:space="preserve">was clearly </w:t>
      </w:r>
      <w:r w:rsidR="00077976">
        <w:rPr>
          <w:rFonts w:ascii="Book Antiqua" w:hAnsi="Book Antiqua" w:cs="Arial"/>
        </w:rPr>
        <w:t>not a key component of the judge’s reasoning.</w:t>
      </w:r>
      <w:r w:rsidR="003348A5">
        <w:rPr>
          <w:rFonts w:ascii="Book Antiqua" w:hAnsi="Book Antiqua" w:cs="Arial"/>
        </w:rPr>
        <w:t xml:space="preserve">  </w:t>
      </w:r>
    </w:p>
    <w:p w14:paraId="70CD98B8" w14:textId="77777777" w:rsidR="0093659B" w:rsidRDefault="0093659B" w:rsidP="0093659B">
      <w:pPr>
        <w:ind w:left="1134" w:hanging="567"/>
        <w:jc w:val="both"/>
        <w:rPr>
          <w:rFonts w:ascii="Book Antiqua" w:hAnsi="Book Antiqua" w:cs="Arial"/>
        </w:rPr>
      </w:pPr>
    </w:p>
    <w:p w14:paraId="128B9B1D" w14:textId="6A5ADC31" w:rsidR="00F0197F" w:rsidRDefault="00D22EE3" w:rsidP="0093659B">
      <w:pPr>
        <w:ind w:left="567" w:hanging="567"/>
        <w:jc w:val="both"/>
        <w:rPr>
          <w:rFonts w:ascii="Book Antiqua" w:hAnsi="Book Antiqua" w:cs="Arial"/>
        </w:rPr>
      </w:pPr>
      <w:r>
        <w:rPr>
          <w:rFonts w:ascii="Book Antiqua" w:hAnsi="Book Antiqua" w:cs="Arial"/>
        </w:rPr>
        <w:t>9</w:t>
      </w:r>
      <w:r w:rsidR="0093659B">
        <w:rPr>
          <w:rFonts w:ascii="Book Antiqua" w:hAnsi="Book Antiqua" w:cs="Arial"/>
        </w:rPr>
        <w:t>.</w:t>
      </w:r>
      <w:r w:rsidR="0093659B">
        <w:rPr>
          <w:rFonts w:ascii="Book Antiqua" w:hAnsi="Book Antiqua" w:cs="Arial"/>
        </w:rPr>
        <w:tab/>
      </w:r>
      <w:r w:rsidR="00077976">
        <w:rPr>
          <w:rFonts w:ascii="Book Antiqua" w:hAnsi="Book Antiqua" w:cs="Arial"/>
        </w:rPr>
        <w:t>T</w:t>
      </w:r>
      <w:r w:rsidR="003348A5">
        <w:rPr>
          <w:rFonts w:ascii="Book Antiqua" w:hAnsi="Book Antiqua" w:cs="Arial"/>
        </w:rPr>
        <w:t>he determination</w:t>
      </w:r>
      <w:r w:rsidR="00077976">
        <w:rPr>
          <w:rFonts w:ascii="Book Antiqua" w:hAnsi="Book Antiqua" w:cs="Arial"/>
        </w:rPr>
        <w:t>, read</w:t>
      </w:r>
      <w:r w:rsidR="003348A5">
        <w:rPr>
          <w:rFonts w:ascii="Book Antiqua" w:hAnsi="Book Antiqua" w:cs="Arial"/>
        </w:rPr>
        <w:t xml:space="preserve"> holistically</w:t>
      </w:r>
      <w:r w:rsidR="00077976">
        <w:rPr>
          <w:rFonts w:ascii="Book Antiqua" w:hAnsi="Book Antiqua" w:cs="Arial"/>
        </w:rPr>
        <w:t>,</w:t>
      </w:r>
      <w:r w:rsidR="003348A5">
        <w:rPr>
          <w:rFonts w:ascii="Book Antiqua" w:hAnsi="Book Antiqua" w:cs="Arial"/>
        </w:rPr>
        <w:t xml:space="preserve"> is </w:t>
      </w:r>
      <w:r>
        <w:rPr>
          <w:rFonts w:ascii="Book Antiqua" w:hAnsi="Book Antiqua" w:cs="Arial"/>
        </w:rPr>
        <w:t xml:space="preserve">fair and balanced, </w:t>
      </w:r>
      <w:r w:rsidR="00077976">
        <w:rPr>
          <w:rFonts w:ascii="Book Antiqua" w:hAnsi="Book Antiqua" w:cs="Arial"/>
        </w:rPr>
        <w:t>properly taking</w:t>
      </w:r>
      <w:r w:rsidR="003348A5">
        <w:rPr>
          <w:rFonts w:ascii="Book Antiqua" w:hAnsi="Book Antiqua" w:cs="Arial"/>
        </w:rPr>
        <w:t xml:space="preserve"> all </w:t>
      </w:r>
      <w:r w:rsidR="00077976">
        <w:rPr>
          <w:rFonts w:ascii="Book Antiqua" w:hAnsi="Book Antiqua" w:cs="Arial"/>
        </w:rPr>
        <w:t xml:space="preserve">relevant </w:t>
      </w:r>
      <w:r w:rsidR="003348A5">
        <w:rPr>
          <w:rFonts w:ascii="Book Antiqua" w:hAnsi="Book Antiqua" w:cs="Arial"/>
        </w:rPr>
        <w:t xml:space="preserve">matters into account.  The findings start at </w:t>
      </w:r>
      <w:r w:rsidR="00B8572A">
        <w:rPr>
          <w:rFonts w:ascii="Book Antiqua" w:hAnsi="Book Antiqua" w:cs="Arial"/>
        </w:rPr>
        <w:t xml:space="preserve">paragraph </w:t>
      </w:r>
      <w:r w:rsidR="00077976">
        <w:rPr>
          <w:rFonts w:ascii="Book Antiqua" w:hAnsi="Book Antiqua" w:cs="Arial"/>
        </w:rPr>
        <w:t xml:space="preserve">9.1 and continue to </w:t>
      </w:r>
      <w:r w:rsidR="00B8572A">
        <w:rPr>
          <w:rFonts w:ascii="Book Antiqua" w:hAnsi="Book Antiqua" w:cs="Arial"/>
        </w:rPr>
        <w:t xml:space="preserve">paragraph </w:t>
      </w:r>
      <w:r w:rsidR="003348A5">
        <w:rPr>
          <w:rFonts w:ascii="Book Antiqua" w:hAnsi="Book Antiqua" w:cs="Arial"/>
        </w:rPr>
        <w:lastRenderedPageBreak/>
        <w:t xml:space="preserve">9.16.  </w:t>
      </w:r>
      <w:r w:rsidR="00B8572A">
        <w:rPr>
          <w:rFonts w:ascii="Book Antiqua" w:hAnsi="Book Antiqua" w:cs="Arial"/>
        </w:rPr>
        <w:t xml:space="preserve">The </w:t>
      </w:r>
      <w:r w:rsidR="003348A5">
        <w:rPr>
          <w:rFonts w:ascii="Book Antiqua" w:hAnsi="Book Antiqua" w:cs="Arial"/>
        </w:rPr>
        <w:t xml:space="preserve">salient </w:t>
      </w:r>
      <w:r w:rsidR="00B8572A">
        <w:rPr>
          <w:rFonts w:ascii="Book Antiqua" w:hAnsi="Book Antiqua" w:cs="Arial"/>
        </w:rPr>
        <w:t xml:space="preserve">paragraph </w:t>
      </w:r>
      <w:r w:rsidR="00077976">
        <w:rPr>
          <w:rFonts w:ascii="Book Antiqua" w:hAnsi="Book Antiqua" w:cs="Arial"/>
        </w:rPr>
        <w:t xml:space="preserve">in relation to this first ground </w:t>
      </w:r>
      <w:r w:rsidR="00B8572A">
        <w:rPr>
          <w:rFonts w:ascii="Book Antiqua" w:hAnsi="Book Antiqua" w:cs="Arial"/>
        </w:rPr>
        <w:t xml:space="preserve">is at 9.12 which reads as follows: </w:t>
      </w:r>
    </w:p>
    <w:p w14:paraId="3D041FEB" w14:textId="293318D1" w:rsidR="00BF23BB" w:rsidRDefault="0093659B" w:rsidP="006E011B">
      <w:pPr>
        <w:spacing w:before="120" w:after="120"/>
        <w:ind w:left="1985" w:hanging="851"/>
        <w:jc w:val="both"/>
        <w:rPr>
          <w:rFonts w:ascii="Book Antiqua" w:hAnsi="Book Antiqua" w:cs="Arial"/>
        </w:rPr>
      </w:pPr>
      <w:r>
        <w:rPr>
          <w:rFonts w:ascii="Book Antiqua" w:hAnsi="Book Antiqua" w:cs="Arial"/>
        </w:rPr>
        <w:t>“9.12</w:t>
      </w:r>
      <w:r>
        <w:rPr>
          <w:rFonts w:ascii="Book Antiqua" w:hAnsi="Book Antiqua" w:cs="Arial"/>
        </w:rPr>
        <w:tab/>
      </w:r>
      <w:r w:rsidR="00B8572A">
        <w:rPr>
          <w:rFonts w:ascii="Book Antiqua" w:hAnsi="Book Antiqua" w:cs="Arial"/>
        </w:rPr>
        <w:t>I also accept the credibility findings contained in the refusal letter of July 2016 and accept the well substantiated claims of the Home Office, that the first appellant used deception when taking her test in April 2013 and that the results were therefore cancelled.  This subsequently led to a failure to meet the suitability requirements for leave to remain on the basis of her long residency application”.</w:t>
      </w:r>
      <w:r w:rsidR="003348A5">
        <w:rPr>
          <w:rFonts w:ascii="Book Antiqua" w:hAnsi="Book Antiqua" w:cs="Arial"/>
        </w:rPr>
        <w:t xml:space="preserve"> </w:t>
      </w:r>
      <w:r w:rsidR="006B76D2">
        <w:rPr>
          <w:rFonts w:ascii="Book Antiqua" w:hAnsi="Book Antiqua" w:cs="Arial"/>
        </w:rPr>
        <w:t xml:space="preserve"> </w:t>
      </w:r>
    </w:p>
    <w:p w14:paraId="425C7D07" w14:textId="6EFC730E" w:rsidR="00DE3B4A" w:rsidRDefault="00742460" w:rsidP="00DE3B4A">
      <w:pPr>
        <w:ind w:left="567" w:hanging="567"/>
        <w:jc w:val="both"/>
        <w:rPr>
          <w:rFonts w:ascii="Book Antiqua" w:hAnsi="Book Antiqua" w:cs="Arial"/>
        </w:rPr>
      </w:pPr>
      <w:r>
        <w:rPr>
          <w:rFonts w:ascii="Book Antiqua" w:hAnsi="Book Antiqua" w:cs="Arial"/>
        </w:rPr>
        <w:t>10</w:t>
      </w:r>
      <w:r w:rsidR="00DE3B4A">
        <w:rPr>
          <w:rFonts w:ascii="Book Antiqua" w:hAnsi="Book Antiqua" w:cs="Arial"/>
        </w:rPr>
        <w:t>.</w:t>
      </w:r>
      <w:r w:rsidR="00DE3B4A">
        <w:rPr>
          <w:rFonts w:ascii="Book Antiqua" w:hAnsi="Book Antiqua" w:cs="Arial"/>
        </w:rPr>
        <w:tab/>
        <w:t xml:space="preserve">The situation of this paragraph towards the </w:t>
      </w:r>
      <w:r w:rsidR="00F0197F">
        <w:rPr>
          <w:rFonts w:ascii="Book Antiqua" w:hAnsi="Book Antiqua" w:cs="Arial"/>
        </w:rPr>
        <w:t>end of the judge’s findings</w:t>
      </w:r>
      <w:r w:rsidR="0093659B">
        <w:rPr>
          <w:rFonts w:ascii="Book Antiqua" w:hAnsi="Book Antiqua" w:cs="Arial"/>
        </w:rPr>
        <w:t>,</w:t>
      </w:r>
      <w:r w:rsidR="00F0197F">
        <w:rPr>
          <w:rFonts w:ascii="Book Antiqua" w:hAnsi="Book Antiqua" w:cs="Arial"/>
        </w:rPr>
        <w:t xml:space="preserve"> and the fact that it begins</w:t>
      </w:r>
      <w:r>
        <w:rPr>
          <w:rFonts w:ascii="Book Antiqua" w:hAnsi="Book Antiqua" w:cs="Arial"/>
        </w:rPr>
        <w:t>:</w:t>
      </w:r>
      <w:r w:rsidR="00F0197F">
        <w:rPr>
          <w:rFonts w:ascii="Book Antiqua" w:hAnsi="Book Antiqua" w:cs="Arial"/>
        </w:rPr>
        <w:t xml:space="preserve"> “I also accept …”</w:t>
      </w:r>
      <w:r w:rsidR="0093659B">
        <w:rPr>
          <w:rFonts w:ascii="Book Antiqua" w:hAnsi="Book Antiqua" w:cs="Arial"/>
        </w:rPr>
        <w:t>,</w:t>
      </w:r>
      <w:r w:rsidR="00DE3B4A">
        <w:rPr>
          <w:rFonts w:ascii="Book Antiqua" w:hAnsi="Book Antiqua" w:cs="Arial"/>
        </w:rPr>
        <w:t xml:space="preserve"> </w:t>
      </w:r>
      <w:r w:rsidR="00F0197F">
        <w:rPr>
          <w:rFonts w:ascii="Book Antiqua" w:hAnsi="Book Antiqua" w:cs="Arial"/>
        </w:rPr>
        <w:t xml:space="preserve">make it </w:t>
      </w:r>
      <w:r w:rsidR="00DE3B4A">
        <w:rPr>
          <w:rFonts w:ascii="Book Antiqua" w:hAnsi="Book Antiqua" w:cs="Arial"/>
        </w:rPr>
        <w:t xml:space="preserve">sufficiently </w:t>
      </w:r>
      <w:r w:rsidR="00F0197F">
        <w:rPr>
          <w:rFonts w:ascii="Book Antiqua" w:hAnsi="Book Antiqua" w:cs="Arial"/>
        </w:rPr>
        <w:t>clear that the judge’s credibilit</w:t>
      </w:r>
      <w:r w:rsidR="00DE3B4A">
        <w:rPr>
          <w:rFonts w:ascii="Book Antiqua" w:hAnsi="Book Antiqua" w:cs="Arial"/>
        </w:rPr>
        <w:t>y findings had already been conclusively determined</w:t>
      </w:r>
      <w:r w:rsidR="00F0197F">
        <w:rPr>
          <w:rFonts w:ascii="Book Antiqua" w:hAnsi="Book Antiqua" w:cs="Arial"/>
        </w:rPr>
        <w:t xml:space="preserve"> on the basis of othe</w:t>
      </w:r>
      <w:r>
        <w:rPr>
          <w:rFonts w:ascii="Book Antiqua" w:hAnsi="Book Antiqua" w:cs="Arial"/>
        </w:rPr>
        <w:t>r material. W</w:t>
      </w:r>
      <w:r w:rsidR="00F0197F">
        <w:rPr>
          <w:rFonts w:ascii="Book Antiqua" w:hAnsi="Book Antiqua" w:cs="Arial"/>
        </w:rPr>
        <w:t xml:space="preserve">hat is said at paragraph 9.12 is </w:t>
      </w:r>
      <w:r>
        <w:rPr>
          <w:rFonts w:ascii="Book Antiqua" w:hAnsi="Book Antiqua" w:cs="Arial"/>
        </w:rPr>
        <w:t xml:space="preserve">no more than </w:t>
      </w:r>
      <w:r w:rsidR="00F0197F">
        <w:rPr>
          <w:rFonts w:ascii="Book Antiqua" w:hAnsi="Book Antiqua" w:cs="Arial"/>
        </w:rPr>
        <w:t>a make</w:t>
      </w:r>
      <w:r w:rsidR="00DE3B4A">
        <w:rPr>
          <w:rFonts w:ascii="Book Antiqua" w:hAnsi="Book Antiqua" w:cs="Arial"/>
        </w:rPr>
        <w:t>-</w:t>
      </w:r>
      <w:r w:rsidR="00F0197F">
        <w:rPr>
          <w:rFonts w:ascii="Book Antiqua" w:hAnsi="Book Antiqua" w:cs="Arial"/>
        </w:rPr>
        <w:t xml:space="preserve">weight assertion in relation to </w:t>
      </w:r>
      <w:r>
        <w:rPr>
          <w:rFonts w:ascii="Book Antiqua" w:hAnsi="Book Antiqua" w:cs="Arial"/>
        </w:rPr>
        <w:t xml:space="preserve">credibility </w:t>
      </w:r>
      <w:r w:rsidR="00F0197F">
        <w:rPr>
          <w:rFonts w:ascii="Book Antiqua" w:hAnsi="Book Antiqua" w:cs="Arial"/>
        </w:rPr>
        <w:t>findings w</w:t>
      </w:r>
      <w:r>
        <w:rPr>
          <w:rFonts w:ascii="Book Antiqua" w:hAnsi="Book Antiqua" w:cs="Arial"/>
        </w:rPr>
        <w:t xml:space="preserve">hich had </w:t>
      </w:r>
      <w:r w:rsidR="00DE3B4A">
        <w:rPr>
          <w:rFonts w:ascii="Book Antiqua" w:hAnsi="Book Antiqua" w:cs="Arial"/>
        </w:rPr>
        <w:t xml:space="preserve">already </w:t>
      </w:r>
      <w:r>
        <w:rPr>
          <w:rFonts w:ascii="Book Antiqua" w:hAnsi="Book Antiqua" w:cs="Arial"/>
        </w:rPr>
        <w:t>been sufficiently made</w:t>
      </w:r>
      <w:r w:rsidR="00DE3B4A">
        <w:rPr>
          <w:rFonts w:ascii="Book Antiqua" w:hAnsi="Book Antiqua" w:cs="Arial"/>
        </w:rPr>
        <w:t>.</w:t>
      </w:r>
    </w:p>
    <w:p w14:paraId="238CA749" w14:textId="77777777" w:rsidR="00DE3B4A" w:rsidRDefault="00DE3B4A" w:rsidP="00DE3B4A">
      <w:pPr>
        <w:ind w:left="567" w:hanging="567"/>
        <w:jc w:val="both"/>
        <w:rPr>
          <w:rFonts w:ascii="Book Antiqua" w:hAnsi="Book Antiqua" w:cs="Arial"/>
        </w:rPr>
      </w:pPr>
    </w:p>
    <w:p w14:paraId="286D99DC" w14:textId="043C9C81" w:rsidR="00EB2FA0" w:rsidRDefault="00742460" w:rsidP="00EB2FA0">
      <w:pPr>
        <w:ind w:left="567" w:hanging="567"/>
        <w:jc w:val="both"/>
        <w:rPr>
          <w:rFonts w:ascii="Book Antiqua" w:hAnsi="Book Antiqua" w:cs="Arial"/>
        </w:rPr>
      </w:pPr>
      <w:r>
        <w:rPr>
          <w:rFonts w:ascii="Book Antiqua" w:hAnsi="Book Antiqua" w:cs="Arial"/>
        </w:rPr>
        <w:t>11</w:t>
      </w:r>
      <w:r w:rsidR="00DE3B4A">
        <w:rPr>
          <w:rFonts w:ascii="Book Antiqua" w:hAnsi="Book Antiqua" w:cs="Arial"/>
        </w:rPr>
        <w:t>.</w:t>
      </w:r>
      <w:r w:rsidR="00DE3B4A">
        <w:rPr>
          <w:rFonts w:ascii="Book Antiqua" w:hAnsi="Book Antiqua" w:cs="Arial"/>
        </w:rPr>
        <w:tab/>
      </w:r>
      <w:r w:rsidR="00F0197F">
        <w:rPr>
          <w:rFonts w:ascii="Book Antiqua" w:hAnsi="Book Antiqua" w:cs="Arial"/>
        </w:rPr>
        <w:t>The judge in granting permission used</w:t>
      </w:r>
      <w:r w:rsidR="00DE3B4A">
        <w:rPr>
          <w:rFonts w:ascii="Book Antiqua" w:hAnsi="Book Antiqua" w:cs="Arial"/>
        </w:rPr>
        <w:t xml:space="preserve"> the phrase “infected”,</w:t>
      </w:r>
      <w:r w:rsidR="00F0197F">
        <w:rPr>
          <w:rFonts w:ascii="Book Antiqua" w:hAnsi="Book Antiqua" w:cs="Arial"/>
        </w:rPr>
        <w:t xml:space="preserve"> which was adopted by Ms Hulse in her submiss</w:t>
      </w:r>
      <w:r w:rsidR="00DE3B4A">
        <w:rPr>
          <w:rFonts w:ascii="Book Antiqua" w:hAnsi="Book Antiqua" w:cs="Arial"/>
        </w:rPr>
        <w:t xml:space="preserve">ions, </w:t>
      </w:r>
      <w:r>
        <w:rPr>
          <w:rFonts w:ascii="Book Antiqua" w:hAnsi="Book Antiqua" w:cs="Arial"/>
        </w:rPr>
        <w:t xml:space="preserve">also </w:t>
      </w:r>
      <w:r w:rsidR="00DE3B4A">
        <w:rPr>
          <w:rFonts w:ascii="Book Antiqua" w:hAnsi="Book Antiqua" w:cs="Arial"/>
        </w:rPr>
        <w:t xml:space="preserve">using also the synonym </w:t>
      </w:r>
      <w:r w:rsidR="00F0197F">
        <w:rPr>
          <w:rFonts w:ascii="Book Antiqua" w:hAnsi="Book Antiqua" w:cs="Arial"/>
        </w:rPr>
        <w:t xml:space="preserve">“tainted”.  Any fair reading of </w:t>
      </w:r>
      <w:r>
        <w:rPr>
          <w:rFonts w:ascii="Book Antiqua" w:hAnsi="Book Antiqua" w:cs="Arial"/>
        </w:rPr>
        <w:t xml:space="preserve">this decision cannot </w:t>
      </w:r>
      <w:r w:rsidR="00F0197F">
        <w:rPr>
          <w:rFonts w:ascii="Book Antiqua" w:hAnsi="Book Antiqua" w:cs="Arial"/>
        </w:rPr>
        <w:t>support the proposition that th</w:t>
      </w:r>
      <w:r w:rsidR="00DE3B4A">
        <w:rPr>
          <w:rFonts w:ascii="Book Antiqua" w:hAnsi="Book Antiqua" w:cs="Arial"/>
        </w:rPr>
        <w:t xml:space="preserve">ere was any infection or </w:t>
      </w:r>
      <w:r w:rsidR="00F0197F">
        <w:rPr>
          <w:rFonts w:ascii="Book Antiqua" w:hAnsi="Book Antiqua" w:cs="Arial"/>
        </w:rPr>
        <w:t>cross</w:t>
      </w:r>
      <w:r w:rsidR="00EB2FA0">
        <w:rPr>
          <w:rFonts w:ascii="Book Antiqua" w:hAnsi="Book Antiqua" w:cs="Arial"/>
        </w:rPr>
        <w:t>-contamination.  T</w:t>
      </w:r>
      <w:r w:rsidR="00F0197F">
        <w:rPr>
          <w:rFonts w:ascii="Book Antiqua" w:hAnsi="Book Antiqua" w:cs="Arial"/>
        </w:rPr>
        <w:t xml:space="preserve">he </w:t>
      </w:r>
      <w:r w:rsidR="00EB2FA0">
        <w:rPr>
          <w:rFonts w:ascii="Book Antiqua" w:hAnsi="Book Antiqua" w:cs="Arial"/>
        </w:rPr>
        <w:t xml:space="preserve">passing </w:t>
      </w:r>
      <w:r w:rsidR="00F0197F">
        <w:rPr>
          <w:rFonts w:ascii="Book Antiqua" w:hAnsi="Book Antiqua" w:cs="Arial"/>
        </w:rPr>
        <w:t>reference to the credibility findings in the refusal letter and the Home Office’s view on the use of d</w:t>
      </w:r>
      <w:r w:rsidR="00EB2FA0">
        <w:rPr>
          <w:rFonts w:ascii="Book Antiqua" w:hAnsi="Book Antiqua" w:cs="Arial"/>
        </w:rPr>
        <w:t xml:space="preserve">eception comes after a properly reasoned assessment and does not </w:t>
      </w:r>
      <w:r w:rsidR="00F0197F">
        <w:rPr>
          <w:rFonts w:ascii="Book Antiqua" w:hAnsi="Book Antiqua" w:cs="Arial"/>
        </w:rPr>
        <w:t xml:space="preserve">undermine the </w:t>
      </w:r>
      <w:r w:rsidR="00EB2FA0">
        <w:rPr>
          <w:rFonts w:ascii="Book Antiqua" w:hAnsi="Book Antiqua" w:cs="Arial"/>
        </w:rPr>
        <w:t xml:space="preserve">basis of the </w:t>
      </w:r>
      <w:r w:rsidR="00F0197F">
        <w:rPr>
          <w:rFonts w:ascii="Book Antiqua" w:hAnsi="Book Antiqua" w:cs="Arial"/>
        </w:rPr>
        <w:t>decision.</w:t>
      </w:r>
    </w:p>
    <w:p w14:paraId="16AEDA53" w14:textId="77777777" w:rsidR="00EB2FA0" w:rsidRDefault="00EB2FA0" w:rsidP="00EB2FA0">
      <w:pPr>
        <w:ind w:left="567" w:hanging="567"/>
        <w:jc w:val="both"/>
        <w:rPr>
          <w:rFonts w:ascii="Book Antiqua" w:hAnsi="Book Antiqua" w:cs="Arial"/>
        </w:rPr>
      </w:pPr>
    </w:p>
    <w:p w14:paraId="53E481C3" w14:textId="506FD3A7" w:rsidR="00786446" w:rsidRDefault="00742460" w:rsidP="00786446">
      <w:pPr>
        <w:ind w:left="567" w:hanging="567"/>
        <w:jc w:val="both"/>
        <w:rPr>
          <w:rFonts w:ascii="Book Antiqua" w:hAnsi="Book Antiqua" w:cs="Arial"/>
        </w:rPr>
      </w:pPr>
      <w:r>
        <w:rPr>
          <w:rFonts w:ascii="Book Antiqua" w:hAnsi="Book Antiqua" w:cs="Arial"/>
        </w:rPr>
        <w:t>12</w:t>
      </w:r>
      <w:r w:rsidR="00EB2FA0">
        <w:rPr>
          <w:rFonts w:ascii="Book Antiqua" w:hAnsi="Book Antiqua" w:cs="Arial"/>
        </w:rPr>
        <w:t>.</w:t>
      </w:r>
      <w:r w:rsidR="00EB2FA0">
        <w:rPr>
          <w:rFonts w:ascii="Book Antiqua" w:hAnsi="Book Antiqua" w:cs="Arial"/>
        </w:rPr>
        <w:tab/>
        <w:t>R</w:t>
      </w:r>
      <w:r w:rsidR="00F0197F">
        <w:rPr>
          <w:rFonts w:ascii="Book Antiqua" w:hAnsi="Book Antiqua" w:cs="Arial"/>
        </w:rPr>
        <w:t>elated to the issue of credibility, Ms Hulse sought to open an additional area of critic</w:t>
      </w:r>
      <w:r w:rsidR="00EB2FA0">
        <w:rPr>
          <w:rFonts w:ascii="Book Antiqua" w:hAnsi="Book Antiqua" w:cs="Arial"/>
        </w:rPr>
        <w:t>ism of the j</w:t>
      </w:r>
      <w:r w:rsidR="00F0197F">
        <w:rPr>
          <w:rFonts w:ascii="Book Antiqua" w:hAnsi="Book Antiqua" w:cs="Arial"/>
        </w:rPr>
        <w:t xml:space="preserve">udge </w:t>
      </w:r>
      <w:r w:rsidR="00EB2FA0">
        <w:rPr>
          <w:rFonts w:ascii="Book Antiqua" w:hAnsi="Book Antiqua" w:cs="Arial"/>
        </w:rPr>
        <w:t xml:space="preserve">based on references to </w:t>
      </w:r>
      <w:r w:rsidR="00F0197F">
        <w:rPr>
          <w:rFonts w:ascii="Book Antiqua" w:hAnsi="Book Antiqua" w:cs="Arial"/>
        </w:rPr>
        <w:t>a complete lack of documentary evidence.  Ms Hulse states that it would be surprising if there were documentary evidence of the appellants going to the au</w:t>
      </w:r>
      <w:r w:rsidR="00EB2FA0">
        <w:rPr>
          <w:rFonts w:ascii="Book Antiqua" w:hAnsi="Book Antiqua" w:cs="Arial"/>
        </w:rPr>
        <w:t xml:space="preserve">thorities when, she says, </w:t>
      </w:r>
      <w:r w:rsidR="00F0197F">
        <w:rPr>
          <w:rFonts w:ascii="Book Antiqua" w:hAnsi="Book Antiqua" w:cs="Arial"/>
        </w:rPr>
        <w:t xml:space="preserve">their interfaith </w:t>
      </w:r>
      <w:r w:rsidR="00B474FB">
        <w:rPr>
          <w:rFonts w:ascii="Book Antiqua" w:hAnsi="Book Antiqua" w:cs="Arial"/>
        </w:rPr>
        <w:t>marriage was unlawful. The possibility of</w:t>
      </w:r>
      <w:r w:rsidR="00B577A4">
        <w:rPr>
          <w:rFonts w:ascii="Book Antiqua" w:hAnsi="Book Antiqua" w:cs="Arial"/>
        </w:rPr>
        <w:t xml:space="preserve"> flawed conclusions stemming from the perceived absence of documentary </w:t>
      </w:r>
      <w:r w:rsidR="00B474FB">
        <w:rPr>
          <w:rFonts w:ascii="Book Antiqua" w:hAnsi="Book Antiqua" w:cs="Arial"/>
        </w:rPr>
        <w:t>evidence was</w:t>
      </w:r>
      <w:r w:rsidR="00F0197F">
        <w:rPr>
          <w:rFonts w:ascii="Book Antiqua" w:hAnsi="Book Antiqua" w:cs="Arial"/>
        </w:rPr>
        <w:t xml:space="preserve"> not something raised in the grounds </w:t>
      </w:r>
      <w:r w:rsidR="00B577A4">
        <w:rPr>
          <w:rFonts w:ascii="Book Antiqua" w:hAnsi="Book Antiqua" w:cs="Arial"/>
        </w:rPr>
        <w:t xml:space="preserve">of appeal. </w:t>
      </w:r>
      <w:r w:rsidR="00F0197F">
        <w:rPr>
          <w:rFonts w:ascii="Book Antiqua" w:hAnsi="Book Antiqua" w:cs="Arial"/>
        </w:rPr>
        <w:t>There ha</w:t>
      </w:r>
      <w:r w:rsidR="00B474FB">
        <w:rPr>
          <w:rFonts w:ascii="Book Antiqua" w:hAnsi="Book Antiqua" w:cs="Arial"/>
        </w:rPr>
        <w:t xml:space="preserve">s been no application to enlarge or amend the grounds. However, </w:t>
      </w:r>
      <w:r w:rsidR="00F0197F">
        <w:rPr>
          <w:rFonts w:ascii="Book Antiqua" w:hAnsi="Book Antiqua" w:cs="Arial"/>
        </w:rPr>
        <w:t>even if I were to have given permission to amend the grounds to allow this additional m</w:t>
      </w:r>
      <w:r w:rsidR="00A05855">
        <w:rPr>
          <w:rFonts w:ascii="Book Antiqua" w:hAnsi="Book Antiqua" w:cs="Arial"/>
        </w:rPr>
        <w:t xml:space="preserve">atter to be pursued, I would not have found an </w:t>
      </w:r>
      <w:r w:rsidR="00F0197F">
        <w:rPr>
          <w:rFonts w:ascii="Book Antiqua" w:hAnsi="Book Antiqua" w:cs="Arial"/>
        </w:rPr>
        <w:t>error of law</w:t>
      </w:r>
      <w:r w:rsidR="00A05855">
        <w:rPr>
          <w:rFonts w:ascii="Book Antiqua" w:hAnsi="Book Antiqua" w:cs="Arial"/>
        </w:rPr>
        <w:t xml:space="preserve"> because </w:t>
      </w:r>
      <w:r w:rsidR="007D3BE4">
        <w:rPr>
          <w:rFonts w:ascii="Book Antiqua" w:hAnsi="Book Antiqua" w:cs="Arial"/>
        </w:rPr>
        <w:t xml:space="preserve">the </w:t>
      </w:r>
      <w:r w:rsidR="00F0197F">
        <w:rPr>
          <w:rFonts w:ascii="Book Antiqua" w:hAnsi="Book Antiqua" w:cs="Arial"/>
        </w:rPr>
        <w:t>factual finding</w:t>
      </w:r>
      <w:r w:rsidR="00A05855">
        <w:rPr>
          <w:rFonts w:ascii="Book Antiqua" w:hAnsi="Book Antiqua" w:cs="Arial"/>
        </w:rPr>
        <w:t xml:space="preserve">s were clearly open to the judge on the evidence before her. </w:t>
      </w:r>
      <w:r w:rsidR="00786446">
        <w:rPr>
          <w:rFonts w:ascii="Book Antiqua" w:hAnsi="Book Antiqua" w:cs="Arial"/>
        </w:rPr>
        <w:t>The judge was perfectly entitled to comment on the absence of documentary evidence since that is part of the factual matrix withi</w:t>
      </w:r>
      <w:r w:rsidR="007D3BE4">
        <w:rPr>
          <w:rFonts w:ascii="Book Antiqua" w:hAnsi="Book Antiqua" w:cs="Arial"/>
        </w:rPr>
        <w:t>n which the judge made her determination</w:t>
      </w:r>
      <w:r w:rsidR="00786446">
        <w:rPr>
          <w:rFonts w:ascii="Book Antiqua" w:hAnsi="Book Antiqua" w:cs="Arial"/>
        </w:rPr>
        <w:t xml:space="preserve">.  </w:t>
      </w:r>
    </w:p>
    <w:p w14:paraId="07EA2196" w14:textId="77777777" w:rsidR="00786446" w:rsidRDefault="00786446" w:rsidP="00786446">
      <w:pPr>
        <w:ind w:left="567" w:hanging="567"/>
        <w:jc w:val="both"/>
        <w:rPr>
          <w:rFonts w:ascii="Book Antiqua" w:hAnsi="Book Antiqua" w:cs="Arial"/>
        </w:rPr>
      </w:pPr>
    </w:p>
    <w:p w14:paraId="0D05D994" w14:textId="39C4E2C3" w:rsidR="00F0197F" w:rsidRDefault="007D3BE4" w:rsidP="00786446">
      <w:pPr>
        <w:ind w:left="567" w:hanging="567"/>
        <w:jc w:val="both"/>
        <w:rPr>
          <w:rFonts w:ascii="Book Antiqua" w:hAnsi="Book Antiqua" w:cs="Arial"/>
        </w:rPr>
      </w:pPr>
      <w:r>
        <w:rPr>
          <w:rFonts w:ascii="Book Antiqua" w:hAnsi="Book Antiqua" w:cs="Arial"/>
        </w:rPr>
        <w:t>13</w:t>
      </w:r>
      <w:r w:rsidR="00786446">
        <w:rPr>
          <w:rFonts w:ascii="Book Antiqua" w:hAnsi="Book Antiqua" w:cs="Arial"/>
        </w:rPr>
        <w:t>.</w:t>
      </w:r>
      <w:r w:rsidR="00786446">
        <w:rPr>
          <w:rFonts w:ascii="Book Antiqua" w:hAnsi="Book Antiqua" w:cs="Arial"/>
        </w:rPr>
        <w:tab/>
        <w:t xml:space="preserve">It is instructive to set out the express findings </w:t>
      </w:r>
      <w:r w:rsidR="00F0197F">
        <w:rPr>
          <w:rFonts w:ascii="Book Antiqua" w:hAnsi="Book Antiqua" w:cs="Arial"/>
        </w:rPr>
        <w:t>the judge:</w:t>
      </w:r>
    </w:p>
    <w:p w14:paraId="195E12E2" w14:textId="2A1CC02A" w:rsidR="00F0197F" w:rsidRDefault="00F0197F" w:rsidP="006E011B">
      <w:pPr>
        <w:spacing w:before="120" w:after="120"/>
        <w:ind w:left="1985" w:hanging="851"/>
        <w:jc w:val="both"/>
        <w:rPr>
          <w:rFonts w:ascii="Book Antiqua" w:hAnsi="Book Antiqua" w:cs="Arial"/>
        </w:rPr>
      </w:pPr>
      <w:r>
        <w:rPr>
          <w:rFonts w:ascii="Book Antiqua" w:hAnsi="Book Antiqua" w:cs="Arial"/>
        </w:rPr>
        <w:t>9.2</w:t>
      </w:r>
      <w:r>
        <w:rPr>
          <w:rFonts w:ascii="Book Antiqua" w:hAnsi="Book Antiqua" w:cs="Arial"/>
        </w:rPr>
        <w:tab/>
        <w:t xml:space="preserve">Having given careful consideration to the appellant's evidence, and having considered his evidence in light of the country evidence, I have found the core of the appellant's claim to be entirely lacking in credibility.  I accept on the lower standard of proof, that the first appellant and her husband do indeed come from different religious backgrounds, and that they are Muslim and Hindu respectively.  However, I do not find it likely that this has resulted in the continuing difficulties that the appellants claim given over </w:t>
      </w:r>
      <w:r w:rsidR="0093659B">
        <w:rPr>
          <w:rFonts w:ascii="Book Antiqua" w:hAnsi="Book Antiqua" w:cs="Arial"/>
        </w:rPr>
        <w:t>ten</w:t>
      </w:r>
      <w:r>
        <w:rPr>
          <w:rFonts w:ascii="Book Antiqua" w:hAnsi="Book Antiqua" w:cs="Arial"/>
        </w:rPr>
        <w:t xml:space="preserve"> years ago the second appellant converted to Islam and married his wife and that the first appellant's father-in-law has </w:t>
      </w:r>
      <w:r>
        <w:rPr>
          <w:rFonts w:ascii="Book Antiqua" w:hAnsi="Book Antiqua" w:cs="Arial"/>
        </w:rPr>
        <w:lastRenderedPageBreak/>
        <w:t>financially supported her studies in the UK as recently as when he offered sponsorship in 2010.</w:t>
      </w:r>
    </w:p>
    <w:p w14:paraId="32A27874" w14:textId="2E3B2379" w:rsidR="00AD7D46" w:rsidRDefault="00786446" w:rsidP="006E011B">
      <w:pPr>
        <w:spacing w:before="120" w:after="120"/>
        <w:ind w:left="1985" w:hanging="851"/>
        <w:jc w:val="both"/>
        <w:rPr>
          <w:rFonts w:ascii="Book Antiqua" w:hAnsi="Book Antiqua" w:cs="Arial"/>
        </w:rPr>
      </w:pPr>
      <w:r>
        <w:rPr>
          <w:rFonts w:ascii="Book Antiqua" w:hAnsi="Book Antiqua" w:cs="Arial"/>
        </w:rPr>
        <w:tab/>
        <w:t>[…]</w:t>
      </w:r>
      <w:r w:rsidR="00AD7D46">
        <w:rPr>
          <w:rFonts w:ascii="Book Antiqua" w:hAnsi="Book Antiqua" w:cs="Arial"/>
        </w:rPr>
        <w:t xml:space="preserve"> </w:t>
      </w:r>
    </w:p>
    <w:p w14:paraId="2C85A7F6" w14:textId="52B33118" w:rsidR="00AD7D46" w:rsidRDefault="00AD7D46" w:rsidP="006E011B">
      <w:pPr>
        <w:spacing w:before="120" w:after="120"/>
        <w:ind w:left="1985" w:hanging="851"/>
        <w:jc w:val="both"/>
        <w:rPr>
          <w:rFonts w:ascii="Book Antiqua" w:hAnsi="Book Antiqua" w:cs="Arial"/>
        </w:rPr>
      </w:pPr>
      <w:r>
        <w:rPr>
          <w:rFonts w:ascii="Book Antiqua" w:hAnsi="Book Antiqua" w:cs="Arial"/>
        </w:rPr>
        <w:t>9.5</w:t>
      </w:r>
      <w:r>
        <w:rPr>
          <w:rFonts w:ascii="Book Antiqua" w:hAnsi="Book Antiqua" w:cs="Arial"/>
        </w:rPr>
        <w:tab/>
        <w:t>I find that their situation as a married couple, for over a decade, is now fundamentally different and there is no credible evidence to support any claim that they would be at risk from either f</w:t>
      </w:r>
      <w:r w:rsidR="00FA174C">
        <w:rPr>
          <w:rFonts w:ascii="Book Antiqua" w:hAnsi="Book Antiqua" w:cs="Arial"/>
        </w:rPr>
        <w:t>amily on return</w:t>
      </w:r>
      <w:r>
        <w:rPr>
          <w:rFonts w:ascii="Book Antiqua" w:hAnsi="Book Antiqua" w:cs="Arial"/>
        </w:rPr>
        <w:t xml:space="preserve">.  </w:t>
      </w:r>
    </w:p>
    <w:p w14:paraId="139893F6" w14:textId="7C9872FF" w:rsidR="00AD7D46" w:rsidRDefault="00786446" w:rsidP="006E011B">
      <w:pPr>
        <w:spacing w:before="120" w:after="120"/>
        <w:ind w:left="1985" w:hanging="851"/>
        <w:jc w:val="both"/>
        <w:rPr>
          <w:rFonts w:ascii="Book Antiqua" w:hAnsi="Book Antiqua" w:cs="Arial"/>
        </w:rPr>
      </w:pPr>
      <w:r>
        <w:rPr>
          <w:rFonts w:ascii="Book Antiqua" w:hAnsi="Book Antiqua" w:cs="Arial"/>
        </w:rPr>
        <w:tab/>
        <w:t>[…]</w:t>
      </w:r>
    </w:p>
    <w:p w14:paraId="5F70F179" w14:textId="7C372691" w:rsidR="00AD7D46" w:rsidRDefault="00FA174C" w:rsidP="006E011B">
      <w:pPr>
        <w:spacing w:before="120" w:after="120"/>
        <w:ind w:left="1985" w:hanging="851"/>
        <w:jc w:val="both"/>
        <w:rPr>
          <w:rFonts w:ascii="Book Antiqua" w:hAnsi="Book Antiqua" w:cs="Arial"/>
        </w:rPr>
      </w:pPr>
      <w:r>
        <w:rPr>
          <w:rFonts w:ascii="Book Antiqua" w:hAnsi="Book Antiqua" w:cs="Arial"/>
        </w:rPr>
        <w:t>9</w:t>
      </w:r>
      <w:r w:rsidR="00AD7D46">
        <w:rPr>
          <w:rFonts w:ascii="Book Antiqua" w:hAnsi="Book Antiqua" w:cs="Arial"/>
        </w:rPr>
        <w:t>.8</w:t>
      </w:r>
      <w:r w:rsidR="00AD7D46">
        <w:rPr>
          <w:rFonts w:ascii="Book Antiqua" w:hAnsi="Book Antiqua" w:cs="Arial"/>
        </w:rPr>
        <w:tab/>
        <w:t>I also find that the second appellant has not made out his claim that his own family have disowned him and indeed whereas there is evidence of continuing financial support in the form of sponsorship, there is no evidence to suggest that he has otherwise been disowned by them”.</w:t>
      </w:r>
    </w:p>
    <w:p w14:paraId="314874C3" w14:textId="77777777" w:rsidR="00AD7D46" w:rsidRDefault="00AD7D46" w:rsidP="006E011B">
      <w:pPr>
        <w:spacing w:before="120" w:after="120"/>
        <w:ind w:left="1985" w:hanging="851"/>
        <w:jc w:val="both"/>
        <w:rPr>
          <w:rFonts w:ascii="Book Antiqua" w:hAnsi="Book Antiqua" w:cs="Arial"/>
        </w:rPr>
      </w:pPr>
      <w:r>
        <w:rPr>
          <w:rFonts w:ascii="Book Antiqua" w:hAnsi="Book Antiqua" w:cs="Arial"/>
        </w:rPr>
        <w:t>9.9</w:t>
      </w:r>
      <w:r>
        <w:rPr>
          <w:rFonts w:ascii="Book Antiqua" w:hAnsi="Book Antiqua" w:cs="Arial"/>
        </w:rPr>
        <w:tab/>
        <w:t>I also do not find it reasonably likely that the appellant has been threatened by his wife’s family, given the lack of any documentary evidence to substantiate any such events.</w:t>
      </w:r>
    </w:p>
    <w:p w14:paraId="72DF0BAD" w14:textId="345DF3F6" w:rsidR="00AD7D46" w:rsidRDefault="00AD7D46" w:rsidP="006E011B">
      <w:pPr>
        <w:spacing w:before="120" w:after="120"/>
        <w:ind w:left="1985" w:hanging="851"/>
        <w:jc w:val="both"/>
        <w:rPr>
          <w:rFonts w:ascii="Book Antiqua" w:hAnsi="Book Antiqua" w:cs="Arial"/>
        </w:rPr>
      </w:pPr>
      <w:r>
        <w:rPr>
          <w:rFonts w:ascii="Book Antiqua" w:hAnsi="Book Antiqua" w:cs="Arial"/>
        </w:rPr>
        <w:t>9.10</w:t>
      </w:r>
      <w:r>
        <w:rPr>
          <w:rFonts w:ascii="Book Antiqua" w:hAnsi="Book Antiqua" w:cs="Arial"/>
        </w:rPr>
        <w:tab/>
        <w:t xml:space="preserve">In relation to the first appellant's asylum claim, I do not find her a credible witness in relation to her conversion to </w:t>
      </w:r>
      <w:r w:rsidR="0093659B">
        <w:rPr>
          <w:rFonts w:ascii="Book Antiqua" w:hAnsi="Book Antiqua" w:cs="Arial"/>
        </w:rPr>
        <w:t>Islam</w:t>
      </w:r>
      <w:r>
        <w:rPr>
          <w:rFonts w:ascii="Book Antiqua" w:hAnsi="Book Antiqua" w:cs="Arial"/>
        </w:rPr>
        <w:t>.  Her knowledge of that faith was patchy to say the least and, although she claims to have been subjected to attendance at a rehabilitation centre over a decade ago, again there is no documentary evidence to substantiate this claim and in any event her husband has since converted to Islam.</w:t>
      </w:r>
    </w:p>
    <w:p w14:paraId="4C8EEF49" w14:textId="77777777" w:rsidR="00AD7D46" w:rsidRDefault="00AD7D46" w:rsidP="006E011B">
      <w:pPr>
        <w:spacing w:before="120" w:after="120"/>
        <w:ind w:left="1985" w:hanging="851"/>
        <w:jc w:val="both"/>
        <w:rPr>
          <w:rFonts w:ascii="Book Antiqua" w:hAnsi="Book Antiqua" w:cs="Arial"/>
        </w:rPr>
      </w:pPr>
      <w:r>
        <w:rPr>
          <w:rFonts w:ascii="Book Antiqua" w:hAnsi="Book Antiqua" w:cs="Arial"/>
        </w:rPr>
        <w:t>9.11</w:t>
      </w:r>
      <w:r>
        <w:rPr>
          <w:rFonts w:ascii="Book Antiqua" w:hAnsi="Book Antiqua" w:cs="Arial"/>
        </w:rPr>
        <w:tab/>
        <w:t>In relation to my credibility findings, as stated earlier, I do not find either witness to be credible and I do not accept that the first appellant is at any risk from the authorities upon return to Malaysia, in fact this is evidenced by the fact that she did return using her own passport, in 2011, without any problems arising from the authorities.  I further reject the claim that she or her husband would suffer any harm at the hands of her family, who are aware that they have been married since 2007 and that her husband has converted to Islam”.</w:t>
      </w:r>
    </w:p>
    <w:p w14:paraId="1E3910E0" w14:textId="15E7001D" w:rsidR="00F25779" w:rsidRDefault="007D3BE4" w:rsidP="0093659B">
      <w:pPr>
        <w:ind w:left="567" w:hanging="567"/>
        <w:jc w:val="both"/>
        <w:rPr>
          <w:rFonts w:ascii="Book Antiqua" w:hAnsi="Book Antiqua" w:cs="Arial"/>
        </w:rPr>
      </w:pPr>
      <w:r>
        <w:rPr>
          <w:rFonts w:ascii="Book Antiqua" w:hAnsi="Book Antiqua" w:cs="Arial"/>
        </w:rPr>
        <w:t>14.</w:t>
      </w:r>
      <w:r>
        <w:rPr>
          <w:rFonts w:ascii="Book Antiqua" w:hAnsi="Book Antiqua" w:cs="Arial"/>
        </w:rPr>
        <w:tab/>
      </w:r>
      <w:r w:rsidR="00FA174C">
        <w:rPr>
          <w:rFonts w:ascii="Book Antiqua" w:hAnsi="Book Antiqua" w:cs="Arial"/>
        </w:rPr>
        <w:t>I can deal very briefly with the third ground</w:t>
      </w:r>
      <w:r>
        <w:rPr>
          <w:rFonts w:ascii="Book Antiqua" w:hAnsi="Book Antiqua" w:cs="Arial"/>
        </w:rPr>
        <w:t>,</w:t>
      </w:r>
      <w:r w:rsidR="00FA174C">
        <w:rPr>
          <w:rFonts w:ascii="Book Antiqua" w:hAnsi="Book Antiqua" w:cs="Arial"/>
        </w:rPr>
        <w:t xml:space="preserve"> namely the finding of </w:t>
      </w:r>
      <w:r w:rsidR="00AD7D46">
        <w:rPr>
          <w:rFonts w:ascii="Book Antiqua" w:hAnsi="Book Antiqua" w:cs="Arial"/>
        </w:rPr>
        <w:t>patchy kno</w:t>
      </w:r>
      <w:r w:rsidR="00FA174C">
        <w:rPr>
          <w:rFonts w:ascii="Book Antiqua" w:hAnsi="Book Antiqua" w:cs="Arial"/>
        </w:rPr>
        <w:t xml:space="preserve">wledge of the first appellant regarding her Hindu faith. </w:t>
      </w:r>
      <w:r w:rsidR="00AD7D46">
        <w:rPr>
          <w:rFonts w:ascii="Book Antiqua" w:hAnsi="Book Antiqua" w:cs="Arial"/>
        </w:rPr>
        <w:t>What is said in the gr</w:t>
      </w:r>
      <w:r w:rsidR="00FA174C">
        <w:rPr>
          <w:rFonts w:ascii="Book Antiqua" w:hAnsi="Book Antiqua" w:cs="Arial"/>
        </w:rPr>
        <w:t>ounds and wha</w:t>
      </w:r>
      <w:r>
        <w:rPr>
          <w:rFonts w:ascii="Book Antiqua" w:hAnsi="Book Antiqua" w:cs="Arial"/>
        </w:rPr>
        <w:t>t has been submitted by Ms Hulse</w:t>
      </w:r>
      <w:r w:rsidR="00AD7D46">
        <w:rPr>
          <w:rFonts w:ascii="Book Antiqua" w:hAnsi="Book Antiqua" w:cs="Arial"/>
        </w:rPr>
        <w:t xml:space="preserve"> is that Hinduism is not like Christianity where converts are </w:t>
      </w:r>
      <w:r w:rsidR="00FA174C">
        <w:rPr>
          <w:rFonts w:ascii="Book Antiqua" w:hAnsi="Book Antiqua" w:cs="Arial"/>
        </w:rPr>
        <w:t xml:space="preserve">required to learn the Bible and </w:t>
      </w:r>
      <w:r>
        <w:rPr>
          <w:rFonts w:ascii="Book Antiqua" w:hAnsi="Book Antiqua" w:cs="Arial"/>
        </w:rPr>
        <w:t>go through initiation by baptism</w:t>
      </w:r>
      <w:r w:rsidR="00F46B60">
        <w:rPr>
          <w:rFonts w:ascii="Book Antiqua" w:hAnsi="Book Antiqua" w:cs="Arial"/>
        </w:rPr>
        <w:t>.  T</w:t>
      </w:r>
      <w:r w:rsidR="00AD7D46">
        <w:rPr>
          <w:rFonts w:ascii="Book Antiqua" w:hAnsi="Book Antiqua" w:cs="Arial"/>
        </w:rPr>
        <w:t>here may well not be a Hindu catechesis</w:t>
      </w:r>
      <w:r w:rsidR="00F46B60">
        <w:rPr>
          <w:rFonts w:ascii="Book Antiqua" w:hAnsi="Book Antiqua" w:cs="Arial"/>
        </w:rPr>
        <w:t xml:space="preserve">, as found in many Western religions, </w:t>
      </w:r>
      <w:r w:rsidR="00AD7D46">
        <w:rPr>
          <w:rFonts w:ascii="Book Antiqua" w:hAnsi="Book Antiqua" w:cs="Arial"/>
        </w:rPr>
        <w:t xml:space="preserve">but </w:t>
      </w:r>
      <w:r w:rsidR="00F46B60">
        <w:rPr>
          <w:rFonts w:ascii="Book Antiqua" w:hAnsi="Book Antiqua" w:cs="Arial"/>
        </w:rPr>
        <w:t>the judge assessed</w:t>
      </w:r>
      <w:r w:rsidR="00AD7D46">
        <w:rPr>
          <w:rFonts w:ascii="Book Antiqua" w:hAnsi="Book Antiqua" w:cs="Arial"/>
        </w:rPr>
        <w:t xml:space="preserve"> </w:t>
      </w:r>
      <w:r>
        <w:rPr>
          <w:rFonts w:ascii="Book Antiqua" w:hAnsi="Book Antiqua" w:cs="Arial"/>
        </w:rPr>
        <w:t>on the evidence the merit or otherwise</w:t>
      </w:r>
      <w:r w:rsidR="00AD7D46">
        <w:rPr>
          <w:rFonts w:ascii="Book Antiqua" w:hAnsi="Book Antiqua" w:cs="Arial"/>
        </w:rPr>
        <w:t xml:space="preserve"> of the claim brought by the first appellant</w:t>
      </w:r>
      <w:r w:rsidR="00F46B60">
        <w:rPr>
          <w:rFonts w:ascii="Book Antiqua" w:hAnsi="Book Antiqua" w:cs="Arial"/>
        </w:rPr>
        <w:t xml:space="preserve">, and </w:t>
      </w:r>
      <w:r w:rsidR="00AD7D46">
        <w:rPr>
          <w:rFonts w:ascii="Book Antiqua" w:hAnsi="Book Antiqua" w:cs="Arial"/>
        </w:rPr>
        <w:t xml:space="preserve">came to </w:t>
      </w:r>
      <w:r w:rsidR="00F46B60">
        <w:rPr>
          <w:rFonts w:ascii="Book Antiqua" w:hAnsi="Book Antiqua" w:cs="Arial"/>
        </w:rPr>
        <w:t>clear conclusions as she was entitled to do</w:t>
      </w:r>
      <w:r w:rsidR="00AD7D46">
        <w:rPr>
          <w:rFonts w:ascii="Book Antiqua" w:hAnsi="Book Antiqua" w:cs="Arial"/>
        </w:rPr>
        <w:t xml:space="preserve">.  </w:t>
      </w:r>
      <w:r w:rsidR="00F25779">
        <w:rPr>
          <w:rFonts w:ascii="Book Antiqua" w:hAnsi="Book Antiqua" w:cs="Arial"/>
        </w:rPr>
        <w:t>There is no</w:t>
      </w:r>
      <w:r w:rsidR="00AD7D46">
        <w:rPr>
          <w:rFonts w:ascii="Book Antiqua" w:hAnsi="Book Antiqua" w:cs="Arial"/>
        </w:rPr>
        <w:t xml:space="preserve"> error of law</w:t>
      </w:r>
      <w:r w:rsidR="00F25779">
        <w:rPr>
          <w:rFonts w:ascii="Book Antiqua" w:hAnsi="Book Antiqua" w:cs="Arial"/>
        </w:rPr>
        <w:t xml:space="preserve"> here.</w:t>
      </w:r>
    </w:p>
    <w:p w14:paraId="28DC30E4" w14:textId="77777777" w:rsidR="00F25779" w:rsidRDefault="00F25779" w:rsidP="0093659B">
      <w:pPr>
        <w:ind w:left="567" w:hanging="567"/>
        <w:jc w:val="both"/>
        <w:rPr>
          <w:rFonts w:ascii="Book Antiqua" w:hAnsi="Book Antiqua" w:cs="Arial"/>
        </w:rPr>
      </w:pPr>
    </w:p>
    <w:p w14:paraId="5B04A1CC" w14:textId="7D46BCD7" w:rsidR="0093659B" w:rsidRDefault="007D3BE4" w:rsidP="0093659B">
      <w:pPr>
        <w:ind w:left="567" w:hanging="567"/>
        <w:jc w:val="both"/>
        <w:rPr>
          <w:rFonts w:ascii="Book Antiqua" w:hAnsi="Book Antiqua" w:cs="Arial"/>
        </w:rPr>
      </w:pPr>
      <w:r>
        <w:rPr>
          <w:rFonts w:ascii="Book Antiqua" w:hAnsi="Book Antiqua" w:cs="Arial"/>
        </w:rPr>
        <w:t>15</w:t>
      </w:r>
      <w:r w:rsidR="00F25779">
        <w:rPr>
          <w:rFonts w:ascii="Book Antiqua" w:hAnsi="Book Antiqua" w:cs="Arial"/>
        </w:rPr>
        <w:t>.</w:t>
      </w:r>
      <w:r w:rsidR="00F25779">
        <w:rPr>
          <w:rFonts w:ascii="Book Antiqua" w:hAnsi="Book Antiqua" w:cs="Arial"/>
        </w:rPr>
        <w:tab/>
        <w:t xml:space="preserve">Finally, </w:t>
      </w:r>
      <w:r w:rsidR="00D566B6">
        <w:rPr>
          <w:rFonts w:ascii="Book Antiqua" w:hAnsi="Book Antiqua" w:cs="Arial"/>
        </w:rPr>
        <w:t>and out of numerical order, I turn to the</w:t>
      </w:r>
      <w:r w:rsidR="00F25779">
        <w:rPr>
          <w:rFonts w:ascii="Book Antiqua" w:hAnsi="Book Antiqua" w:cs="Arial"/>
        </w:rPr>
        <w:t xml:space="preserve"> second ground, regarding an inconsistency between the second appellant’s evidence at the hearing and the answer</w:t>
      </w:r>
      <w:r>
        <w:rPr>
          <w:rFonts w:ascii="Book Antiqua" w:hAnsi="Book Antiqua" w:cs="Arial"/>
        </w:rPr>
        <w:t>s</w:t>
      </w:r>
      <w:r w:rsidR="00F25779">
        <w:rPr>
          <w:rFonts w:ascii="Book Antiqua" w:hAnsi="Book Antiqua" w:cs="Arial"/>
        </w:rPr>
        <w:t xml:space="preserve"> he gave at interv</w:t>
      </w:r>
      <w:r w:rsidR="00D566B6">
        <w:rPr>
          <w:rFonts w:ascii="Book Antiqua" w:hAnsi="Book Antiqua" w:cs="Arial"/>
        </w:rPr>
        <w:t xml:space="preserve">iew. </w:t>
      </w:r>
      <w:r w:rsidR="00F25779">
        <w:rPr>
          <w:rFonts w:ascii="Book Antiqua" w:hAnsi="Book Antiqua" w:cs="Arial"/>
        </w:rPr>
        <w:t xml:space="preserve">Ms Hulse did not pursue this in her oral submissions, and I consider she was wise not to do so. </w:t>
      </w:r>
      <w:r w:rsidR="00AD7D46">
        <w:rPr>
          <w:rFonts w:ascii="Book Antiqua" w:hAnsi="Book Antiqua" w:cs="Arial"/>
        </w:rPr>
        <w:t xml:space="preserve">I </w:t>
      </w:r>
      <w:r w:rsidR="007F2275">
        <w:rPr>
          <w:rFonts w:ascii="Book Antiqua" w:hAnsi="Book Antiqua" w:cs="Arial"/>
        </w:rPr>
        <w:t xml:space="preserve">can see nothing </w:t>
      </w:r>
      <w:r w:rsidR="00AD7D46">
        <w:rPr>
          <w:rFonts w:ascii="Book Antiqua" w:hAnsi="Book Antiqua" w:cs="Arial"/>
        </w:rPr>
        <w:t xml:space="preserve">to suggest </w:t>
      </w:r>
      <w:r w:rsidR="00D566B6">
        <w:rPr>
          <w:rFonts w:ascii="Book Antiqua" w:hAnsi="Book Antiqua" w:cs="Arial"/>
        </w:rPr>
        <w:t>any misapprehension on</w:t>
      </w:r>
      <w:r w:rsidR="007F2275">
        <w:rPr>
          <w:rFonts w:ascii="Book Antiqua" w:hAnsi="Book Antiqua" w:cs="Arial"/>
        </w:rPr>
        <w:t xml:space="preserve"> the judge’s part which may have </w:t>
      </w:r>
      <w:r w:rsidR="00AD7D46">
        <w:rPr>
          <w:rFonts w:ascii="Book Antiqua" w:hAnsi="Book Antiqua" w:cs="Arial"/>
        </w:rPr>
        <w:t>affected, still less infected</w:t>
      </w:r>
      <w:r w:rsidR="007F2275">
        <w:rPr>
          <w:rFonts w:ascii="Book Antiqua" w:hAnsi="Book Antiqua" w:cs="Arial"/>
        </w:rPr>
        <w:t>, her credibility or factual findings</w:t>
      </w:r>
      <w:r w:rsidR="00AD7D46">
        <w:rPr>
          <w:rFonts w:ascii="Book Antiqua" w:hAnsi="Book Antiqua" w:cs="Arial"/>
        </w:rPr>
        <w:t xml:space="preserve">.  </w:t>
      </w:r>
    </w:p>
    <w:p w14:paraId="7024E4E8" w14:textId="77777777" w:rsidR="0093659B" w:rsidRDefault="0093659B" w:rsidP="0093659B">
      <w:pPr>
        <w:ind w:left="567" w:hanging="567"/>
        <w:jc w:val="both"/>
        <w:rPr>
          <w:rFonts w:ascii="Book Antiqua" w:hAnsi="Book Antiqua" w:cs="Arial"/>
        </w:rPr>
      </w:pPr>
    </w:p>
    <w:p w14:paraId="6EBDE036" w14:textId="4F37EADB" w:rsidR="00AD7D46" w:rsidRDefault="00D566B6" w:rsidP="0093659B">
      <w:pPr>
        <w:ind w:left="567" w:hanging="567"/>
        <w:jc w:val="both"/>
        <w:rPr>
          <w:rFonts w:ascii="Book Antiqua" w:hAnsi="Book Antiqua" w:cs="Arial"/>
        </w:rPr>
      </w:pPr>
      <w:r>
        <w:rPr>
          <w:rFonts w:ascii="Book Antiqua" w:hAnsi="Book Antiqua" w:cs="Arial"/>
        </w:rPr>
        <w:t>16</w:t>
      </w:r>
      <w:r w:rsidR="0093659B">
        <w:rPr>
          <w:rFonts w:ascii="Book Antiqua" w:hAnsi="Book Antiqua" w:cs="Arial"/>
        </w:rPr>
        <w:t>.</w:t>
      </w:r>
      <w:r w:rsidR="0093659B">
        <w:rPr>
          <w:rFonts w:ascii="Book Antiqua" w:hAnsi="Book Antiqua" w:cs="Arial"/>
        </w:rPr>
        <w:tab/>
      </w:r>
      <w:r w:rsidR="00AD7D46">
        <w:rPr>
          <w:rFonts w:ascii="Book Antiqua" w:hAnsi="Book Antiqua" w:cs="Arial"/>
        </w:rPr>
        <w:t>I remind myself that</w:t>
      </w:r>
      <w:r w:rsidR="00563460">
        <w:rPr>
          <w:rFonts w:ascii="Book Antiqua" w:hAnsi="Book Antiqua" w:cs="Arial"/>
        </w:rPr>
        <w:t xml:space="preserve"> under section 12 of the Tribunals, Courts and Enforcement Act 2007, if the </w:t>
      </w:r>
      <w:r w:rsidR="00AD7D46">
        <w:rPr>
          <w:rFonts w:ascii="Book Antiqua" w:hAnsi="Book Antiqua" w:cs="Arial"/>
        </w:rPr>
        <w:t xml:space="preserve">Upper Tribunal </w:t>
      </w:r>
      <w:r w:rsidR="00563460">
        <w:rPr>
          <w:rFonts w:ascii="Book Antiqua" w:hAnsi="Book Antiqua" w:cs="Arial"/>
        </w:rPr>
        <w:t xml:space="preserve">finds that a </w:t>
      </w:r>
      <w:r w:rsidR="00AD7D46">
        <w:rPr>
          <w:rFonts w:ascii="Book Antiqua" w:hAnsi="Book Antiqua" w:cs="Arial"/>
        </w:rPr>
        <w:t>Firs</w:t>
      </w:r>
      <w:r w:rsidR="00563460">
        <w:rPr>
          <w:rFonts w:ascii="Book Antiqua" w:hAnsi="Book Antiqua" w:cs="Arial"/>
        </w:rPr>
        <w:t xml:space="preserve">t-tier Tribunal </w:t>
      </w:r>
      <w:r w:rsidR="00AD7D46">
        <w:rPr>
          <w:rFonts w:ascii="Book Antiqua" w:hAnsi="Book Antiqua" w:cs="Arial"/>
        </w:rPr>
        <w:t xml:space="preserve">decision </w:t>
      </w:r>
      <w:r w:rsidR="00563460">
        <w:rPr>
          <w:rFonts w:ascii="Book Antiqua" w:hAnsi="Book Antiqua" w:cs="Arial"/>
        </w:rPr>
        <w:t xml:space="preserve">involved the making of an error on a point of law, it “may (but need not) set aside the decision”. Even had I been of the view </w:t>
      </w:r>
      <w:r w:rsidR="00E2720F">
        <w:rPr>
          <w:rFonts w:ascii="Book Antiqua" w:hAnsi="Book Antiqua" w:cs="Arial"/>
        </w:rPr>
        <w:t xml:space="preserve">that one or more of the grounds </w:t>
      </w:r>
      <w:r w:rsidR="00563460">
        <w:rPr>
          <w:rFonts w:ascii="Book Antiqua" w:hAnsi="Book Antiqua" w:cs="Arial"/>
        </w:rPr>
        <w:t xml:space="preserve">might have </w:t>
      </w:r>
      <w:r w:rsidR="00AD7D46">
        <w:rPr>
          <w:rFonts w:ascii="Book Antiqua" w:hAnsi="Book Antiqua" w:cs="Arial"/>
        </w:rPr>
        <w:t>amount</w:t>
      </w:r>
      <w:r w:rsidR="00563460">
        <w:rPr>
          <w:rFonts w:ascii="Book Antiqua" w:hAnsi="Book Antiqua" w:cs="Arial"/>
        </w:rPr>
        <w:t>ed</w:t>
      </w:r>
      <w:r w:rsidR="00AD7D46">
        <w:rPr>
          <w:rFonts w:ascii="Book Antiqua" w:hAnsi="Book Antiqua" w:cs="Arial"/>
        </w:rPr>
        <w:t xml:space="preserve"> to an er</w:t>
      </w:r>
      <w:r w:rsidR="00563460">
        <w:rPr>
          <w:rFonts w:ascii="Book Antiqua" w:hAnsi="Book Antiqua" w:cs="Arial"/>
        </w:rPr>
        <w:t xml:space="preserve">ror of law, I would </w:t>
      </w:r>
      <w:r w:rsidR="00AD7D46">
        <w:rPr>
          <w:rFonts w:ascii="Book Antiqua" w:hAnsi="Book Antiqua" w:cs="Arial"/>
        </w:rPr>
        <w:t>not have set aside this decision</w:t>
      </w:r>
      <w:r>
        <w:rPr>
          <w:rFonts w:ascii="Book Antiqua" w:hAnsi="Book Antiqua" w:cs="Arial"/>
        </w:rPr>
        <w:t xml:space="preserve">. </w:t>
      </w:r>
      <w:r w:rsidR="00E2720F">
        <w:rPr>
          <w:rFonts w:ascii="Book Antiqua" w:hAnsi="Book Antiqua" w:cs="Arial"/>
        </w:rPr>
        <w:t xml:space="preserve">Read carefully and </w:t>
      </w:r>
      <w:r w:rsidR="00AD7D46">
        <w:rPr>
          <w:rFonts w:ascii="Book Antiqua" w:hAnsi="Book Antiqua" w:cs="Arial"/>
        </w:rPr>
        <w:t>holistically</w:t>
      </w:r>
      <w:r w:rsidR="00E2720F">
        <w:rPr>
          <w:rFonts w:ascii="Book Antiqua" w:hAnsi="Book Antiqua" w:cs="Arial"/>
        </w:rPr>
        <w:t>, the d</w:t>
      </w:r>
      <w:r>
        <w:rPr>
          <w:rFonts w:ascii="Book Antiqua" w:hAnsi="Book Antiqua" w:cs="Arial"/>
        </w:rPr>
        <w:t xml:space="preserve">ecision is robust and patently sound. </w:t>
      </w:r>
      <w:r w:rsidR="00E2720F">
        <w:rPr>
          <w:rFonts w:ascii="Book Antiqua" w:hAnsi="Book Antiqua" w:cs="Arial"/>
        </w:rPr>
        <w:t>I find it difficult to conceive of how the judge could have reached any other conclusion.  F</w:t>
      </w:r>
      <w:r w:rsidR="00AD7D46">
        <w:rPr>
          <w:rFonts w:ascii="Book Antiqua" w:hAnsi="Book Antiqua" w:cs="Arial"/>
        </w:rPr>
        <w:t xml:space="preserve">or all of those reasons I dismiss this appeal.    </w:t>
      </w:r>
    </w:p>
    <w:p w14:paraId="021CA791" w14:textId="77777777" w:rsidR="00E2720F" w:rsidRDefault="00E2720F" w:rsidP="00847259">
      <w:pPr>
        <w:jc w:val="both"/>
        <w:rPr>
          <w:rFonts w:ascii="Book Antiqua" w:hAnsi="Book Antiqua" w:cs="Arial"/>
        </w:rPr>
      </w:pPr>
    </w:p>
    <w:p w14:paraId="75073E9D" w14:textId="621F8037" w:rsidR="0070708E" w:rsidRDefault="0070708E" w:rsidP="00847259">
      <w:pPr>
        <w:jc w:val="both"/>
        <w:rPr>
          <w:rFonts w:ascii="Book Antiqua" w:hAnsi="Book Antiqua" w:cs="Arial"/>
          <w:b/>
          <w:u w:val="single"/>
        </w:rPr>
      </w:pPr>
      <w:r>
        <w:rPr>
          <w:rFonts w:ascii="Book Antiqua" w:hAnsi="Book Antiqua" w:cs="Arial"/>
          <w:b/>
          <w:u w:val="single"/>
        </w:rPr>
        <w:t>Notice of Decision</w:t>
      </w:r>
    </w:p>
    <w:p w14:paraId="6D86B869" w14:textId="73EBB944" w:rsidR="0070708E" w:rsidRDefault="0070708E" w:rsidP="0070708E">
      <w:pPr>
        <w:jc w:val="both"/>
        <w:rPr>
          <w:rFonts w:ascii="Book Antiqua" w:hAnsi="Book Antiqua" w:cs="Arial"/>
          <w:b/>
          <w:u w:val="single"/>
        </w:rPr>
      </w:pPr>
      <w:bookmarkStart w:id="0" w:name="_GoBack"/>
      <w:bookmarkEnd w:id="0"/>
    </w:p>
    <w:p w14:paraId="2A28C356" w14:textId="39070DF5" w:rsidR="0070708E" w:rsidRPr="0070708E" w:rsidRDefault="00D566B6" w:rsidP="0070708E">
      <w:pPr>
        <w:jc w:val="both"/>
        <w:rPr>
          <w:rFonts w:ascii="Book Antiqua" w:hAnsi="Book Antiqua" w:cs="Arial"/>
        </w:rPr>
      </w:pPr>
      <w:r>
        <w:rPr>
          <w:rFonts w:ascii="Book Antiqua" w:hAnsi="Book Antiqua" w:cs="Arial"/>
        </w:rPr>
        <w:t>Appeal dismissed</w:t>
      </w:r>
      <w:r w:rsidR="00254C79">
        <w:rPr>
          <w:rFonts w:ascii="Book Antiqua" w:hAnsi="Book Antiqua" w:cs="Arial"/>
        </w:rPr>
        <w:t>.</w:t>
      </w:r>
    </w:p>
    <w:p w14:paraId="1D62D7E7" w14:textId="77777777" w:rsidR="00847259" w:rsidRDefault="00847259" w:rsidP="00847259">
      <w:pPr>
        <w:jc w:val="both"/>
        <w:rPr>
          <w:rFonts w:ascii="Book Antiqua" w:hAnsi="Book Antiqua" w:cs="Arial"/>
        </w:rPr>
      </w:pPr>
    </w:p>
    <w:p w14:paraId="6E75B8A2" w14:textId="77777777" w:rsidR="00A509FA" w:rsidRPr="00AE6DDE" w:rsidRDefault="00A509FA" w:rsidP="00847259">
      <w:pPr>
        <w:jc w:val="both"/>
        <w:rPr>
          <w:rFonts w:ascii="Book Antiqua" w:hAnsi="Book Antiqua" w:cs="Arial"/>
        </w:rPr>
      </w:pPr>
    </w:p>
    <w:p w14:paraId="35391191" w14:textId="028339BE" w:rsidR="001F2716" w:rsidRPr="00AE6DDE" w:rsidRDefault="0070708E" w:rsidP="00847259">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i/>
        </w:rPr>
        <w:t>Mark Hill</w:t>
      </w:r>
      <w:r w:rsidR="00780F86" w:rsidRPr="00AE6DDE">
        <w:rPr>
          <w:rFonts w:ascii="Book Antiqua" w:hAnsi="Book Antiqua" w:cs="Arial"/>
        </w:rPr>
        <w:tab/>
      </w:r>
      <w:r w:rsidR="00780F86" w:rsidRPr="00AE6DDE">
        <w:rPr>
          <w:rFonts w:ascii="Book Antiqua" w:hAnsi="Book Antiqua" w:cs="Arial"/>
        </w:rPr>
        <w:tab/>
      </w:r>
      <w:r w:rsidR="00780F86" w:rsidRPr="00AE6DDE">
        <w:rPr>
          <w:rFonts w:ascii="Book Antiqua" w:hAnsi="Book Antiqua" w:cs="Arial"/>
        </w:rPr>
        <w:tab/>
      </w:r>
      <w:r w:rsidR="00780F86" w:rsidRPr="00AE6DDE">
        <w:rPr>
          <w:rFonts w:ascii="Book Antiqua" w:hAnsi="Book Antiqua" w:cs="Arial"/>
        </w:rPr>
        <w:tab/>
      </w:r>
      <w:r w:rsidR="001F2716" w:rsidRPr="00AE6DDE">
        <w:rPr>
          <w:rFonts w:ascii="Book Antiqua" w:hAnsi="Book Antiqua" w:cs="Arial"/>
        </w:rPr>
        <w:t>Date</w:t>
      </w:r>
      <w:r w:rsidR="00D566B6">
        <w:rPr>
          <w:rFonts w:ascii="Book Antiqua" w:hAnsi="Book Antiqua" w:cs="Arial"/>
        </w:rPr>
        <w:tab/>
      </w:r>
      <w:r w:rsidR="00D566B6">
        <w:rPr>
          <w:rFonts w:ascii="Book Antiqua" w:hAnsi="Book Antiqua" w:cs="Arial"/>
        </w:rPr>
        <w:tab/>
        <w:t>15</w:t>
      </w:r>
      <w:r>
        <w:rPr>
          <w:rFonts w:ascii="Book Antiqua" w:hAnsi="Book Antiqua" w:cs="Arial"/>
        </w:rPr>
        <w:t xml:space="preserve"> May 2018</w:t>
      </w:r>
    </w:p>
    <w:p w14:paraId="338DB06B" w14:textId="77777777" w:rsidR="001F2716" w:rsidRPr="00AE6DDE" w:rsidRDefault="001F2716" w:rsidP="00847259">
      <w:pPr>
        <w:jc w:val="both"/>
        <w:rPr>
          <w:rFonts w:ascii="Book Antiqua" w:hAnsi="Book Antiqua" w:cs="Arial"/>
        </w:rPr>
      </w:pPr>
    </w:p>
    <w:p w14:paraId="5DB5CC44" w14:textId="77777777" w:rsidR="0062078F" w:rsidRDefault="00347A9C" w:rsidP="00847259">
      <w:pPr>
        <w:jc w:val="both"/>
        <w:rPr>
          <w:rFonts w:ascii="Book Antiqua" w:hAnsi="Book Antiqua" w:cs="Arial"/>
          <w:color w:val="000000"/>
        </w:rPr>
      </w:pPr>
      <w:smartTag w:uri="urn:schemas-microsoft-com:office:smarttags" w:element="place">
        <w:smartTag w:uri="urn:schemas-microsoft-com:office:smarttags" w:element="City">
          <w:r>
            <w:rPr>
              <w:rFonts w:ascii="Book Antiqua" w:hAnsi="Book Antiqua" w:cs="Arial"/>
              <w:color w:val="000000"/>
            </w:rPr>
            <w:t xml:space="preserve">Deputy Upper Tribunal Judge </w:t>
          </w:r>
          <w:r w:rsidR="00143A28">
            <w:rPr>
              <w:rFonts w:ascii="Book Antiqua" w:hAnsi="Book Antiqua" w:cs="Arial"/>
              <w:color w:val="000000"/>
            </w:rPr>
            <w:t>Hill</w:t>
          </w:r>
        </w:smartTag>
        <w:r w:rsidR="00143A28">
          <w:rPr>
            <w:rFonts w:ascii="Book Antiqua" w:hAnsi="Book Antiqua" w:cs="Arial"/>
            <w:color w:val="000000"/>
          </w:rPr>
          <w:t xml:space="preserve"> </w:t>
        </w:r>
        <w:smartTag w:uri="urn:schemas-microsoft-com:office:smarttags" w:element="State">
          <w:r w:rsidR="00143A28">
            <w:rPr>
              <w:rFonts w:ascii="Book Antiqua" w:hAnsi="Book Antiqua" w:cs="Arial"/>
              <w:color w:val="000000"/>
            </w:rPr>
            <w:t>QC</w:t>
          </w:r>
        </w:smartTag>
      </w:smartTag>
      <w:r w:rsidR="005E761F">
        <w:rPr>
          <w:rFonts w:ascii="Book Antiqua" w:hAnsi="Book Antiqua" w:cs="Arial"/>
          <w:color w:val="000000"/>
        </w:rPr>
        <w:t xml:space="preserve"> </w:t>
      </w:r>
    </w:p>
    <w:p w14:paraId="226A2CEA" w14:textId="77777777" w:rsidR="00847259" w:rsidRDefault="00847259" w:rsidP="00847259">
      <w:pPr>
        <w:jc w:val="both"/>
        <w:rPr>
          <w:rFonts w:ascii="Book Antiqua" w:hAnsi="Book Antiqua" w:cs="Arial"/>
          <w:color w:val="000000"/>
        </w:rPr>
      </w:pPr>
    </w:p>
    <w:p w14:paraId="0F2FE044" w14:textId="77777777" w:rsidR="00B95326" w:rsidRPr="00AE6DDE" w:rsidRDefault="00B95326" w:rsidP="00402B9E">
      <w:pPr>
        <w:tabs>
          <w:tab w:val="left" w:pos="2520"/>
        </w:tabs>
        <w:ind w:left="540" w:hanging="540"/>
        <w:jc w:val="both"/>
        <w:rPr>
          <w:rFonts w:ascii="Book Antiqua" w:hAnsi="Book Antiqua" w:cs="Arial"/>
        </w:rPr>
      </w:pPr>
    </w:p>
    <w:sectPr w:rsidR="00B95326" w:rsidRPr="00AE6DDE"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E990C" w14:textId="77777777" w:rsidR="00DC7955" w:rsidRDefault="00DC7955">
      <w:r>
        <w:separator/>
      </w:r>
    </w:p>
  </w:endnote>
  <w:endnote w:type="continuationSeparator" w:id="0">
    <w:p w14:paraId="2A3C7E7E" w14:textId="77777777" w:rsidR="00DC7955" w:rsidRDefault="00DC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86B6" w14:textId="72A91377" w:rsidR="00DC7955" w:rsidRPr="00AE6DDE" w:rsidRDefault="00DC7955"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7C0B52">
      <w:rPr>
        <w:rStyle w:val="PageNumber"/>
        <w:rFonts w:ascii="Book Antiqua" w:hAnsi="Book Antiqua" w:cs="Arial"/>
        <w:noProof/>
        <w:sz w:val="16"/>
        <w:szCs w:val="16"/>
      </w:rPr>
      <w:t>5</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0C344" w14:textId="77777777" w:rsidR="00DC7955" w:rsidRPr="00AE6DDE" w:rsidRDefault="00DC7955"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6B81F" w14:textId="77777777" w:rsidR="00DC7955" w:rsidRDefault="00DC7955">
      <w:r>
        <w:separator/>
      </w:r>
    </w:p>
  </w:footnote>
  <w:footnote w:type="continuationSeparator" w:id="0">
    <w:p w14:paraId="26E12BC8" w14:textId="77777777" w:rsidR="00DC7955" w:rsidRDefault="00DC7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D4F9C" w14:textId="08801E95" w:rsidR="00DC7955" w:rsidRDefault="00DC7955"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s</w:t>
    </w:r>
    <w:r w:rsidRPr="00AE6DDE">
      <w:rPr>
        <w:rFonts w:ascii="Book Antiqua" w:hAnsi="Book Antiqua" w:cs="Arial"/>
        <w:sz w:val="16"/>
        <w:szCs w:val="16"/>
      </w:rPr>
      <w:t>:</w:t>
    </w:r>
    <w:r>
      <w:rPr>
        <w:rFonts w:ascii="Book Antiqua" w:hAnsi="Book Antiqua" w:cs="Arial"/>
        <w:sz w:val="16"/>
        <w:szCs w:val="16"/>
      </w:rPr>
      <w:t xml:space="preserve"> PA/02733/2017</w:t>
    </w:r>
  </w:p>
  <w:p w14:paraId="7E54058F" w14:textId="77777777" w:rsidR="00DC7955" w:rsidRPr="00AE6DDE" w:rsidRDefault="00DC7955" w:rsidP="00593795">
    <w:pPr>
      <w:pStyle w:val="Header"/>
      <w:jc w:val="right"/>
      <w:rPr>
        <w:rFonts w:ascii="Book Antiqua" w:hAnsi="Book Antiqua" w:cs="Arial"/>
        <w:sz w:val="16"/>
        <w:szCs w:val="16"/>
      </w:rPr>
    </w:pPr>
    <w:r>
      <w:rPr>
        <w:rFonts w:ascii="Book Antiqua" w:hAnsi="Book Antiqua" w:cs="Arial"/>
        <w:sz w:val="16"/>
        <w:szCs w:val="16"/>
      </w:rPr>
      <w:t>PA/02767/2017</w:t>
    </w:r>
    <w:r w:rsidRPr="00AE6DDE">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42DA" w14:textId="4FA39163" w:rsidR="00DC7955" w:rsidRPr="00AE6DDE" w:rsidRDefault="00DC7955">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F771F"/>
    <w:multiLevelType w:val="hybridMultilevel"/>
    <w:tmpl w:val="F1481F04"/>
    <w:lvl w:ilvl="0" w:tplc="7BC4A6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B05D8E"/>
    <w:multiLevelType w:val="hybridMultilevel"/>
    <w:tmpl w:val="8C3A035A"/>
    <w:lvl w:ilvl="0" w:tplc="57C45C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7A8"/>
    <w:rsid w:val="00000621"/>
    <w:rsid w:val="000036C2"/>
    <w:rsid w:val="00033D3D"/>
    <w:rsid w:val="00036302"/>
    <w:rsid w:val="00062F02"/>
    <w:rsid w:val="00071A7E"/>
    <w:rsid w:val="000746C0"/>
    <w:rsid w:val="00074D1D"/>
    <w:rsid w:val="00077976"/>
    <w:rsid w:val="00092580"/>
    <w:rsid w:val="00093D4D"/>
    <w:rsid w:val="000B245A"/>
    <w:rsid w:val="000B24F7"/>
    <w:rsid w:val="000C4CC2"/>
    <w:rsid w:val="000D5D94"/>
    <w:rsid w:val="000E18C9"/>
    <w:rsid w:val="000F1A0E"/>
    <w:rsid w:val="001156C7"/>
    <w:rsid w:val="001165A7"/>
    <w:rsid w:val="00140067"/>
    <w:rsid w:val="00143A28"/>
    <w:rsid w:val="00167D3A"/>
    <w:rsid w:val="00173946"/>
    <w:rsid w:val="00173A2D"/>
    <w:rsid w:val="001A3082"/>
    <w:rsid w:val="001B186A"/>
    <w:rsid w:val="001B2F75"/>
    <w:rsid w:val="001F2059"/>
    <w:rsid w:val="001F2716"/>
    <w:rsid w:val="00207617"/>
    <w:rsid w:val="00224D49"/>
    <w:rsid w:val="0023134B"/>
    <w:rsid w:val="002376E5"/>
    <w:rsid w:val="00252EB7"/>
    <w:rsid w:val="00253D70"/>
    <w:rsid w:val="00254C79"/>
    <w:rsid w:val="00254DBC"/>
    <w:rsid w:val="00283659"/>
    <w:rsid w:val="002947A8"/>
    <w:rsid w:val="002C6BD4"/>
    <w:rsid w:val="002D083B"/>
    <w:rsid w:val="002D68BF"/>
    <w:rsid w:val="002F6B98"/>
    <w:rsid w:val="00306E15"/>
    <w:rsid w:val="003133AE"/>
    <w:rsid w:val="003348A5"/>
    <w:rsid w:val="00336CBF"/>
    <w:rsid w:val="00343FE3"/>
    <w:rsid w:val="00347A9C"/>
    <w:rsid w:val="003546C8"/>
    <w:rsid w:val="00360529"/>
    <w:rsid w:val="003A0375"/>
    <w:rsid w:val="003A7CF2"/>
    <w:rsid w:val="003C5CE5"/>
    <w:rsid w:val="003D2099"/>
    <w:rsid w:val="003E267B"/>
    <w:rsid w:val="003E7CD1"/>
    <w:rsid w:val="003F4C61"/>
    <w:rsid w:val="00402B9E"/>
    <w:rsid w:val="004249CB"/>
    <w:rsid w:val="0044127D"/>
    <w:rsid w:val="004448DB"/>
    <w:rsid w:val="00446C9A"/>
    <w:rsid w:val="00447988"/>
    <w:rsid w:val="00452F2B"/>
    <w:rsid w:val="00471E3C"/>
    <w:rsid w:val="00477193"/>
    <w:rsid w:val="004A0254"/>
    <w:rsid w:val="004A1848"/>
    <w:rsid w:val="004A6F4A"/>
    <w:rsid w:val="004E1F64"/>
    <w:rsid w:val="004E4717"/>
    <w:rsid w:val="004F672C"/>
    <w:rsid w:val="0050388A"/>
    <w:rsid w:val="00507FEC"/>
    <w:rsid w:val="00510F0E"/>
    <w:rsid w:val="00523D00"/>
    <w:rsid w:val="005420FD"/>
    <w:rsid w:val="005473D4"/>
    <w:rsid w:val="005479E1"/>
    <w:rsid w:val="00553E0A"/>
    <w:rsid w:val="005570FD"/>
    <w:rsid w:val="005575EA"/>
    <w:rsid w:val="00563460"/>
    <w:rsid w:val="0057790C"/>
    <w:rsid w:val="00593795"/>
    <w:rsid w:val="00596130"/>
    <w:rsid w:val="005A75FF"/>
    <w:rsid w:val="005C2B9C"/>
    <w:rsid w:val="005D10AB"/>
    <w:rsid w:val="005E3B61"/>
    <w:rsid w:val="005E761F"/>
    <w:rsid w:val="00601D8F"/>
    <w:rsid w:val="0062078F"/>
    <w:rsid w:val="00653E97"/>
    <w:rsid w:val="00684A74"/>
    <w:rsid w:val="00690B8A"/>
    <w:rsid w:val="006B76D2"/>
    <w:rsid w:val="006C384F"/>
    <w:rsid w:val="006E011B"/>
    <w:rsid w:val="006E47C4"/>
    <w:rsid w:val="006F2CF1"/>
    <w:rsid w:val="00703184"/>
    <w:rsid w:val="007038ED"/>
    <w:rsid w:val="00703BC3"/>
    <w:rsid w:val="00704B61"/>
    <w:rsid w:val="0070708E"/>
    <w:rsid w:val="00742460"/>
    <w:rsid w:val="007552A9"/>
    <w:rsid w:val="00761858"/>
    <w:rsid w:val="00767D59"/>
    <w:rsid w:val="00776E97"/>
    <w:rsid w:val="00780F86"/>
    <w:rsid w:val="00786446"/>
    <w:rsid w:val="007912AD"/>
    <w:rsid w:val="007A0794"/>
    <w:rsid w:val="007A63E3"/>
    <w:rsid w:val="007B0824"/>
    <w:rsid w:val="007B5D3C"/>
    <w:rsid w:val="007C0B52"/>
    <w:rsid w:val="007D3BE4"/>
    <w:rsid w:val="007F2275"/>
    <w:rsid w:val="00821B72"/>
    <w:rsid w:val="00823EF2"/>
    <w:rsid w:val="00827025"/>
    <w:rsid w:val="008303B8"/>
    <w:rsid w:val="00833DCE"/>
    <w:rsid w:val="00840592"/>
    <w:rsid w:val="0084111B"/>
    <w:rsid w:val="008453BF"/>
    <w:rsid w:val="00847259"/>
    <w:rsid w:val="008478F6"/>
    <w:rsid w:val="00854534"/>
    <w:rsid w:val="00871D34"/>
    <w:rsid w:val="00874D45"/>
    <w:rsid w:val="008B270C"/>
    <w:rsid w:val="008B5078"/>
    <w:rsid w:val="008C2B5E"/>
    <w:rsid w:val="008C3D3D"/>
    <w:rsid w:val="008D0BCD"/>
    <w:rsid w:val="008D4131"/>
    <w:rsid w:val="008F1932"/>
    <w:rsid w:val="00921062"/>
    <w:rsid w:val="0092594E"/>
    <w:rsid w:val="0093659B"/>
    <w:rsid w:val="00942BEE"/>
    <w:rsid w:val="00947565"/>
    <w:rsid w:val="009722BC"/>
    <w:rsid w:val="009727A3"/>
    <w:rsid w:val="00984E64"/>
    <w:rsid w:val="00987774"/>
    <w:rsid w:val="009A11E8"/>
    <w:rsid w:val="009B443B"/>
    <w:rsid w:val="009B7BDF"/>
    <w:rsid w:val="009D1EA3"/>
    <w:rsid w:val="009F5220"/>
    <w:rsid w:val="009F6BAB"/>
    <w:rsid w:val="00A05855"/>
    <w:rsid w:val="00A15234"/>
    <w:rsid w:val="00A201AB"/>
    <w:rsid w:val="00A31C8B"/>
    <w:rsid w:val="00A509FA"/>
    <w:rsid w:val="00A5339B"/>
    <w:rsid w:val="00A57B5D"/>
    <w:rsid w:val="00A845DC"/>
    <w:rsid w:val="00A92942"/>
    <w:rsid w:val="00AB3A8F"/>
    <w:rsid w:val="00AD30EF"/>
    <w:rsid w:val="00AD5231"/>
    <w:rsid w:val="00AD7D46"/>
    <w:rsid w:val="00AE6DDE"/>
    <w:rsid w:val="00AE7D4D"/>
    <w:rsid w:val="00B26AA2"/>
    <w:rsid w:val="00B3524D"/>
    <w:rsid w:val="00B40F69"/>
    <w:rsid w:val="00B46616"/>
    <w:rsid w:val="00B474FB"/>
    <w:rsid w:val="00B55BD0"/>
    <w:rsid w:val="00B577A4"/>
    <w:rsid w:val="00B7040A"/>
    <w:rsid w:val="00B83391"/>
    <w:rsid w:val="00B8572A"/>
    <w:rsid w:val="00B87C01"/>
    <w:rsid w:val="00B95326"/>
    <w:rsid w:val="00BA3238"/>
    <w:rsid w:val="00BC31CE"/>
    <w:rsid w:val="00BD4196"/>
    <w:rsid w:val="00BE08D1"/>
    <w:rsid w:val="00BE6840"/>
    <w:rsid w:val="00BF22CA"/>
    <w:rsid w:val="00BF23BB"/>
    <w:rsid w:val="00C14CFB"/>
    <w:rsid w:val="00C26032"/>
    <w:rsid w:val="00C345E1"/>
    <w:rsid w:val="00C43BFD"/>
    <w:rsid w:val="00C520FF"/>
    <w:rsid w:val="00C53074"/>
    <w:rsid w:val="00C612EB"/>
    <w:rsid w:val="00CB6E35"/>
    <w:rsid w:val="00CD3634"/>
    <w:rsid w:val="00CD58CE"/>
    <w:rsid w:val="00CD59AC"/>
    <w:rsid w:val="00CE1A46"/>
    <w:rsid w:val="00D20757"/>
    <w:rsid w:val="00D22636"/>
    <w:rsid w:val="00D22EE3"/>
    <w:rsid w:val="00D36D7D"/>
    <w:rsid w:val="00D40DDC"/>
    <w:rsid w:val="00D40FD9"/>
    <w:rsid w:val="00D45631"/>
    <w:rsid w:val="00D53769"/>
    <w:rsid w:val="00D566B6"/>
    <w:rsid w:val="00D85C13"/>
    <w:rsid w:val="00D87AF7"/>
    <w:rsid w:val="00D9111A"/>
    <w:rsid w:val="00D91BE3"/>
    <w:rsid w:val="00D94AFC"/>
    <w:rsid w:val="00DB55A1"/>
    <w:rsid w:val="00DB70AE"/>
    <w:rsid w:val="00DC7955"/>
    <w:rsid w:val="00DD1BBC"/>
    <w:rsid w:val="00DD5071"/>
    <w:rsid w:val="00DD5C39"/>
    <w:rsid w:val="00DE3B4A"/>
    <w:rsid w:val="00DE7DB7"/>
    <w:rsid w:val="00DF09E9"/>
    <w:rsid w:val="00E00973"/>
    <w:rsid w:val="00E00A0A"/>
    <w:rsid w:val="00E066DE"/>
    <w:rsid w:val="00E07F57"/>
    <w:rsid w:val="00E2720F"/>
    <w:rsid w:val="00E30683"/>
    <w:rsid w:val="00E331F2"/>
    <w:rsid w:val="00E429B1"/>
    <w:rsid w:val="00E453D8"/>
    <w:rsid w:val="00E50BCE"/>
    <w:rsid w:val="00E574BF"/>
    <w:rsid w:val="00E61292"/>
    <w:rsid w:val="00E67616"/>
    <w:rsid w:val="00E77C4D"/>
    <w:rsid w:val="00E81D01"/>
    <w:rsid w:val="00E845A5"/>
    <w:rsid w:val="00EB2FA0"/>
    <w:rsid w:val="00EE45D8"/>
    <w:rsid w:val="00F0197F"/>
    <w:rsid w:val="00F22EDA"/>
    <w:rsid w:val="00F25779"/>
    <w:rsid w:val="00F46B60"/>
    <w:rsid w:val="00F731FB"/>
    <w:rsid w:val="00F74FA7"/>
    <w:rsid w:val="00FA174C"/>
    <w:rsid w:val="00FB0ECD"/>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8193"/>
    <o:shapelayout v:ext="edit">
      <o:idmap v:ext="edit" data="1"/>
    </o:shapelayout>
  </w:shapeDefaults>
  <w:decimalSymbol w:val="."/>
  <w:listSeparator w:val=","/>
  <w14:docId w14:val="1FB12F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0E1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1794</Words>
  <Characters>8944</Characters>
  <Application>Microsoft Office Word</Application>
  <DocSecurity>0</DocSecurity>
  <Lines>74</Lines>
  <Paragraphs>21</Paragraphs>
  <ScaleCrop>false</ScaleCrop>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2018-06-19T12:36:00Z</dcterms:created>
  <dcterms:modified xsi:type="dcterms:W3CDTF">2018-06-19T12:36:00Z</dcterms:modified>
</cp:coreProperties>
</file>