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EC85" w14:textId="5B556E9E" w:rsidR="0050388A" w:rsidRPr="00AE6DDE" w:rsidRDefault="00B777FD" w:rsidP="0050388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C97423D" wp14:editId="283D8649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4EE1" w14:textId="77777777" w:rsidR="0050388A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Upper Tribunal </w:t>
      </w:r>
    </w:p>
    <w:p w14:paraId="62AE0027" w14:textId="77777777" w:rsidR="007B0824" w:rsidRPr="000A66D1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>(Immigration and Asylum Chamber)</w:t>
      </w:r>
      <w:r w:rsidR="00DB70AE" w:rsidRPr="00AE6DDE">
        <w:rPr>
          <w:rFonts w:ascii="Book Antiqua" w:hAnsi="Book Antiqua" w:cs="Arial"/>
          <w:b/>
          <w:color w:val="000000"/>
        </w:rPr>
        <w:tab/>
      </w:r>
      <w:r w:rsidR="00B3524D" w:rsidRPr="00AE6DDE">
        <w:rPr>
          <w:rFonts w:ascii="Book Antiqua" w:hAnsi="Book Antiqua" w:cs="Arial"/>
          <w:color w:val="000000"/>
        </w:rPr>
        <w:t>Appeal Number</w:t>
      </w:r>
      <w:r w:rsidR="00D53769" w:rsidRPr="00AE6DDE">
        <w:rPr>
          <w:rFonts w:ascii="Book Antiqua" w:hAnsi="Book Antiqua" w:cs="Arial"/>
          <w:color w:val="000000"/>
        </w:rPr>
        <w:t>:</w:t>
      </w:r>
      <w:r w:rsidR="00B3524D" w:rsidRPr="00AE6DDE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0A66D1" w:rsidRPr="000A66D1">
        <w:rPr>
          <w:rFonts w:ascii="Book Antiqua" w:hAnsi="Book Antiqua" w:cs="Arial"/>
          <w:caps/>
          <w:color w:val="000000"/>
        </w:rPr>
        <w:t>PA/02734/2018</w:t>
      </w:r>
      <w:bookmarkEnd w:id="0"/>
    </w:p>
    <w:p w14:paraId="4848C018" w14:textId="77777777"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354E85B4" w14:textId="77777777" w:rsidR="00BC7CB0" w:rsidRDefault="00BC7CB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29FE3016" w14:textId="0764679E" w:rsidR="00C345E1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E6DDE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31E7D312" w14:textId="77777777" w:rsidR="00BC7CB0" w:rsidRPr="00AE6DDE" w:rsidRDefault="00BC7CB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17878DE4" w14:textId="77777777" w:rsidR="00C345E1" w:rsidRPr="00AE6DD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39"/>
        <w:gridCol w:w="3899"/>
      </w:tblGrid>
      <w:tr w:rsidR="00D22636" w:rsidRPr="007554C1" w14:paraId="55D75B44" w14:textId="77777777" w:rsidTr="007554C1">
        <w:tc>
          <w:tcPr>
            <w:tcW w:w="5868" w:type="dxa"/>
            <w:shd w:val="clear" w:color="auto" w:fill="auto"/>
          </w:tcPr>
          <w:p w14:paraId="465B2BC2" w14:textId="77777777" w:rsidR="00D22636" w:rsidRPr="007554C1" w:rsidRDefault="00D22636" w:rsidP="007554C1">
            <w:pPr>
              <w:jc w:val="both"/>
              <w:rPr>
                <w:rFonts w:ascii="Book Antiqua" w:hAnsi="Book Antiqua" w:cs="Arial"/>
                <w:b/>
              </w:rPr>
            </w:pPr>
            <w:r w:rsidRPr="007554C1">
              <w:rPr>
                <w:rFonts w:ascii="Book Antiqua" w:hAnsi="Book Antiqua" w:cs="Arial"/>
                <w:b/>
              </w:rPr>
              <w:t xml:space="preserve">Heard at </w:t>
            </w:r>
            <w:r w:rsidR="000A66D1" w:rsidRPr="007554C1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  <w:shd w:val="clear" w:color="auto" w:fill="auto"/>
          </w:tcPr>
          <w:p w14:paraId="32AA99B4" w14:textId="77777777" w:rsidR="00D22636" w:rsidRPr="007554C1" w:rsidRDefault="00847259" w:rsidP="007554C1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7554C1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7554C1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7554C1" w14:paraId="3EDF29AD" w14:textId="77777777" w:rsidTr="007554C1">
        <w:tc>
          <w:tcPr>
            <w:tcW w:w="5868" w:type="dxa"/>
            <w:shd w:val="clear" w:color="auto" w:fill="auto"/>
          </w:tcPr>
          <w:p w14:paraId="41D5277B" w14:textId="77777777" w:rsidR="00D22636" w:rsidRPr="007554C1" w:rsidRDefault="00D22636" w:rsidP="007554C1">
            <w:pPr>
              <w:jc w:val="both"/>
              <w:rPr>
                <w:rFonts w:ascii="Book Antiqua" w:hAnsi="Book Antiqua" w:cs="Arial"/>
                <w:b/>
              </w:rPr>
            </w:pPr>
            <w:r w:rsidRPr="007554C1">
              <w:rPr>
                <w:rFonts w:ascii="Book Antiqua" w:hAnsi="Book Antiqua" w:cs="Arial"/>
                <w:b/>
              </w:rPr>
              <w:t xml:space="preserve">On </w:t>
            </w:r>
            <w:r w:rsidR="000A66D1" w:rsidRPr="007554C1">
              <w:rPr>
                <w:rFonts w:ascii="Book Antiqua" w:hAnsi="Book Antiqua" w:cs="Arial"/>
                <w:b/>
              </w:rPr>
              <w:t xml:space="preserve">11 July 2018 </w:t>
            </w:r>
          </w:p>
        </w:tc>
        <w:tc>
          <w:tcPr>
            <w:tcW w:w="3960" w:type="dxa"/>
            <w:shd w:val="clear" w:color="auto" w:fill="auto"/>
          </w:tcPr>
          <w:p w14:paraId="2958631D" w14:textId="77777777" w:rsidR="00D22636" w:rsidRPr="007554C1" w:rsidRDefault="003D0C56" w:rsidP="007554C1">
            <w:pPr>
              <w:jc w:val="both"/>
              <w:rPr>
                <w:rFonts w:ascii="Book Antiqua" w:hAnsi="Book Antiqua" w:cs="Arial"/>
                <w:b/>
              </w:rPr>
            </w:pPr>
            <w:r w:rsidRPr="003D0C56">
              <w:rPr>
                <w:rFonts w:ascii="Book Antiqua" w:hAnsi="Book Antiqua" w:cs="Arial"/>
                <w:b/>
              </w:rPr>
              <w:t>On 14 August 2018</w:t>
            </w:r>
          </w:p>
        </w:tc>
      </w:tr>
      <w:tr w:rsidR="00D22636" w:rsidRPr="007554C1" w14:paraId="102D4B4A" w14:textId="77777777" w:rsidTr="007554C1">
        <w:tc>
          <w:tcPr>
            <w:tcW w:w="5868" w:type="dxa"/>
            <w:shd w:val="clear" w:color="auto" w:fill="auto"/>
          </w:tcPr>
          <w:p w14:paraId="124E9908" w14:textId="77777777" w:rsidR="00D22636" w:rsidRPr="007554C1" w:rsidRDefault="00D22636" w:rsidP="007554C1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6C5190CF" w14:textId="77777777" w:rsidR="00D22636" w:rsidRPr="007554C1" w:rsidRDefault="00D22636" w:rsidP="007554C1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34AE138D" w14:textId="77777777" w:rsidR="00A15234" w:rsidRPr="00AE6DDE" w:rsidRDefault="00A15234" w:rsidP="00A15234">
      <w:pPr>
        <w:jc w:val="center"/>
        <w:rPr>
          <w:rFonts w:ascii="Book Antiqua" w:hAnsi="Book Antiqua" w:cs="Arial"/>
        </w:rPr>
      </w:pPr>
    </w:p>
    <w:p w14:paraId="1530CE82" w14:textId="77777777" w:rsidR="00A15234" w:rsidRPr="00AE6DDE" w:rsidRDefault="00207617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Befo</w:t>
      </w:r>
      <w:r w:rsidR="00A15234" w:rsidRPr="00AE6DDE">
        <w:rPr>
          <w:rFonts w:ascii="Book Antiqua" w:hAnsi="Book Antiqua" w:cs="Arial"/>
          <w:b/>
        </w:rPr>
        <w:t>re</w:t>
      </w:r>
    </w:p>
    <w:p w14:paraId="0C6F133E" w14:textId="77777777" w:rsidR="00A15234" w:rsidRPr="00AE6DDE" w:rsidRDefault="00A15234" w:rsidP="00A15234">
      <w:pPr>
        <w:jc w:val="center"/>
        <w:rPr>
          <w:rFonts w:ascii="Book Antiqua" w:hAnsi="Book Antiqua" w:cs="Arial"/>
          <w:b/>
        </w:rPr>
      </w:pPr>
    </w:p>
    <w:p w14:paraId="1C41E5FA" w14:textId="77777777" w:rsidR="00D20757" w:rsidRDefault="00347A9C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F5449C">
        <w:rPr>
          <w:rFonts w:ascii="Book Antiqua" w:hAnsi="Book Antiqua" w:cs="Arial"/>
          <w:b/>
          <w:color w:val="000000"/>
        </w:rPr>
        <w:t>JUDGE</w:t>
      </w:r>
      <w:r>
        <w:rPr>
          <w:rFonts w:ascii="Book Antiqua" w:hAnsi="Book Antiqua" w:cs="Arial"/>
          <w:b/>
          <w:color w:val="000000"/>
        </w:rPr>
        <w:t xml:space="preserve"> I A LEWIS</w:t>
      </w:r>
    </w:p>
    <w:p w14:paraId="272060FE" w14:textId="77777777" w:rsidR="001B186A" w:rsidRPr="00AE6DDE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5059E97C" w14:textId="77777777" w:rsidR="00BC7CB0" w:rsidRDefault="00BC7CB0" w:rsidP="00A15234">
      <w:pPr>
        <w:jc w:val="center"/>
        <w:rPr>
          <w:rFonts w:ascii="Book Antiqua" w:hAnsi="Book Antiqua" w:cs="Arial"/>
          <w:b/>
        </w:rPr>
      </w:pPr>
    </w:p>
    <w:p w14:paraId="2035BA74" w14:textId="65D5A64E"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Between</w:t>
      </w:r>
    </w:p>
    <w:p w14:paraId="483EC73C" w14:textId="77777777"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14:paraId="2B6E337F" w14:textId="77777777" w:rsidR="00847259" w:rsidRPr="00AE6DDE" w:rsidRDefault="000A66D1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Secretary of State for the Home Department</w:t>
      </w:r>
    </w:p>
    <w:p w14:paraId="3DBA5BCA" w14:textId="77777777" w:rsidR="00704B61" w:rsidRPr="00AE6DDE" w:rsidRDefault="00F5449C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31602741" w14:textId="77777777" w:rsidR="00704B6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and</w:t>
      </w:r>
    </w:p>
    <w:p w14:paraId="50CEBE68" w14:textId="77777777"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</w:p>
    <w:p w14:paraId="266B74CC" w14:textId="77777777" w:rsidR="000A66D1" w:rsidRDefault="000A66D1" w:rsidP="000A66D1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e a y</w:t>
      </w:r>
    </w:p>
    <w:p w14:paraId="036C87DC" w14:textId="77777777" w:rsidR="00DD5071" w:rsidRPr="00BC7CB0" w:rsidRDefault="000A66D1" w:rsidP="000A66D1">
      <w:pPr>
        <w:jc w:val="center"/>
        <w:rPr>
          <w:rFonts w:ascii="Book Antiqua" w:hAnsi="Book Antiqua" w:cs="Arial"/>
          <w:b/>
          <w:sz w:val="22"/>
        </w:rPr>
      </w:pPr>
      <w:r w:rsidRPr="00BC7CB0">
        <w:rPr>
          <w:rFonts w:ascii="Book Antiqua" w:hAnsi="Book Antiqua" w:cs="Arial"/>
          <w:b/>
          <w:caps/>
          <w:sz w:val="22"/>
        </w:rPr>
        <w:t xml:space="preserve">(anonymity direction </w:t>
      </w:r>
      <w:r w:rsidR="00EF755E" w:rsidRPr="00BC7CB0">
        <w:rPr>
          <w:rFonts w:ascii="Book Antiqua" w:hAnsi="Book Antiqua" w:cs="Arial"/>
          <w:b/>
          <w:caps/>
          <w:sz w:val="22"/>
        </w:rPr>
        <w:t>MADE</w:t>
      </w:r>
      <w:r w:rsidRPr="00BC7CB0">
        <w:rPr>
          <w:rFonts w:ascii="Book Antiqua" w:hAnsi="Book Antiqua" w:cs="Arial"/>
          <w:b/>
          <w:caps/>
          <w:sz w:val="22"/>
        </w:rPr>
        <w:t>)</w:t>
      </w:r>
    </w:p>
    <w:p w14:paraId="75A4BCEA" w14:textId="77777777" w:rsidR="00DD5071" w:rsidRPr="00AE6DDE" w:rsidRDefault="00F5449C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4BF04D7A" w14:textId="7E3AE0B6" w:rsidR="00DD5071" w:rsidRDefault="00DD5071" w:rsidP="00DD5071">
      <w:pPr>
        <w:rPr>
          <w:rFonts w:ascii="Book Antiqua" w:hAnsi="Book Antiqua" w:cs="Arial"/>
          <w:u w:val="single"/>
        </w:rPr>
      </w:pPr>
    </w:p>
    <w:p w14:paraId="33CBA93E" w14:textId="77777777" w:rsidR="00BC7CB0" w:rsidRPr="00AE6DDE" w:rsidRDefault="00BC7CB0" w:rsidP="00DD5071">
      <w:pPr>
        <w:rPr>
          <w:rFonts w:ascii="Book Antiqua" w:hAnsi="Book Antiqua" w:cs="Arial"/>
          <w:u w:val="single"/>
        </w:rPr>
      </w:pPr>
    </w:p>
    <w:p w14:paraId="5CD90D85" w14:textId="77777777" w:rsidR="00DD5071" w:rsidRPr="00AE6DDE" w:rsidRDefault="00DE7DB7" w:rsidP="00DD5071">
      <w:pPr>
        <w:rPr>
          <w:rFonts w:ascii="Book Antiqua" w:hAnsi="Book Antiqua" w:cs="Arial"/>
        </w:rPr>
      </w:pPr>
      <w:r w:rsidRPr="00AE6DDE">
        <w:rPr>
          <w:rFonts w:ascii="Book Antiqua" w:hAnsi="Book Antiqua" w:cs="Arial"/>
          <w:b/>
          <w:u w:val="single"/>
        </w:rPr>
        <w:t>Representation</w:t>
      </w:r>
      <w:r w:rsidRPr="00AE6DDE">
        <w:rPr>
          <w:rFonts w:ascii="Book Antiqua" w:hAnsi="Book Antiqua" w:cs="Arial"/>
          <w:b/>
        </w:rPr>
        <w:t>:</w:t>
      </w:r>
    </w:p>
    <w:p w14:paraId="0DE89D1B" w14:textId="77777777"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F5449C">
        <w:rPr>
          <w:rFonts w:ascii="Book Antiqua" w:hAnsi="Book Antiqua" w:cs="Arial"/>
        </w:rPr>
        <w:t>Appellant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EF755E">
        <w:rPr>
          <w:rFonts w:ascii="Book Antiqua" w:hAnsi="Book Antiqua" w:cs="Arial"/>
        </w:rPr>
        <w:t>M</w:t>
      </w:r>
      <w:r w:rsidR="000A66D1">
        <w:rPr>
          <w:rFonts w:ascii="Book Antiqua" w:hAnsi="Book Antiqua" w:cs="Arial"/>
        </w:rPr>
        <w:t xml:space="preserve">s Z Ahmad, Home Office Presenting Officer </w:t>
      </w:r>
    </w:p>
    <w:p w14:paraId="2FDFDCF7" w14:textId="77777777" w:rsidR="000A66D1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F5449C">
        <w:rPr>
          <w:rFonts w:ascii="Book Antiqua" w:hAnsi="Book Antiqua" w:cs="Arial"/>
        </w:rPr>
        <w:t>Respondent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0A66D1">
        <w:rPr>
          <w:rFonts w:ascii="Book Antiqua" w:hAnsi="Book Antiqua" w:cs="Arial"/>
        </w:rPr>
        <w:t>Mr G Denholm</w:t>
      </w:r>
      <w:r w:rsidR="00EF755E">
        <w:rPr>
          <w:rFonts w:ascii="Book Antiqua" w:hAnsi="Book Antiqua" w:cs="Arial"/>
        </w:rPr>
        <w:t xml:space="preserve"> of</w:t>
      </w:r>
      <w:r w:rsidR="000A66D1">
        <w:rPr>
          <w:rFonts w:ascii="Book Antiqua" w:hAnsi="Book Antiqua" w:cs="Arial"/>
        </w:rPr>
        <w:t xml:space="preserve"> Counsel instructed by Ahmed Rahman </w:t>
      </w:r>
      <w:proofErr w:type="spellStart"/>
      <w:r w:rsidR="000A66D1">
        <w:rPr>
          <w:rFonts w:ascii="Book Antiqua" w:hAnsi="Book Antiqua" w:cs="Arial"/>
        </w:rPr>
        <w:t>Carr</w:t>
      </w:r>
      <w:proofErr w:type="spellEnd"/>
      <w:r w:rsidR="000A66D1">
        <w:rPr>
          <w:rFonts w:ascii="Book Antiqua" w:hAnsi="Book Antiqua" w:cs="Arial"/>
        </w:rPr>
        <w:t xml:space="preserve"> </w:t>
      </w:r>
    </w:p>
    <w:p w14:paraId="3A2CC680" w14:textId="77777777"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14:paraId="62C7DD03" w14:textId="77777777"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14:paraId="2876A4FE" w14:textId="77777777" w:rsidR="00402B9E" w:rsidRPr="00AE6DDE" w:rsidRDefault="00847259" w:rsidP="0084725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AE6DDE">
        <w:rPr>
          <w:rFonts w:ascii="Book Antiqua" w:hAnsi="Book Antiqua" w:cs="Arial"/>
          <w:b/>
          <w:u w:val="single"/>
        </w:rPr>
        <w:t xml:space="preserve"> AND REASONS</w:t>
      </w:r>
    </w:p>
    <w:p w14:paraId="6AA46323" w14:textId="77777777" w:rsidR="00402B9E" w:rsidRPr="00AE6DDE" w:rsidRDefault="00402B9E" w:rsidP="00847259">
      <w:pPr>
        <w:jc w:val="both"/>
        <w:rPr>
          <w:rFonts w:ascii="Book Antiqua" w:hAnsi="Book Antiqua" w:cs="Arial"/>
        </w:rPr>
      </w:pPr>
    </w:p>
    <w:p w14:paraId="73248FA8" w14:textId="4EB490F2" w:rsidR="00170542" w:rsidRPr="00170542" w:rsidRDefault="000A66D1" w:rsidP="00170542">
      <w:pPr>
        <w:pStyle w:val="ListParagraph"/>
        <w:numPr>
          <w:ilvl w:val="0"/>
          <w:numId w:val="2"/>
        </w:numPr>
        <w:jc w:val="both"/>
        <w:rPr>
          <w:rFonts w:ascii="Book Antiqua" w:hAnsi="Book Antiqua" w:cs="Arial"/>
        </w:rPr>
      </w:pPr>
      <w:r w:rsidRPr="0039370F">
        <w:rPr>
          <w:rFonts w:ascii="Book Antiqua" w:hAnsi="Book Antiqua" w:cs="Arial"/>
        </w:rPr>
        <w:t xml:space="preserve">This is an appeal against the decision of First-tier Tribunal </w:t>
      </w:r>
      <w:r w:rsidR="00F5449C" w:rsidRPr="0039370F">
        <w:rPr>
          <w:rFonts w:ascii="Book Antiqua" w:hAnsi="Book Antiqua" w:cs="Arial"/>
        </w:rPr>
        <w:t>Judge</w:t>
      </w:r>
      <w:r w:rsidRPr="0039370F">
        <w:rPr>
          <w:rFonts w:ascii="Book Antiqua" w:hAnsi="Book Antiqua" w:cs="Arial"/>
        </w:rPr>
        <w:t xml:space="preserve"> Clarke promulgated on 17 April 2018 in which she allowed the appeal </w:t>
      </w:r>
      <w:r w:rsidR="00EF755E" w:rsidRPr="0039370F">
        <w:rPr>
          <w:rFonts w:ascii="Book Antiqua" w:hAnsi="Book Antiqua" w:cs="Arial"/>
        </w:rPr>
        <w:t xml:space="preserve">of EAY </w:t>
      </w:r>
      <w:r w:rsidRPr="0039370F">
        <w:rPr>
          <w:rFonts w:ascii="Book Antiqua" w:hAnsi="Book Antiqua" w:cs="Arial"/>
        </w:rPr>
        <w:t xml:space="preserve">on protection grounds against a decision of the </w:t>
      </w:r>
      <w:r w:rsidR="00F5449C" w:rsidRPr="0039370F">
        <w:rPr>
          <w:rFonts w:ascii="Book Antiqua" w:hAnsi="Book Antiqua" w:cs="Arial"/>
        </w:rPr>
        <w:t>Respondent</w:t>
      </w:r>
      <w:r w:rsidRPr="0039370F">
        <w:rPr>
          <w:rFonts w:ascii="Book Antiqua" w:hAnsi="Book Antiqua" w:cs="Arial"/>
        </w:rPr>
        <w:t xml:space="preserve"> refusing asylum in the United Kingdom.</w:t>
      </w:r>
    </w:p>
    <w:p w14:paraId="17B51202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1880912C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174E128A" w14:textId="77777777" w:rsidR="00BF23BB" w:rsidRDefault="00EF755E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</w:r>
      <w:r w:rsidR="00F5449C">
        <w:rPr>
          <w:rFonts w:ascii="Book Antiqua" w:hAnsi="Book Antiqua" w:cs="Arial"/>
        </w:rPr>
        <w:t>Although</w:t>
      </w:r>
      <w:r w:rsidR="000A66D1">
        <w:rPr>
          <w:rFonts w:ascii="Book Antiqua" w:hAnsi="Book Antiqua" w:cs="Arial"/>
        </w:rPr>
        <w:t xml:space="preserve"> before me the Secretary of State for the Home Department is the </w:t>
      </w:r>
      <w:r>
        <w:rPr>
          <w:rFonts w:ascii="Book Antiqua" w:hAnsi="Book Antiqua" w:cs="Arial"/>
        </w:rPr>
        <w:t>a</w:t>
      </w:r>
      <w:r w:rsidR="00F5449C">
        <w:rPr>
          <w:rFonts w:ascii="Book Antiqua" w:hAnsi="Book Antiqua" w:cs="Arial"/>
        </w:rPr>
        <w:t>ppellant</w:t>
      </w:r>
      <w:r w:rsidR="000A66D1">
        <w:rPr>
          <w:rFonts w:ascii="Book Antiqua" w:hAnsi="Book Antiqua" w:cs="Arial"/>
        </w:rPr>
        <w:t xml:space="preserve"> and EAY is the </w:t>
      </w:r>
      <w:r>
        <w:rPr>
          <w:rFonts w:ascii="Book Antiqua" w:hAnsi="Book Antiqua" w:cs="Arial"/>
        </w:rPr>
        <w:t>r</w:t>
      </w:r>
      <w:r w:rsidR="00F5449C">
        <w:rPr>
          <w:rFonts w:ascii="Book Antiqua" w:hAnsi="Book Antiqua" w:cs="Arial"/>
        </w:rPr>
        <w:t>espondent</w:t>
      </w:r>
      <w:r w:rsidR="000A66D1">
        <w:rPr>
          <w:rFonts w:ascii="Book Antiqua" w:hAnsi="Book Antiqua" w:cs="Arial"/>
        </w:rPr>
        <w:t xml:space="preserve">, for the sake of consistency with the proceedings before the </w:t>
      </w:r>
      <w:r w:rsidR="000A66D1">
        <w:rPr>
          <w:rFonts w:ascii="Book Antiqua" w:hAnsi="Book Antiqua" w:cs="Arial"/>
        </w:rPr>
        <w:lastRenderedPageBreak/>
        <w:t>First-tier Tribunal I shall hereafter refe</w:t>
      </w:r>
      <w:r>
        <w:rPr>
          <w:rFonts w:ascii="Book Antiqua" w:hAnsi="Book Antiqua" w:cs="Arial"/>
        </w:rPr>
        <w:t xml:space="preserve">r to the Secretary of State as </w:t>
      </w:r>
      <w:r w:rsidR="000A66D1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Respondent</w:t>
      </w:r>
      <w:r>
        <w:rPr>
          <w:rFonts w:ascii="Book Antiqua" w:hAnsi="Book Antiqua" w:cs="Arial"/>
        </w:rPr>
        <w:t xml:space="preserve"> and EAY as </w:t>
      </w:r>
      <w:r w:rsidR="000A66D1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Appellant</w:t>
      </w:r>
      <w:r w:rsidR="000A66D1">
        <w:rPr>
          <w:rFonts w:ascii="Book Antiqua" w:hAnsi="Book Antiqua" w:cs="Arial"/>
        </w:rPr>
        <w:t xml:space="preserve">.  </w:t>
      </w:r>
    </w:p>
    <w:p w14:paraId="2929EB89" w14:textId="77777777" w:rsidR="000A66D1" w:rsidRDefault="000A66D1" w:rsidP="00847259">
      <w:pPr>
        <w:ind w:left="567" w:hanging="567"/>
        <w:jc w:val="both"/>
        <w:rPr>
          <w:rFonts w:ascii="Book Antiqua" w:hAnsi="Book Antiqua" w:cs="Arial"/>
        </w:rPr>
      </w:pPr>
    </w:p>
    <w:p w14:paraId="483DB179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01CE4C79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</w:t>
      </w:r>
      <w:r w:rsidR="000A66D1">
        <w:rPr>
          <w:rFonts w:ascii="Book Antiqua" w:hAnsi="Book Antiqua" w:cs="Arial"/>
        </w:rPr>
        <w:t>.</w:t>
      </w:r>
      <w:r w:rsidR="000A66D1">
        <w:rPr>
          <w:rFonts w:ascii="Book Antiqua" w:hAnsi="Book Antiqua" w:cs="Arial"/>
        </w:rPr>
        <w:tab/>
        <w:t xml:space="preserve">The </w:t>
      </w:r>
      <w:r w:rsidR="00F5449C">
        <w:rPr>
          <w:rFonts w:ascii="Book Antiqua" w:hAnsi="Book Antiqua" w:cs="Arial"/>
        </w:rPr>
        <w:t>Appellant</w:t>
      </w:r>
      <w:r w:rsidR="000A66D1">
        <w:rPr>
          <w:rFonts w:ascii="Book Antiqua" w:hAnsi="Book Antiqua" w:cs="Arial"/>
        </w:rPr>
        <w:t xml:space="preserve"> is a citizen of </w:t>
      </w:r>
      <w:smartTag w:uri="urn:schemas-microsoft-com:office:smarttags" w:element="place">
        <w:smartTag w:uri="urn:schemas-microsoft-com:office:smarttags" w:element="country-region">
          <w:r w:rsidR="000A66D1">
            <w:rPr>
              <w:rFonts w:ascii="Book Antiqua" w:hAnsi="Book Antiqua" w:cs="Arial"/>
            </w:rPr>
            <w:t>Turkey</w:t>
          </w:r>
        </w:smartTag>
      </w:smartTag>
      <w:r w:rsidR="000A66D1">
        <w:rPr>
          <w:rFonts w:ascii="Book Antiqua" w:hAnsi="Book Antiqua" w:cs="Arial"/>
        </w:rPr>
        <w:t xml:space="preserve">.  His personal details are a matter of record on file and are not repeated here in </w:t>
      </w:r>
      <w:r>
        <w:rPr>
          <w:rFonts w:ascii="Book Antiqua" w:hAnsi="Book Antiqua" w:cs="Arial"/>
        </w:rPr>
        <w:t>keeping</w:t>
      </w:r>
      <w:r w:rsidR="000A66D1">
        <w:rPr>
          <w:rFonts w:ascii="Book Antiqua" w:hAnsi="Book Antiqua" w:cs="Arial"/>
        </w:rPr>
        <w:t xml:space="preserve"> with the anonymity direction.  He originates from the </w:t>
      </w:r>
      <w:r w:rsidR="00F5449C">
        <w:rPr>
          <w:rFonts w:ascii="Book Antiqua" w:hAnsi="Book Antiqua" w:cs="Arial"/>
        </w:rPr>
        <w:t>town</w:t>
      </w:r>
      <w:r w:rsidR="000A66D1">
        <w:rPr>
          <w:rFonts w:ascii="Book Antiqua" w:hAnsi="Book Antiqua" w:cs="Arial"/>
        </w:rPr>
        <w:t xml:space="preserve"> of </w:t>
      </w:r>
      <w:proofErr w:type="spellStart"/>
      <w:smartTag w:uri="urn:schemas-microsoft-com:office:smarttags" w:element="City">
        <w:smartTag w:uri="urn:schemas-microsoft-com:office:smarttags" w:element="place">
          <w:r w:rsidR="000A66D1">
            <w:rPr>
              <w:rFonts w:ascii="Book Antiqua" w:hAnsi="Book Antiqua" w:cs="Arial"/>
            </w:rPr>
            <w:t>Afsin</w:t>
          </w:r>
        </w:smartTag>
      </w:smartTag>
      <w:proofErr w:type="spellEnd"/>
      <w:r w:rsidR="000A66D1">
        <w:rPr>
          <w:rFonts w:ascii="Book Antiqua" w:hAnsi="Book Antiqua" w:cs="Arial"/>
        </w:rPr>
        <w:t xml:space="preserve"> in </w:t>
      </w:r>
      <w:proofErr w:type="spellStart"/>
      <w:r w:rsidR="000A66D1">
        <w:rPr>
          <w:rFonts w:ascii="Book Antiqua" w:hAnsi="Book Antiqua" w:cs="Arial"/>
        </w:rPr>
        <w:t>Kahramanamaras</w:t>
      </w:r>
      <w:proofErr w:type="spellEnd"/>
      <w:r w:rsidR="000A66D1">
        <w:rPr>
          <w:rFonts w:ascii="Book Antiqua" w:hAnsi="Book Antiqua" w:cs="Arial"/>
        </w:rPr>
        <w:t xml:space="preserve"> province.  He claims to have left Turkey on 12 March 2016</w:t>
      </w:r>
      <w:r>
        <w:rPr>
          <w:rFonts w:ascii="Book Antiqua" w:hAnsi="Book Antiqua" w:cs="Arial"/>
        </w:rPr>
        <w:t>,</w:t>
      </w:r>
      <w:r w:rsidR="000A66D1">
        <w:rPr>
          <w:rFonts w:ascii="Book Antiqua" w:hAnsi="Book Antiqua" w:cs="Arial"/>
        </w:rPr>
        <w:t xml:space="preserve"> arriving in the UK on the same day.  He claimed asylum on arrival.  A screening interview was conducted on the same day</w:t>
      </w:r>
      <w:r>
        <w:rPr>
          <w:rFonts w:ascii="Book Antiqua" w:hAnsi="Book Antiqua" w:cs="Arial"/>
        </w:rPr>
        <w:t>,</w:t>
      </w:r>
      <w:r w:rsidR="000A66D1">
        <w:rPr>
          <w:rFonts w:ascii="Book Antiqua" w:hAnsi="Book Antiqua" w:cs="Arial"/>
        </w:rPr>
        <w:t xml:space="preserve"> and in due course a substantive asylum interview was also conducted.  The </w:t>
      </w:r>
      <w:r w:rsidR="00F5449C">
        <w:rPr>
          <w:rFonts w:ascii="Book Antiqua" w:hAnsi="Book Antiqua" w:cs="Arial"/>
        </w:rPr>
        <w:t>Respondent</w:t>
      </w:r>
      <w:r w:rsidR="000A66D1">
        <w:rPr>
          <w:rFonts w:ascii="Book Antiqua" w:hAnsi="Book Antiqua" w:cs="Arial"/>
        </w:rPr>
        <w:t xml:space="preserve"> </w:t>
      </w:r>
      <w:r w:rsidR="00F5449C">
        <w:rPr>
          <w:rFonts w:ascii="Book Antiqua" w:hAnsi="Book Antiqua" w:cs="Arial"/>
        </w:rPr>
        <w:t>refused</w:t>
      </w:r>
      <w:r w:rsidR="000A66D1">
        <w:rPr>
          <w:rFonts w:ascii="Book Antiqua" w:hAnsi="Book Antiqua" w:cs="Arial"/>
        </w:rPr>
        <w:t xml:space="preserve"> the </w:t>
      </w:r>
      <w:r w:rsidR="00F5449C">
        <w:rPr>
          <w:rFonts w:ascii="Book Antiqua" w:hAnsi="Book Antiqua" w:cs="Arial"/>
        </w:rPr>
        <w:t>Appellant</w:t>
      </w:r>
      <w:r w:rsidR="000A66D1">
        <w:rPr>
          <w:rFonts w:ascii="Book Antiqua" w:hAnsi="Book Antiqua" w:cs="Arial"/>
        </w:rPr>
        <w:t>’s claim for prote</w:t>
      </w:r>
      <w:r>
        <w:rPr>
          <w:rFonts w:ascii="Book Antiqua" w:hAnsi="Book Antiqua" w:cs="Arial"/>
        </w:rPr>
        <w:t>ction for reasons set out in a ‘r</w:t>
      </w:r>
      <w:r w:rsidR="000A66D1">
        <w:rPr>
          <w:rFonts w:ascii="Book Antiqua" w:hAnsi="Book Antiqua" w:cs="Arial"/>
        </w:rPr>
        <w:t xml:space="preserve">easons for </w:t>
      </w:r>
      <w:r>
        <w:rPr>
          <w:rFonts w:ascii="Book Antiqua" w:hAnsi="Book Antiqua" w:cs="Arial"/>
        </w:rPr>
        <w:t>r</w:t>
      </w:r>
      <w:r w:rsidR="000A66D1">
        <w:rPr>
          <w:rFonts w:ascii="Book Antiqua" w:hAnsi="Book Antiqua" w:cs="Arial"/>
        </w:rPr>
        <w:t>efusal</w:t>
      </w:r>
      <w:r>
        <w:rPr>
          <w:rFonts w:ascii="Book Antiqua" w:hAnsi="Book Antiqua" w:cs="Arial"/>
        </w:rPr>
        <w:t>’</w:t>
      </w:r>
      <w:r w:rsidR="000A66D1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l</w:t>
      </w:r>
      <w:r w:rsidR="000A66D1">
        <w:rPr>
          <w:rFonts w:ascii="Book Antiqua" w:hAnsi="Book Antiqua" w:cs="Arial"/>
        </w:rPr>
        <w:t>etter</w:t>
      </w:r>
      <w:r>
        <w:rPr>
          <w:rFonts w:ascii="Book Antiqua" w:hAnsi="Book Antiqua" w:cs="Arial"/>
        </w:rPr>
        <w:t xml:space="preserve"> (‘RFRL’) dated 12 February 2018.</w:t>
      </w:r>
    </w:p>
    <w:p w14:paraId="62586571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743895B0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39D37886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</w:r>
      <w:r w:rsidR="000A66D1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appealed to the IAC.</w:t>
      </w:r>
    </w:p>
    <w:p w14:paraId="00C382A0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6776F4B6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5996D9FC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>The</w:t>
      </w:r>
      <w:r w:rsidR="000A66D1">
        <w:rPr>
          <w:rFonts w:ascii="Book Antiqua" w:hAnsi="Book Antiqua" w:cs="Arial"/>
        </w:rPr>
        <w:t xml:space="preserve"> appeal was allowed for the reasons set out in the </w:t>
      </w:r>
      <w:r>
        <w:rPr>
          <w:rFonts w:ascii="Book Antiqua" w:hAnsi="Book Antiqua" w:cs="Arial"/>
        </w:rPr>
        <w:t>‘</w:t>
      </w:r>
      <w:r w:rsidR="000A66D1">
        <w:rPr>
          <w:rFonts w:ascii="Book Antiqua" w:hAnsi="Book Antiqua" w:cs="Arial"/>
        </w:rPr>
        <w:t>Decision and Reasons</w:t>
      </w:r>
      <w:r>
        <w:rPr>
          <w:rFonts w:ascii="Book Antiqua" w:hAnsi="Book Antiqua" w:cs="Arial"/>
        </w:rPr>
        <w:t>’</w:t>
      </w:r>
      <w:r w:rsidR="000A66D1">
        <w:rPr>
          <w:rFonts w:ascii="Book Antiqua" w:hAnsi="Book Antiqua" w:cs="Arial"/>
        </w:rPr>
        <w:t xml:space="preserve"> of </w:t>
      </w:r>
      <w:r w:rsidR="00F5449C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Clarke.</w:t>
      </w:r>
    </w:p>
    <w:p w14:paraId="0B35851F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1F40B14F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0FDEDC46" w14:textId="77777777" w:rsidR="003608E9" w:rsidRDefault="00EF755E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</w:r>
      <w:r w:rsidR="000A66D1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Respondent</w:t>
      </w:r>
      <w:r w:rsidR="000A66D1">
        <w:rPr>
          <w:rFonts w:ascii="Book Antiqua" w:hAnsi="Book Antiqua" w:cs="Arial"/>
        </w:rPr>
        <w:t xml:space="preserve"> sought permission to appeal to the Upper Tribunal</w:t>
      </w:r>
      <w:r>
        <w:rPr>
          <w:rFonts w:ascii="Book Antiqua" w:hAnsi="Book Antiqua" w:cs="Arial"/>
        </w:rPr>
        <w:t>,</w:t>
      </w:r>
      <w:r w:rsidR="000A66D1">
        <w:rPr>
          <w:rFonts w:ascii="Book Antiqua" w:hAnsi="Book Antiqua" w:cs="Arial"/>
        </w:rPr>
        <w:t xml:space="preserve"> which was granted by First-tier Tribunal </w:t>
      </w:r>
      <w:r w:rsidR="00F5449C">
        <w:rPr>
          <w:rFonts w:ascii="Book Antiqua" w:hAnsi="Book Antiqua" w:cs="Arial"/>
        </w:rPr>
        <w:t>Judge</w:t>
      </w:r>
      <w:r w:rsidR="000A66D1">
        <w:rPr>
          <w:rFonts w:ascii="Book Antiqua" w:hAnsi="Book Antiqua" w:cs="Arial"/>
        </w:rPr>
        <w:t xml:space="preserve"> Pickup on 8 </w:t>
      </w:r>
      <w:r w:rsidR="003608E9">
        <w:rPr>
          <w:rFonts w:ascii="Book Antiqua" w:hAnsi="Book Antiqua" w:cs="Arial"/>
        </w:rPr>
        <w:t xml:space="preserve">May 2018.  </w:t>
      </w:r>
    </w:p>
    <w:p w14:paraId="73B52239" w14:textId="77777777" w:rsidR="003608E9" w:rsidRDefault="003608E9" w:rsidP="00847259">
      <w:pPr>
        <w:ind w:left="567" w:hanging="567"/>
        <w:jc w:val="both"/>
        <w:rPr>
          <w:rFonts w:ascii="Book Antiqua" w:hAnsi="Book Antiqua" w:cs="Arial"/>
        </w:rPr>
      </w:pPr>
    </w:p>
    <w:p w14:paraId="06EED8C6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13FEE558" w14:textId="77777777" w:rsidR="000A66D1" w:rsidRDefault="00EF755E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</w:t>
      </w:r>
      <w:r w:rsidR="003608E9">
        <w:rPr>
          <w:rFonts w:ascii="Book Antiqua" w:hAnsi="Book Antiqua" w:cs="Arial"/>
        </w:rPr>
        <w:t>.</w:t>
      </w:r>
      <w:r w:rsidR="003608E9">
        <w:rPr>
          <w:rFonts w:ascii="Book Antiqua" w:hAnsi="Book Antiqua" w:cs="Arial"/>
        </w:rPr>
        <w:tab/>
        <w:t xml:space="preserve">I do not propose to rehearse the full details of the </w:t>
      </w:r>
      <w:r w:rsidR="00F5449C">
        <w:rPr>
          <w:rFonts w:ascii="Book Antiqua" w:hAnsi="Book Antiqua" w:cs="Arial"/>
        </w:rPr>
        <w:t>Appellant</w:t>
      </w:r>
      <w:r w:rsidR="003608E9">
        <w:rPr>
          <w:rFonts w:ascii="Book Antiqua" w:hAnsi="Book Antiqua" w:cs="Arial"/>
        </w:rPr>
        <w:t xml:space="preserve">’s asylum claim </w:t>
      </w:r>
      <w:r>
        <w:rPr>
          <w:rFonts w:ascii="Book Antiqua" w:hAnsi="Book Antiqua" w:cs="Arial"/>
        </w:rPr>
        <w:t xml:space="preserve">- </w:t>
      </w:r>
      <w:r w:rsidR="003608E9">
        <w:rPr>
          <w:rFonts w:ascii="Book Antiqua" w:hAnsi="Book Antiqua" w:cs="Arial"/>
        </w:rPr>
        <w:t>which are a matter of record and are set out both in the R</w:t>
      </w:r>
      <w:r>
        <w:rPr>
          <w:rFonts w:ascii="Book Antiqua" w:hAnsi="Book Antiqua" w:cs="Arial"/>
        </w:rPr>
        <w:t>FRL</w:t>
      </w:r>
      <w:r w:rsidR="003608E9">
        <w:rPr>
          <w:rFonts w:ascii="Book Antiqua" w:hAnsi="Book Antiqua" w:cs="Arial"/>
        </w:rPr>
        <w:t xml:space="preserve"> and the </w:t>
      </w:r>
      <w:r>
        <w:rPr>
          <w:rFonts w:ascii="Book Antiqua" w:hAnsi="Book Antiqua" w:cs="Arial"/>
        </w:rPr>
        <w:t>D</w:t>
      </w:r>
      <w:r w:rsidR="003608E9">
        <w:rPr>
          <w:rFonts w:ascii="Book Antiqua" w:hAnsi="Book Antiqua" w:cs="Arial"/>
        </w:rPr>
        <w:t xml:space="preserve">ecision of the First-tier Tribunal.  I will refer to such matters as is incidental for the purposes of this </w:t>
      </w:r>
      <w:r>
        <w:rPr>
          <w:rFonts w:ascii="Book Antiqua" w:hAnsi="Book Antiqua" w:cs="Arial"/>
        </w:rPr>
        <w:t>document</w:t>
      </w:r>
      <w:r w:rsidR="003608E9">
        <w:rPr>
          <w:rFonts w:ascii="Book Antiqua" w:hAnsi="Book Antiqua" w:cs="Arial"/>
        </w:rPr>
        <w:t xml:space="preserve">.  </w:t>
      </w:r>
    </w:p>
    <w:p w14:paraId="34B12A66" w14:textId="77777777" w:rsidR="003608E9" w:rsidRDefault="003608E9" w:rsidP="00847259">
      <w:pPr>
        <w:ind w:left="567" w:hanging="567"/>
        <w:jc w:val="both"/>
        <w:rPr>
          <w:rFonts w:ascii="Book Antiqua" w:hAnsi="Book Antiqua" w:cs="Arial"/>
        </w:rPr>
      </w:pPr>
    </w:p>
    <w:p w14:paraId="0BB46532" w14:textId="77777777" w:rsidR="00EF755E" w:rsidRDefault="00EF755E" w:rsidP="00847259">
      <w:pPr>
        <w:ind w:left="567" w:hanging="567"/>
        <w:jc w:val="both"/>
        <w:rPr>
          <w:rFonts w:ascii="Book Antiqua" w:hAnsi="Book Antiqua" w:cs="Arial"/>
        </w:rPr>
      </w:pPr>
    </w:p>
    <w:p w14:paraId="229AF659" w14:textId="77777777" w:rsidR="003608E9" w:rsidRDefault="00EF755E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</w:t>
      </w:r>
      <w:r w:rsidR="003608E9">
        <w:rPr>
          <w:rFonts w:ascii="Book Antiqua" w:hAnsi="Book Antiqua" w:cs="Arial"/>
        </w:rPr>
        <w:t>.</w:t>
      </w:r>
      <w:r w:rsidR="003608E9">
        <w:rPr>
          <w:rFonts w:ascii="Book Antiqua" w:hAnsi="Book Antiqua" w:cs="Arial"/>
        </w:rPr>
        <w:tab/>
        <w:t xml:space="preserve">The </w:t>
      </w:r>
      <w:r w:rsidR="00F5449C">
        <w:rPr>
          <w:rFonts w:ascii="Book Antiqua" w:hAnsi="Book Antiqua" w:cs="Arial"/>
        </w:rPr>
        <w:t>Respondent</w:t>
      </w:r>
      <w:r w:rsidR="003608E9">
        <w:rPr>
          <w:rFonts w:ascii="Book Antiqua" w:hAnsi="Book Antiqua" w:cs="Arial"/>
        </w:rPr>
        <w:t>’s grounds of challenge</w:t>
      </w:r>
      <w:r w:rsidR="00183C8D">
        <w:rPr>
          <w:rFonts w:ascii="Book Antiqua" w:hAnsi="Book Antiqua" w:cs="Arial"/>
        </w:rPr>
        <w:t xml:space="preserve"> – which assert “</w:t>
      </w:r>
      <w:r w:rsidR="00183C8D" w:rsidRPr="00183C8D">
        <w:rPr>
          <w:rFonts w:ascii="Book Antiqua" w:hAnsi="Book Antiqua" w:cs="Arial"/>
          <w:i/>
        </w:rPr>
        <w:t>a material misdirection of law</w:t>
      </w:r>
      <w:r w:rsidR="00183C8D">
        <w:rPr>
          <w:rFonts w:ascii="Book Antiqua" w:hAnsi="Book Antiqua" w:cs="Arial"/>
        </w:rPr>
        <w:t>” -</w:t>
      </w:r>
      <w:r>
        <w:rPr>
          <w:rFonts w:ascii="Book Antiqua" w:hAnsi="Book Antiqua" w:cs="Arial"/>
        </w:rPr>
        <w:t xml:space="preserve"> are,</w:t>
      </w:r>
      <w:r w:rsidR="003608E9">
        <w:rPr>
          <w:rFonts w:ascii="Book Antiqua" w:hAnsi="Book Antiqua" w:cs="Arial"/>
        </w:rPr>
        <w:t xml:space="preserve"> so far as </w:t>
      </w:r>
      <w:r>
        <w:rPr>
          <w:rFonts w:ascii="Book Antiqua" w:hAnsi="Book Antiqua" w:cs="Arial"/>
        </w:rPr>
        <w:t>is</w:t>
      </w:r>
      <w:r w:rsidR="003608E9">
        <w:rPr>
          <w:rFonts w:ascii="Book Antiqua" w:hAnsi="Book Antiqua" w:cs="Arial"/>
        </w:rPr>
        <w:t xml:space="preserve"> material</w:t>
      </w:r>
      <w:r>
        <w:rPr>
          <w:rFonts w:ascii="Book Antiqua" w:hAnsi="Book Antiqua" w:cs="Arial"/>
        </w:rPr>
        <w:t>,</w:t>
      </w:r>
      <w:r w:rsidR="003608E9">
        <w:rPr>
          <w:rFonts w:ascii="Book Antiqua" w:hAnsi="Book Antiqua" w:cs="Arial"/>
        </w:rPr>
        <w:t xml:space="preserve"> in the following terms:-</w:t>
      </w:r>
    </w:p>
    <w:p w14:paraId="2DE97D3D" w14:textId="77777777" w:rsidR="003608E9" w:rsidRDefault="003608E9" w:rsidP="00847259">
      <w:pPr>
        <w:ind w:left="567" w:hanging="567"/>
        <w:jc w:val="both"/>
        <w:rPr>
          <w:rFonts w:ascii="Book Antiqua" w:hAnsi="Book Antiqua" w:cs="Arial"/>
        </w:rPr>
      </w:pPr>
    </w:p>
    <w:p w14:paraId="71765CE2" w14:textId="77777777" w:rsidR="003608E9" w:rsidRPr="000B66BA" w:rsidRDefault="003608E9" w:rsidP="003608E9">
      <w:pPr>
        <w:ind w:left="1701" w:hanging="567"/>
        <w:jc w:val="both"/>
        <w:rPr>
          <w:rFonts w:ascii="Book Antiqua" w:hAnsi="Book Antiqua" w:cs="Arial"/>
          <w:i/>
        </w:rPr>
      </w:pPr>
      <w:r>
        <w:rPr>
          <w:rFonts w:ascii="Book Antiqua" w:hAnsi="Book Antiqua" w:cs="Arial"/>
        </w:rPr>
        <w:t>“</w:t>
      </w:r>
      <w:r w:rsidRPr="000B66BA">
        <w:rPr>
          <w:rFonts w:ascii="Book Antiqua" w:hAnsi="Book Antiqua" w:cs="Arial"/>
          <w:i/>
        </w:rPr>
        <w:t>3.</w:t>
      </w:r>
      <w:r w:rsidRPr="000B66BA">
        <w:rPr>
          <w:rFonts w:ascii="Book Antiqua" w:hAnsi="Book Antiqua" w:cs="Arial"/>
          <w:i/>
        </w:rPr>
        <w:tab/>
        <w:t xml:space="preserve">The </w:t>
      </w:r>
      <w:r w:rsidR="00F5449C">
        <w:rPr>
          <w:rFonts w:ascii="Book Antiqua" w:hAnsi="Book Antiqua" w:cs="Arial"/>
          <w:i/>
        </w:rPr>
        <w:t>Judge</w:t>
      </w:r>
      <w:r w:rsidRPr="000B66BA">
        <w:rPr>
          <w:rFonts w:ascii="Book Antiqua" w:hAnsi="Book Antiqua" w:cs="Arial"/>
          <w:i/>
        </w:rPr>
        <w:t xml:space="preserve"> found that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faces ill-treatment in his home area.  This is based upon </w:t>
      </w:r>
      <w:r w:rsidR="00183C8D">
        <w:rPr>
          <w:rFonts w:ascii="Book Antiqua" w:hAnsi="Book Antiqua" w:cs="Arial"/>
          <w:i/>
        </w:rPr>
        <w:t>his</w:t>
      </w:r>
      <w:r w:rsidRPr="000B66BA">
        <w:rPr>
          <w:rFonts w:ascii="Book Antiqua" w:hAnsi="Book Antiqua" w:cs="Arial"/>
          <w:i/>
        </w:rPr>
        <w:t xml:space="preserve"> alleged history of detentions.  However, it is respectfully submitted that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is not wanted by the authorities in his home area.  At its highest,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’s evidence shows that he has to report to the police.  It is submitted that this is not a persecutory act and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does not suffer ill-treatment as a result of it.  That being so, he does not face persecution.</w:t>
      </w:r>
    </w:p>
    <w:p w14:paraId="64D62E21" w14:textId="77777777" w:rsidR="003608E9" w:rsidRPr="000B66BA" w:rsidRDefault="003608E9" w:rsidP="003608E9">
      <w:pPr>
        <w:ind w:left="1701" w:hanging="567"/>
        <w:jc w:val="both"/>
        <w:rPr>
          <w:rFonts w:ascii="Book Antiqua" w:hAnsi="Book Antiqua" w:cs="Arial"/>
          <w:i/>
        </w:rPr>
      </w:pPr>
    </w:p>
    <w:p w14:paraId="07B494B7" w14:textId="77777777" w:rsidR="003608E9" w:rsidRDefault="003608E9" w:rsidP="003608E9">
      <w:pPr>
        <w:ind w:left="1701" w:hanging="567"/>
        <w:jc w:val="both"/>
        <w:rPr>
          <w:rFonts w:ascii="Book Antiqua" w:hAnsi="Book Antiqua" w:cs="Arial"/>
        </w:rPr>
      </w:pPr>
      <w:r w:rsidRPr="000B66BA">
        <w:rPr>
          <w:rFonts w:ascii="Book Antiqua" w:hAnsi="Book Antiqua" w:cs="Arial"/>
          <w:i/>
        </w:rPr>
        <w:t>4.</w:t>
      </w:r>
      <w:r w:rsidRPr="000B66BA">
        <w:rPr>
          <w:rFonts w:ascii="Book Antiqua" w:hAnsi="Book Antiqua" w:cs="Arial"/>
          <w:i/>
        </w:rPr>
        <w:tab/>
        <w:t xml:space="preserve">In the alternative, it is </w:t>
      </w:r>
      <w:r w:rsidR="00F5449C" w:rsidRPr="000B66BA">
        <w:rPr>
          <w:rFonts w:ascii="Book Antiqua" w:hAnsi="Book Antiqua" w:cs="Arial"/>
          <w:i/>
        </w:rPr>
        <w:t>respectfully</w:t>
      </w:r>
      <w:r w:rsidRPr="000B66BA">
        <w:rPr>
          <w:rFonts w:ascii="Book Antiqua" w:hAnsi="Book Antiqua" w:cs="Arial"/>
          <w:i/>
        </w:rPr>
        <w:t xml:space="preserve"> submitted that the </w:t>
      </w:r>
      <w:r w:rsidR="00F5449C">
        <w:rPr>
          <w:rFonts w:ascii="Book Antiqua" w:hAnsi="Book Antiqua" w:cs="Arial"/>
          <w:i/>
        </w:rPr>
        <w:t>Judge</w:t>
      </w:r>
      <w:r w:rsidRPr="000B66BA">
        <w:rPr>
          <w:rFonts w:ascii="Book Antiqua" w:hAnsi="Book Antiqua" w:cs="Arial"/>
          <w:i/>
        </w:rPr>
        <w:t xml:space="preserve"> has failed to consider internal relocation. 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has relatives in </w:t>
      </w:r>
      <w:smartTag w:uri="urn:schemas-microsoft-com:office:smarttags" w:element="place">
        <w:smartTag w:uri="urn:schemas-microsoft-com:office:smarttags" w:element="City">
          <w:r w:rsidRPr="000B66BA">
            <w:rPr>
              <w:rFonts w:ascii="Book Antiqua" w:hAnsi="Book Antiqua" w:cs="Arial"/>
              <w:i/>
            </w:rPr>
            <w:t>Istanbul</w:t>
          </w:r>
        </w:smartTag>
      </w:smartTag>
      <w:r w:rsidRPr="000B66BA">
        <w:rPr>
          <w:rFonts w:ascii="Book Antiqua" w:hAnsi="Book Antiqua" w:cs="Arial"/>
          <w:i/>
        </w:rPr>
        <w:t xml:space="preserve">, almost 1000 km from his home area.  The </w:t>
      </w:r>
      <w:r w:rsidR="00F5449C">
        <w:rPr>
          <w:rFonts w:ascii="Book Antiqua" w:hAnsi="Book Antiqua" w:cs="Arial"/>
          <w:i/>
        </w:rPr>
        <w:t>Judge</w:t>
      </w:r>
      <w:r w:rsidRPr="000B66BA">
        <w:rPr>
          <w:rFonts w:ascii="Book Antiqua" w:hAnsi="Book Antiqua" w:cs="Arial"/>
          <w:i/>
        </w:rPr>
        <w:t xml:space="preserve"> has not explained why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could not stay with them or rebuild his life with them.  There is no indication that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is wanted in </w:t>
      </w:r>
      <w:smartTag w:uri="urn:schemas-microsoft-com:office:smarttags" w:element="place">
        <w:smartTag w:uri="urn:schemas-microsoft-com:office:smarttags" w:element="City">
          <w:r w:rsidRPr="000B66BA">
            <w:rPr>
              <w:rFonts w:ascii="Book Antiqua" w:hAnsi="Book Antiqua" w:cs="Arial"/>
              <w:i/>
            </w:rPr>
            <w:t>Istanbul</w:t>
          </w:r>
        </w:smartTag>
      </w:smartTag>
      <w:r w:rsidRPr="000B66BA">
        <w:rPr>
          <w:rFonts w:ascii="Book Antiqua" w:hAnsi="Book Antiqua" w:cs="Arial"/>
          <w:i/>
        </w:rPr>
        <w:t xml:space="preserve">.  Indeed, the only evidence provided by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was that he was of interest to the authorities in his local area.  Even if he was reporting to </w:t>
      </w:r>
      <w:r w:rsidRPr="000B66BA">
        <w:rPr>
          <w:rFonts w:ascii="Book Antiqua" w:hAnsi="Book Antiqua" w:cs="Arial"/>
          <w:i/>
        </w:rPr>
        <w:lastRenderedPageBreak/>
        <w:t xml:space="preserve">the authorities, this was a local rather than national initiative. 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could quite easily live in </w:t>
      </w:r>
      <w:smartTag w:uri="urn:schemas-microsoft-com:office:smarttags" w:element="place">
        <w:smartTag w:uri="urn:schemas-microsoft-com:office:smarttags" w:element="City">
          <w:r w:rsidRPr="000B66BA">
            <w:rPr>
              <w:rFonts w:ascii="Book Antiqua" w:hAnsi="Book Antiqua" w:cs="Arial"/>
              <w:i/>
            </w:rPr>
            <w:t>Istanbul</w:t>
          </w:r>
        </w:smartTag>
      </w:smartTag>
      <w:r w:rsidRPr="000B66BA">
        <w:rPr>
          <w:rFonts w:ascii="Book Antiqua" w:hAnsi="Book Antiqua" w:cs="Arial"/>
          <w:i/>
        </w:rPr>
        <w:t>.</w:t>
      </w:r>
      <w:r w:rsidR="000B66BA">
        <w:rPr>
          <w:rFonts w:ascii="Book Antiqua" w:hAnsi="Book Antiqua" w:cs="Arial"/>
        </w:rPr>
        <w:t>”</w:t>
      </w:r>
    </w:p>
    <w:p w14:paraId="35B9D319" w14:textId="77777777" w:rsidR="003608E9" w:rsidRDefault="003608E9" w:rsidP="00847259">
      <w:pPr>
        <w:ind w:left="567" w:hanging="567"/>
        <w:jc w:val="both"/>
        <w:rPr>
          <w:rFonts w:ascii="Book Antiqua" w:hAnsi="Book Antiqua" w:cs="Arial"/>
        </w:rPr>
      </w:pPr>
    </w:p>
    <w:p w14:paraId="34E43CC6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</w:p>
    <w:p w14:paraId="32FC57D7" w14:textId="77777777" w:rsidR="003608E9" w:rsidRDefault="00183C8D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</w:t>
      </w:r>
      <w:r w:rsidR="003608E9">
        <w:rPr>
          <w:rFonts w:ascii="Book Antiqua" w:hAnsi="Book Antiqua" w:cs="Arial"/>
        </w:rPr>
        <w:t>.</w:t>
      </w:r>
      <w:r w:rsidR="003608E9">
        <w:rPr>
          <w:rFonts w:ascii="Book Antiqua" w:hAnsi="Book Antiqua" w:cs="Arial"/>
        </w:rPr>
        <w:tab/>
      </w:r>
      <w:r w:rsidR="000B66BA">
        <w:rPr>
          <w:rFonts w:ascii="Book Antiqua" w:hAnsi="Book Antiqua" w:cs="Arial"/>
        </w:rPr>
        <w:t xml:space="preserve">In granting </w:t>
      </w:r>
      <w:r w:rsidR="00F5449C">
        <w:rPr>
          <w:rFonts w:ascii="Book Antiqua" w:hAnsi="Book Antiqua" w:cs="Arial"/>
        </w:rPr>
        <w:t>permission</w:t>
      </w:r>
      <w:r w:rsidR="000B66BA">
        <w:rPr>
          <w:rFonts w:ascii="Book Antiqua" w:hAnsi="Book Antiqua" w:cs="Arial"/>
        </w:rPr>
        <w:t xml:space="preserve"> to appeal </w:t>
      </w:r>
      <w:r w:rsidR="00F5449C">
        <w:rPr>
          <w:rFonts w:ascii="Book Antiqua" w:hAnsi="Book Antiqua" w:cs="Arial"/>
        </w:rPr>
        <w:t>Judge</w:t>
      </w:r>
      <w:r w:rsidR="000B66BA">
        <w:rPr>
          <w:rFonts w:ascii="Book Antiqua" w:hAnsi="Book Antiqua" w:cs="Arial"/>
        </w:rPr>
        <w:t xml:space="preserve"> Pickup </w:t>
      </w:r>
      <w:r>
        <w:rPr>
          <w:rFonts w:ascii="Book Antiqua" w:hAnsi="Book Antiqua" w:cs="Arial"/>
        </w:rPr>
        <w:t>stated:</w:t>
      </w:r>
    </w:p>
    <w:p w14:paraId="15C299C4" w14:textId="77777777" w:rsidR="000B66BA" w:rsidRDefault="000B66BA" w:rsidP="00847259">
      <w:pPr>
        <w:ind w:left="567" w:hanging="567"/>
        <w:jc w:val="both"/>
        <w:rPr>
          <w:rFonts w:ascii="Book Antiqua" w:hAnsi="Book Antiqua" w:cs="Arial"/>
        </w:rPr>
      </w:pPr>
    </w:p>
    <w:p w14:paraId="6591B2B1" w14:textId="77777777" w:rsidR="000B66BA" w:rsidRDefault="000B66BA" w:rsidP="000B66BA">
      <w:pPr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 w:rsidRPr="000B66BA">
        <w:rPr>
          <w:rFonts w:ascii="Book Antiqua" w:hAnsi="Book Antiqua" w:cs="Arial"/>
          <w:i/>
        </w:rPr>
        <w:t xml:space="preserve">It is arguable that the </w:t>
      </w:r>
      <w:r w:rsidR="00F5449C">
        <w:rPr>
          <w:rFonts w:ascii="Book Antiqua" w:hAnsi="Book Antiqua" w:cs="Arial"/>
          <w:i/>
        </w:rPr>
        <w:t>Judge</w:t>
      </w:r>
      <w:r w:rsidRPr="000B66BA">
        <w:rPr>
          <w:rFonts w:ascii="Book Antiqua" w:hAnsi="Book Antiqua" w:cs="Arial"/>
          <w:i/>
        </w:rPr>
        <w:t xml:space="preserve"> erred in law by failing to adequately explain why the </w:t>
      </w:r>
      <w:r w:rsidR="00F5449C">
        <w:rPr>
          <w:rFonts w:ascii="Book Antiqua" w:hAnsi="Book Antiqua" w:cs="Arial"/>
          <w:i/>
        </w:rPr>
        <w:t>Appellant</w:t>
      </w:r>
      <w:r w:rsidRPr="000B66BA">
        <w:rPr>
          <w:rFonts w:ascii="Book Antiqua" w:hAnsi="Book Antiqua" w:cs="Arial"/>
          <w:i/>
        </w:rPr>
        <w:t xml:space="preserve"> would be at risk on return, given the evidence that he is not wanted by the authorities and at the most has to report to a police station.  Further, it is arguable that the </w:t>
      </w:r>
      <w:r w:rsidR="00F5449C">
        <w:rPr>
          <w:rFonts w:ascii="Book Antiqua" w:hAnsi="Book Antiqua" w:cs="Arial"/>
          <w:i/>
        </w:rPr>
        <w:t>Judge</w:t>
      </w:r>
      <w:r w:rsidRPr="000B66BA">
        <w:rPr>
          <w:rFonts w:ascii="Book Antiqua" w:hAnsi="Book Antiqua" w:cs="Arial"/>
          <w:i/>
        </w:rPr>
        <w:t xml:space="preserve"> omitted to consider internal relocation, given that the only interest in him was in his local area.</w:t>
      </w:r>
      <w:r>
        <w:rPr>
          <w:rFonts w:ascii="Book Antiqua" w:hAnsi="Book Antiqua" w:cs="Arial"/>
        </w:rPr>
        <w:t>”</w:t>
      </w:r>
    </w:p>
    <w:p w14:paraId="21811CE0" w14:textId="77777777" w:rsidR="000B66BA" w:rsidRDefault="000B66BA" w:rsidP="00847259">
      <w:pPr>
        <w:ind w:left="567" w:hanging="567"/>
        <w:jc w:val="both"/>
        <w:rPr>
          <w:rFonts w:ascii="Book Antiqua" w:hAnsi="Book Antiqua" w:cs="Arial"/>
        </w:rPr>
      </w:pPr>
    </w:p>
    <w:p w14:paraId="713D786A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</w:p>
    <w:p w14:paraId="5E417FCE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</w:t>
      </w:r>
      <w:r w:rsidR="000B66BA">
        <w:rPr>
          <w:rFonts w:ascii="Book Antiqua" w:hAnsi="Book Antiqua" w:cs="Arial"/>
        </w:rPr>
        <w:t>.</w:t>
      </w:r>
      <w:r w:rsidR="000B66BA">
        <w:rPr>
          <w:rFonts w:ascii="Book Antiqua" w:hAnsi="Book Antiqua" w:cs="Arial"/>
        </w:rPr>
        <w:tab/>
        <w:t xml:space="preserve">In my </w:t>
      </w:r>
      <w:r w:rsidR="004A6E63">
        <w:rPr>
          <w:rFonts w:ascii="Book Antiqua" w:hAnsi="Book Antiqua" w:cs="Arial"/>
        </w:rPr>
        <w:t>j</w:t>
      </w:r>
      <w:r w:rsidR="00F5449C">
        <w:rPr>
          <w:rFonts w:ascii="Book Antiqua" w:hAnsi="Book Antiqua" w:cs="Arial"/>
        </w:rPr>
        <w:t>udge</w:t>
      </w:r>
      <w:r w:rsidR="000B66BA">
        <w:rPr>
          <w:rFonts w:ascii="Book Antiqua" w:hAnsi="Book Antiqua" w:cs="Arial"/>
        </w:rPr>
        <w:t xml:space="preserve">ment the grounds </w:t>
      </w:r>
      <w:r>
        <w:rPr>
          <w:rFonts w:ascii="Book Antiqua" w:hAnsi="Book Antiqua" w:cs="Arial"/>
        </w:rPr>
        <w:t>of challenge are not made out.</w:t>
      </w:r>
    </w:p>
    <w:p w14:paraId="11D0E113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</w:p>
    <w:p w14:paraId="15574436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</w:p>
    <w:p w14:paraId="4FE088D5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11.</w:t>
      </w:r>
      <w:r>
        <w:rPr>
          <w:rFonts w:ascii="Book Antiqua" w:hAnsi="Book Antiqua" w:cs="Arial"/>
        </w:rPr>
        <w:tab/>
      </w:r>
      <w:r w:rsidR="000B66BA">
        <w:rPr>
          <w:rFonts w:ascii="Book Antiqua" w:hAnsi="Book Antiqua" w:cs="Arial"/>
        </w:rPr>
        <w:t xml:space="preserve">The First-tier Tribunal </w:t>
      </w:r>
      <w:r w:rsidR="00F5449C">
        <w:rPr>
          <w:rFonts w:ascii="Book Antiqua" w:hAnsi="Book Antiqua" w:cs="Arial"/>
        </w:rPr>
        <w:t>Judge</w:t>
      </w:r>
      <w:r w:rsidR="000B66BA">
        <w:rPr>
          <w:rFonts w:ascii="Book Antiqua" w:hAnsi="Book Antiqua" w:cs="Arial"/>
        </w:rPr>
        <w:t xml:space="preserve"> has adequately explained the nature of the risk on return</w:t>
      </w:r>
      <w:r>
        <w:rPr>
          <w:rFonts w:ascii="Book Antiqua" w:hAnsi="Book Antiqua" w:cs="Arial"/>
        </w:rPr>
        <w:t>,</w:t>
      </w:r>
      <w:r w:rsidR="000B66BA">
        <w:rPr>
          <w:rFonts w:ascii="Book Antiqua" w:hAnsi="Book Antiqua" w:cs="Arial"/>
        </w:rPr>
        <w:t xml:space="preserve"> and </w:t>
      </w:r>
      <w:r>
        <w:rPr>
          <w:rFonts w:ascii="Book Antiqua" w:hAnsi="Book Antiqua" w:cs="Arial"/>
        </w:rPr>
        <w:t xml:space="preserve">has </w:t>
      </w:r>
      <w:r w:rsidR="000B66BA">
        <w:rPr>
          <w:rFonts w:ascii="Book Antiqua" w:hAnsi="Book Antiqua" w:cs="Arial"/>
        </w:rPr>
        <w:t xml:space="preserve">thereby identified </w:t>
      </w:r>
      <w:r>
        <w:rPr>
          <w:rFonts w:ascii="Book Antiqua" w:hAnsi="Book Antiqua" w:cs="Arial"/>
        </w:rPr>
        <w:t xml:space="preserve">the manner in which she found </w:t>
      </w:r>
      <w:r w:rsidR="000B66BA">
        <w:rPr>
          <w:rFonts w:ascii="Book Antiqua" w:hAnsi="Book Antiqua" w:cs="Arial"/>
        </w:rPr>
        <w:t xml:space="preserve">the Refugee Convention </w:t>
      </w:r>
      <w:r>
        <w:rPr>
          <w:rFonts w:ascii="Book Antiqua" w:hAnsi="Book Antiqua" w:cs="Arial"/>
        </w:rPr>
        <w:t>to be engaged.</w:t>
      </w:r>
    </w:p>
    <w:p w14:paraId="73EE3C93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</w:p>
    <w:p w14:paraId="1596D482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</w:p>
    <w:p w14:paraId="56633181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12.</w:t>
      </w:r>
      <w:r>
        <w:rPr>
          <w:rFonts w:ascii="Book Antiqua" w:hAnsi="Book Antiqua" w:cs="Arial"/>
        </w:rPr>
        <w:tab/>
      </w:r>
      <w:r w:rsidR="000B66BA">
        <w:rPr>
          <w:rFonts w:ascii="Book Antiqua" w:hAnsi="Book Antiqua" w:cs="Arial"/>
        </w:rPr>
        <w:t xml:space="preserve">I note in </w:t>
      </w:r>
      <w:r w:rsidR="00F5449C">
        <w:rPr>
          <w:rFonts w:ascii="Book Antiqua" w:hAnsi="Book Antiqua" w:cs="Arial"/>
        </w:rPr>
        <w:t>particular</w:t>
      </w:r>
      <w:r w:rsidR="000B66BA">
        <w:rPr>
          <w:rFonts w:ascii="Book Antiqua" w:hAnsi="Book Antiqua" w:cs="Arial"/>
        </w:rPr>
        <w:t xml:space="preserve"> the following features from the First-tier Tribunal </w:t>
      </w:r>
      <w:r w:rsidR="00F5449C">
        <w:rPr>
          <w:rFonts w:ascii="Book Antiqua" w:hAnsi="Book Antiqua" w:cs="Arial"/>
        </w:rPr>
        <w:t>Judge</w:t>
      </w:r>
      <w:r w:rsidR="000B66BA">
        <w:rPr>
          <w:rFonts w:ascii="Book Antiqua" w:hAnsi="Book Antiqua" w:cs="Arial"/>
        </w:rPr>
        <w:t>’s findings</w:t>
      </w:r>
      <w:r>
        <w:rPr>
          <w:rFonts w:ascii="Book Antiqua" w:hAnsi="Book Antiqua" w:cs="Arial"/>
        </w:rPr>
        <w:t xml:space="preserve">: </w:t>
      </w:r>
    </w:p>
    <w:p w14:paraId="366EF722" w14:textId="77777777" w:rsidR="00183C8D" w:rsidRDefault="00183C8D" w:rsidP="00847259">
      <w:pPr>
        <w:ind w:left="567" w:hanging="567"/>
        <w:jc w:val="both"/>
        <w:rPr>
          <w:rFonts w:ascii="Book Antiqua" w:hAnsi="Book Antiqua" w:cs="Arial"/>
        </w:rPr>
      </w:pPr>
    </w:p>
    <w:p w14:paraId="5A0BA1F3" w14:textId="77777777" w:rsidR="00183C8D" w:rsidRDefault="00716D25" w:rsidP="00183C8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</w:t>
      </w:r>
      <w:proofErr w:type="spellStart"/>
      <w:r>
        <w:rPr>
          <w:rFonts w:ascii="Book Antiqua" w:hAnsi="Book Antiqua" w:cs="Arial"/>
        </w:rPr>
        <w:t>i</w:t>
      </w:r>
      <w:proofErr w:type="spellEnd"/>
      <w:r>
        <w:rPr>
          <w:rFonts w:ascii="Book Antiqua" w:hAnsi="Book Antiqua" w:cs="Arial"/>
        </w:rPr>
        <w:t xml:space="preserve">) </w:t>
      </w:r>
      <w:r w:rsidR="000B66BA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Appellant</w:t>
      </w:r>
      <w:r w:rsidR="000B66BA">
        <w:rPr>
          <w:rFonts w:ascii="Book Antiqua" w:hAnsi="Book Antiqua" w:cs="Arial"/>
        </w:rPr>
        <w:t xml:space="preserve"> was detained and ill-treated</w:t>
      </w:r>
      <w:r w:rsidR="00183C8D">
        <w:rPr>
          <w:rFonts w:ascii="Book Antiqua" w:hAnsi="Book Antiqua" w:cs="Arial"/>
        </w:rPr>
        <w:t xml:space="preserve"> in Turkey on three occasions.</w:t>
      </w:r>
    </w:p>
    <w:p w14:paraId="0B50D5E0" w14:textId="77777777" w:rsidR="00183C8D" w:rsidRDefault="00183C8D" w:rsidP="00183C8D">
      <w:pPr>
        <w:ind w:left="567"/>
        <w:jc w:val="both"/>
        <w:rPr>
          <w:rFonts w:ascii="Book Antiqua" w:hAnsi="Book Antiqua" w:cs="Arial"/>
        </w:rPr>
      </w:pPr>
    </w:p>
    <w:p w14:paraId="3729A9BF" w14:textId="77777777" w:rsidR="00183C8D" w:rsidRDefault="00716D25" w:rsidP="00183C8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(ii) </w:t>
      </w:r>
      <w:r w:rsidR="00183C8D">
        <w:rPr>
          <w:rFonts w:ascii="Book Antiqua" w:hAnsi="Book Antiqua" w:cs="Arial"/>
        </w:rPr>
        <w:t>The Judge characterised the Appellant’s treatment o</w:t>
      </w:r>
      <w:r w:rsidR="000B66BA">
        <w:rPr>
          <w:rFonts w:ascii="Book Antiqua" w:hAnsi="Book Antiqua" w:cs="Arial"/>
        </w:rPr>
        <w:t>n the most recent occasion</w:t>
      </w:r>
      <w:r w:rsidR="00183C8D">
        <w:rPr>
          <w:rFonts w:ascii="Book Antiqua" w:hAnsi="Book Antiqua" w:cs="Arial"/>
        </w:rPr>
        <w:t>,</w:t>
      </w:r>
      <w:r w:rsidR="000B66BA">
        <w:rPr>
          <w:rFonts w:ascii="Book Antiqua" w:hAnsi="Book Antiqua" w:cs="Arial"/>
        </w:rPr>
        <w:t xml:space="preserve"> in </w:t>
      </w:r>
      <w:r w:rsidR="00FB35B6">
        <w:rPr>
          <w:rFonts w:ascii="Book Antiqua" w:hAnsi="Book Antiqua" w:cs="Arial"/>
        </w:rPr>
        <w:t>December 2015</w:t>
      </w:r>
      <w:r w:rsidR="00183C8D">
        <w:rPr>
          <w:rFonts w:ascii="Book Antiqua" w:hAnsi="Book Antiqua" w:cs="Arial"/>
        </w:rPr>
        <w:t>,</w:t>
      </w:r>
      <w:r w:rsidR="00FB35B6">
        <w:rPr>
          <w:rFonts w:ascii="Book Antiqua" w:hAnsi="Book Antiqua" w:cs="Arial"/>
        </w:rPr>
        <w:t xml:space="preserve"> as “</w:t>
      </w:r>
      <w:r w:rsidR="00FB35B6" w:rsidRPr="00FB35B6">
        <w:rPr>
          <w:rFonts w:ascii="Book Antiqua" w:hAnsi="Book Antiqua" w:cs="Arial"/>
          <w:i/>
        </w:rPr>
        <w:t xml:space="preserve">egregious </w:t>
      </w:r>
      <w:r w:rsidR="00F5449C" w:rsidRPr="00FB35B6">
        <w:rPr>
          <w:rFonts w:ascii="Book Antiqua" w:hAnsi="Book Antiqua" w:cs="Arial"/>
          <w:i/>
        </w:rPr>
        <w:t>torture</w:t>
      </w:r>
      <w:r w:rsidR="00183C8D">
        <w:rPr>
          <w:rFonts w:ascii="Book Antiqua" w:hAnsi="Book Antiqua" w:cs="Arial"/>
        </w:rPr>
        <w:t>” (paragraph 12).</w:t>
      </w:r>
    </w:p>
    <w:p w14:paraId="5461E724" w14:textId="77777777" w:rsidR="00183C8D" w:rsidRDefault="00183C8D" w:rsidP="00183C8D">
      <w:pPr>
        <w:ind w:left="567"/>
        <w:jc w:val="both"/>
        <w:rPr>
          <w:rFonts w:ascii="Book Antiqua" w:hAnsi="Book Antiqua" w:cs="Arial"/>
        </w:rPr>
      </w:pPr>
    </w:p>
    <w:p w14:paraId="4AED395A" w14:textId="77777777" w:rsidR="00183C8D" w:rsidRDefault="00716D25" w:rsidP="00183C8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(iii) </w:t>
      </w:r>
      <w:r w:rsidR="00FB35B6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Appellant</w:t>
      </w:r>
      <w:r w:rsidR="00FB35B6">
        <w:rPr>
          <w:rFonts w:ascii="Book Antiqua" w:hAnsi="Book Antiqua" w:cs="Arial"/>
        </w:rPr>
        <w:t xml:space="preserve"> was released </w:t>
      </w:r>
      <w:r w:rsidR="00183C8D">
        <w:rPr>
          <w:rFonts w:ascii="Book Antiqua" w:hAnsi="Book Antiqua" w:cs="Arial"/>
        </w:rPr>
        <w:t xml:space="preserve">from detention </w:t>
      </w:r>
      <w:r w:rsidR="00FB35B6">
        <w:rPr>
          <w:rFonts w:ascii="Book Antiqua" w:hAnsi="Book Antiqua" w:cs="Arial"/>
        </w:rPr>
        <w:t>on th</w:t>
      </w:r>
      <w:r w:rsidR="00183C8D">
        <w:rPr>
          <w:rFonts w:ascii="Book Antiqua" w:hAnsi="Book Antiqua" w:cs="Arial"/>
        </w:rPr>
        <w:t>is last</w:t>
      </w:r>
      <w:r w:rsidR="00FB35B6">
        <w:rPr>
          <w:rFonts w:ascii="Book Antiqua" w:hAnsi="Book Antiqua" w:cs="Arial"/>
        </w:rPr>
        <w:t xml:space="preserve"> occasion with</w:t>
      </w:r>
      <w:r w:rsidR="00183C8D">
        <w:rPr>
          <w:rFonts w:ascii="Book Antiqua" w:hAnsi="Book Antiqua" w:cs="Arial"/>
        </w:rPr>
        <w:t xml:space="preserve"> a</w:t>
      </w:r>
      <w:r w:rsidR="00FB35B6">
        <w:rPr>
          <w:rFonts w:ascii="Book Antiqua" w:hAnsi="Book Antiqua" w:cs="Arial"/>
        </w:rPr>
        <w:t xml:space="preserve"> conditions that he should report to the authorities.  He was also told that he would be expected to act as an informer.  The </w:t>
      </w:r>
      <w:r w:rsidR="00F5449C">
        <w:rPr>
          <w:rFonts w:ascii="Book Antiqua" w:hAnsi="Book Antiqua" w:cs="Arial"/>
        </w:rPr>
        <w:t>Judge</w:t>
      </w:r>
      <w:r w:rsidR="00FB35B6">
        <w:rPr>
          <w:rFonts w:ascii="Book Antiqua" w:hAnsi="Book Antiqua" w:cs="Arial"/>
        </w:rPr>
        <w:t xml:space="preserve"> </w:t>
      </w:r>
      <w:r w:rsidR="00F5449C">
        <w:rPr>
          <w:rFonts w:ascii="Book Antiqua" w:hAnsi="Book Antiqua" w:cs="Arial"/>
        </w:rPr>
        <w:t>concluded</w:t>
      </w:r>
      <w:r w:rsidR="00FB35B6">
        <w:rPr>
          <w:rFonts w:ascii="Book Antiqua" w:hAnsi="Book Antiqua" w:cs="Arial"/>
        </w:rPr>
        <w:t xml:space="preserve"> that this </w:t>
      </w:r>
      <w:r w:rsidR="00F5449C">
        <w:rPr>
          <w:rFonts w:ascii="Book Antiqua" w:hAnsi="Book Antiqua" w:cs="Arial"/>
        </w:rPr>
        <w:t>demonstrated</w:t>
      </w:r>
      <w:r w:rsidR="00FB35B6">
        <w:rPr>
          <w:rFonts w:ascii="Book Antiqua" w:hAnsi="Book Antiqua" w:cs="Arial"/>
        </w:rPr>
        <w:t xml:space="preserve"> an ongoing interest in the </w:t>
      </w:r>
      <w:r w:rsidR="00F5449C">
        <w:rPr>
          <w:rFonts w:ascii="Book Antiqua" w:hAnsi="Book Antiqua" w:cs="Arial"/>
        </w:rPr>
        <w:t>Appellant</w:t>
      </w:r>
      <w:r w:rsidR="00183C8D">
        <w:rPr>
          <w:rFonts w:ascii="Book Antiqua" w:hAnsi="Book Antiqua" w:cs="Arial"/>
        </w:rPr>
        <w:t xml:space="preserve">, </w:t>
      </w:r>
      <w:r w:rsidR="00FB35B6">
        <w:rPr>
          <w:rFonts w:ascii="Book Antiqua" w:hAnsi="Book Antiqua" w:cs="Arial"/>
        </w:rPr>
        <w:t>and also that the authorities suspected him to be a separatist</w:t>
      </w:r>
      <w:r w:rsidR="00183C8D">
        <w:rPr>
          <w:rFonts w:ascii="Book Antiqua" w:hAnsi="Book Antiqua" w:cs="Arial"/>
        </w:rPr>
        <w:t xml:space="preserve"> (paragraph 12).</w:t>
      </w:r>
    </w:p>
    <w:p w14:paraId="09BE1368" w14:textId="77777777" w:rsidR="00183C8D" w:rsidRDefault="00183C8D" w:rsidP="00183C8D">
      <w:pPr>
        <w:ind w:left="567"/>
        <w:jc w:val="both"/>
        <w:rPr>
          <w:rFonts w:ascii="Book Antiqua" w:hAnsi="Book Antiqua" w:cs="Arial"/>
        </w:rPr>
      </w:pPr>
    </w:p>
    <w:p w14:paraId="5BFB2ADC" w14:textId="77777777" w:rsidR="00183C8D" w:rsidRDefault="00716D25" w:rsidP="00183C8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(iv) </w:t>
      </w:r>
      <w:r w:rsidR="00FB35B6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Judge</w:t>
      </w:r>
      <w:r w:rsidR="00FB35B6">
        <w:rPr>
          <w:rFonts w:ascii="Book Antiqua" w:hAnsi="Book Antiqua" w:cs="Arial"/>
        </w:rPr>
        <w:t xml:space="preserve"> found that the </w:t>
      </w:r>
      <w:r w:rsidR="00F5449C">
        <w:rPr>
          <w:rFonts w:ascii="Book Antiqua" w:hAnsi="Book Antiqua" w:cs="Arial"/>
        </w:rPr>
        <w:t>Appellant</w:t>
      </w:r>
      <w:r w:rsidR="00FB35B6">
        <w:rPr>
          <w:rFonts w:ascii="Book Antiqua" w:hAnsi="Book Antiqua" w:cs="Arial"/>
        </w:rPr>
        <w:t xml:space="preserve"> had </w:t>
      </w:r>
      <w:r w:rsidR="00F5449C">
        <w:rPr>
          <w:rFonts w:ascii="Book Antiqua" w:hAnsi="Book Antiqua" w:cs="Arial"/>
        </w:rPr>
        <w:t>breached</w:t>
      </w:r>
      <w:r w:rsidR="00FB35B6">
        <w:rPr>
          <w:rFonts w:ascii="Book Antiqua" w:hAnsi="Book Antiqua" w:cs="Arial"/>
        </w:rPr>
        <w:t xml:space="preserve"> the requirement to continue reporting to the authorities by h</w:t>
      </w:r>
      <w:r w:rsidR="00183C8D">
        <w:rPr>
          <w:rFonts w:ascii="Book Antiqua" w:hAnsi="Book Antiqua" w:cs="Arial"/>
        </w:rPr>
        <w:t>is action in departing Turkey.</w:t>
      </w:r>
    </w:p>
    <w:p w14:paraId="4DA82EF6" w14:textId="77777777" w:rsidR="00183C8D" w:rsidRDefault="00183C8D" w:rsidP="00183C8D">
      <w:pPr>
        <w:ind w:left="567"/>
        <w:jc w:val="both"/>
        <w:rPr>
          <w:rFonts w:ascii="Book Antiqua" w:hAnsi="Book Antiqua" w:cs="Arial"/>
        </w:rPr>
      </w:pPr>
    </w:p>
    <w:p w14:paraId="481E6291" w14:textId="77777777" w:rsidR="00183C8D" w:rsidRDefault="00716D25" w:rsidP="00183C8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(v) </w:t>
      </w:r>
      <w:r w:rsidR="00FB35B6">
        <w:rPr>
          <w:rFonts w:ascii="Book Antiqua" w:hAnsi="Book Antiqua" w:cs="Arial"/>
        </w:rPr>
        <w:t xml:space="preserve">The </w:t>
      </w:r>
      <w:r w:rsidR="00F5449C">
        <w:rPr>
          <w:rFonts w:ascii="Book Antiqua" w:hAnsi="Book Antiqua" w:cs="Arial"/>
        </w:rPr>
        <w:t>Judge</w:t>
      </w:r>
      <w:r w:rsidR="00FB35B6">
        <w:rPr>
          <w:rFonts w:ascii="Book Antiqua" w:hAnsi="Book Antiqua" w:cs="Arial"/>
        </w:rPr>
        <w:t xml:space="preserve"> also found that the </w:t>
      </w:r>
      <w:r w:rsidR="00F5449C">
        <w:rPr>
          <w:rFonts w:ascii="Book Antiqua" w:hAnsi="Book Antiqua" w:cs="Arial"/>
        </w:rPr>
        <w:t>Appellant</w:t>
      </w:r>
      <w:r w:rsidR="00FB35B6">
        <w:rPr>
          <w:rFonts w:ascii="Book Antiqua" w:hAnsi="Book Antiqua" w:cs="Arial"/>
        </w:rPr>
        <w:t xml:space="preserve"> would return to Turkey on an emergency travel document “</w:t>
      </w:r>
      <w:r w:rsidR="00FB35B6" w:rsidRPr="00FB35B6">
        <w:rPr>
          <w:rFonts w:ascii="Book Antiqua" w:hAnsi="Book Antiqua" w:cs="Arial"/>
          <w:i/>
        </w:rPr>
        <w:t xml:space="preserve">because </w:t>
      </w:r>
      <w:r w:rsidR="00FB35B6">
        <w:rPr>
          <w:rFonts w:ascii="Book Antiqua" w:hAnsi="Book Antiqua" w:cs="Arial"/>
          <w:i/>
        </w:rPr>
        <w:t>he did not h</w:t>
      </w:r>
      <w:r w:rsidR="00FB35B6" w:rsidRPr="00FB35B6">
        <w:rPr>
          <w:rFonts w:ascii="Book Antiqua" w:hAnsi="Book Antiqua" w:cs="Arial"/>
          <w:i/>
        </w:rPr>
        <w:t>ave a passport and he is recorded as a draft evader</w:t>
      </w:r>
      <w:r w:rsidR="00FB35B6">
        <w:rPr>
          <w:rFonts w:ascii="Book Antiqua" w:hAnsi="Book Antiqua" w:cs="Arial"/>
        </w:rPr>
        <w:t>” (</w:t>
      </w:r>
      <w:r w:rsidR="00183C8D">
        <w:rPr>
          <w:rFonts w:ascii="Book Antiqua" w:hAnsi="Book Antiqua" w:cs="Arial"/>
        </w:rPr>
        <w:t>at paragraph 12).</w:t>
      </w:r>
    </w:p>
    <w:p w14:paraId="50B82E4A" w14:textId="77777777" w:rsidR="00183C8D" w:rsidRDefault="00183C8D" w:rsidP="00183C8D">
      <w:pPr>
        <w:ind w:left="567"/>
        <w:jc w:val="both"/>
        <w:rPr>
          <w:rFonts w:ascii="Book Antiqua" w:hAnsi="Book Antiqua" w:cs="Arial"/>
        </w:rPr>
      </w:pPr>
    </w:p>
    <w:p w14:paraId="44D4B003" w14:textId="77777777" w:rsidR="00FB35B6" w:rsidRDefault="00716D25" w:rsidP="00183C8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(vi) T</w:t>
      </w:r>
      <w:r w:rsidR="00183C8D">
        <w:rPr>
          <w:rFonts w:ascii="Book Antiqua" w:hAnsi="Book Antiqua" w:cs="Arial"/>
        </w:rPr>
        <w:t>he Judge</w:t>
      </w:r>
      <w:r>
        <w:rPr>
          <w:rFonts w:ascii="Book Antiqua" w:hAnsi="Book Antiqua" w:cs="Arial"/>
        </w:rPr>
        <w:t xml:space="preserve"> considered the consequences of the foregoing</w:t>
      </w:r>
      <w:r w:rsidR="00183C8D">
        <w:rPr>
          <w:rFonts w:ascii="Book Antiqua" w:hAnsi="Book Antiqua" w:cs="Arial"/>
        </w:rPr>
        <w:t>:</w:t>
      </w:r>
    </w:p>
    <w:p w14:paraId="2E7148D8" w14:textId="77777777" w:rsidR="00FB35B6" w:rsidRDefault="00FB35B6" w:rsidP="00847259">
      <w:pPr>
        <w:ind w:left="567" w:hanging="567"/>
        <w:jc w:val="both"/>
        <w:rPr>
          <w:rFonts w:ascii="Book Antiqua" w:hAnsi="Book Antiqua" w:cs="Arial"/>
        </w:rPr>
      </w:pPr>
    </w:p>
    <w:p w14:paraId="4B045392" w14:textId="77777777" w:rsidR="000B66BA" w:rsidRDefault="00FB35B6" w:rsidP="00FB35B6">
      <w:pPr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 w:rsidR="00716D25">
        <w:rPr>
          <w:rFonts w:ascii="Book Antiqua" w:hAnsi="Book Antiqua" w:cs="Arial"/>
          <w:i/>
        </w:rPr>
        <w:t>…t</w:t>
      </w:r>
      <w:r w:rsidRPr="00FB35B6">
        <w:rPr>
          <w:rFonts w:ascii="Book Antiqua" w:hAnsi="Book Antiqua" w:cs="Arial"/>
          <w:i/>
        </w:rPr>
        <w:t xml:space="preserve">he </w:t>
      </w:r>
      <w:r w:rsidR="00F5449C">
        <w:rPr>
          <w:rFonts w:ascii="Book Antiqua" w:hAnsi="Book Antiqua" w:cs="Arial"/>
          <w:i/>
        </w:rPr>
        <w:t>Appellant</w:t>
      </w:r>
      <w:r w:rsidRPr="00FB35B6">
        <w:rPr>
          <w:rFonts w:ascii="Book Antiqua" w:hAnsi="Book Antiqua" w:cs="Arial"/>
          <w:i/>
        </w:rPr>
        <w:t xml:space="preserve"> will be stopped at the airport and I must consider the likely questions asked of him</w:t>
      </w:r>
      <w:r>
        <w:rPr>
          <w:rFonts w:ascii="Book Antiqua" w:hAnsi="Book Antiqua" w:cs="Arial"/>
        </w:rPr>
        <w:t xml:space="preserve">.  </w:t>
      </w:r>
      <w:r w:rsidRPr="00FB35B6">
        <w:rPr>
          <w:rFonts w:ascii="Book Antiqua" w:hAnsi="Book Antiqua" w:cs="Arial"/>
          <w:i/>
        </w:rPr>
        <w:t xml:space="preserve">I </w:t>
      </w:r>
      <w:r w:rsidR="00F5449C" w:rsidRPr="00FB35B6">
        <w:rPr>
          <w:rFonts w:ascii="Book Antiqua" w:hAnsi="Book Antiqua" w:cs="Arial"/>
          <w:i/>
        </w:rPr>
        <w:t>accept</w:t>
      </w:r>
      <w:r w:rsidRPr="00FB35B6">
        <w:rPr>
          <w:rFonts w:ascii="Book Antiqua" w:hAnsi="Book Antiqua" w:cs="Arial"/>
          <w:i/>
        </w:rPr>
        <w:t xml:space="preserve"> the </w:t>
      </w:r>
      <w:r w:rsidR="00F5449C">
        <w:rPr>
          <w:rFonts w:ascii="Book Antiqua" w:hAnsi="Book Antiqua" w:cs="Arial"/>
          <w:i/>
        </w:rPr>
        <w:t>Appellant</w:t>
      </w:r>
      <w:r w:rsidRPr="00FB35B6">
        <w:rPr>
          <w:rFonts w:ascii="Book Antiqua" w:hAnsi="Book Antiqua" w:cs="Arial"/>
          <w:i/>
        </w:rPr>
        <w:t xml:space="preserve"> will be likely to be asked his reasons for leaving, details about his asylum application, the reason it was refused and what organisations he </w:t>
      </w:r>
      <w:r w:rsidRPr="00FB35B6">
        <w:rPr>
          <w:rFonts w:ascii="Book Antiqua" w:hAnsi="Book Antiqua" w:cs="Arial"/>
          <w:i/>
        </w:rPr>
        <w:lastRenderedPageBreak/>
        <w:t>has contacted in the UK</w:t>
      </w:r>
      <w:r w:rsidR="004F18C4">
        <w:rPr>
          <w:rFonts w:ascii="Book Antiqua" w:hAnsi="Book Antiqua" w:cs="Arial"/>
          <w:i/>
        </w:rPr>
        <w:t>,</w:t>
      </w:r>
      <w:r w:rsidRPr="00FB35B6">
        <w:rPr>
          <w:rFonts w:ascii="Book Antiqua" w:hAnsi="Book Antiqua" w:cs="Arial"/>
          <w:i/>
        </w:rPr>
        <w:t xml:space="preserve"> and in </w:t>
      </w:r>
      <w:r w:rsidR="00F5449C" w:rsidRPr="00FB35B6">
        <w:rPr>
          <w:rFonts w:ascii="Book Antiqua" w:hAnsi="Book Antiqua" w:cs="Arial"/>
          <w:i/>
        </w:rPr>
        <w:t>particular</w:t>
      </w:r>
      <w:r w:rsidR="004F18C4">
        <w:rPr>
          <w:rFonts w:ascii="Book Antiqua" w:hAnsi="Book Antiqua" w:cs="Arial"/>
          <w:i/>
        </w:rPr>
        <w:t>,</w:t>
      </w:r>
      <w:r w:rsidRPr="00FB35B6">
        <w:rPr>
          <w:rFonts w:ascii="Book Antiqua" w:hAnsi="Book Antiqua" w:cs="Arial"/>
          <w:i/>
        </w:rPr>
        <w:t xml:space="preserve"> illegal organisation.  The </w:t>
      </w:r>
      <w:r w:rsidR="00F5449C">
        <w:rPr>
          <w:rFonts w:ascii="Book Antiqua" w:hAnsi="Book Antiqua" w:cs="Arial"/>
          <w:i/>
        </w:rPr>
        <w:t>Appellant</w:t>
      </w:r>
      <w:r w:rsidRPr="00FB35B6">
        <w:rPr>
          <w:rFonts w:ascii="Book Antiqua" w:hAnsi="Book Antiqua" w:cs="Arial"/>
          <w:i/>
        </w:rPr>
        <w:t xml:space="preserve"> cannot be expected to lie and I find there is a real risk that he will arouse suspicion which will result in checks in his home area</w:t>
      </w:r>
      <w:r w:rsidR="004F18C4">
        <w:rPr>
          <w:rFonts w:ascii="Book Antiqua" w:hAnsi="Book Antiqua" w:cs="Arial"/>
          <w:i/>
        </w:rPr>
        <w:t>,</w:t>
      </w:r>
      <w:r w:rsidRPr="00FB35B6">
        <w:rPr>
          <w:rFonts w:ascii="Book Antiqua" w:hAnsi="Book Antiqua" w:cs="Arial"/>
          <w:i/>
        </w:rPr>
        <w:t xml:space="preserve"> and this will lead to his situation on departure becoming </w:t>
      </w:r>
      <w:r w:rsidR="00F5449C" w:rsidRPr="00FB35B6">
        <w:rPr>
          <w:rFonts w:ascii="Book Antiqua" w:hAnsi="Book Antiqua" w:cs="Arial"/>
          <w:i/>
        </w:rPr>
        <w:t>known</w:t>
      </w:r>
      <w:r w:rsidRPr="00FB35B6">
        <w:rPr>
          <w:rFonts w:ascii="Book Antiqua" w:hAnsi="Book Antiqua" w:cs="Arial"/>
          <w:i/>
        </w:rPr>
        <w:t>.  This will lead to a real risk of detention and torture</w:t>
      </w:r>
      <w:r>
        <w:rPr>
          <w:rFonts w:ascii="Book Antiqua" w:hAnsi="Book Antiqua" w:cs="Arial"/>
          <w:i/>
        </w:rPr>
        <w:t>.</w:t>
      </w:r>
      <w:r>
        <w:rPr>
          <w:rFonts w:ascii="Book Antiqua" w:hAnsi="Book Antiqua" w:cs="Arial"/>
        </w:rPr>
        <w:t>”</w:t>
      </w:r>
      <w:r w:rsidR="00716D25">
        <w:rPr>
          <w:rFonts w:ascii="Book Antiqua" w:hAnsi="Book Antiqua" w:cs="Arial"/>
        </w:rPr>
        <w:t xml:space="preserve"> (paragraph 11).</w:t>
      </w:r>
    </w:p>
    <w:p w14:paraId="0006DE5C" w14:textId="77777777" w:rsidR="00FB35B6" w:rsidRDefault="00FB35B6" w:rsidP="00847259">
      <w:pPr>
        <w:ind w:left="567" w:hanging="567"/>
        <w:jc w:val="both"/>
        <w:rPr>
          <w:rFonts w:ascii="Book Antiqua" w:hAnsi="Book Antiqua" w:cs="Arial"/>
        </w:rPr>
      </w:pPr>
    </w:p>
    <w:p w14:paraId="228D2C7E" w14:textId="77777777" w:rsidR="00716D25" w:rsidRDefault="00716D25" w:rsidP="00847259">
      <w:pPr>
        <w:ind w:left="567" w:hanging="567"/>
        <w:jc w:val="both"/>
        <w:rPr>
          <w:rFonts w:ascii="Book Antiqua" w:hAnsi="Book Antiqua" w:cs="Arial"/>
        </w:rPr>
      </w:pPr>
    </w:p>
    <w:p w14:paraId="1CF092AD" w14:textId="63422CB1" w:rsidR="00716D25" w:rsidRDefault="0017054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13.</w:t>
      </w:r>
      <w:r w:rsidR="00FB35B6">
        <w:rPr>
          <w:rFonts w:ascii="Book Antiqua" w:hAnsi="Book Antiqua" w:cs="Arial"/>
        </w:rPr>
        <w:tab/>
      </w:r>
      <w:r w:rsidR="006B49B0">
        <w:rPr>
          <w:rFonts w:ascii="Book Antiqua" w:hAnsi="Book Antiqua" w:cs="Arial"/>
        </w:rPr>
        <w:t>In such circumstances it seems to me it is not sustainable to suggest</w:t>
      </w:r>
      <w:r w:rsidR="00716D25">
        <w:rPr>
          <w:rFonts w:ascii="Book Antiqua" w:hAnsi="Book Antiqua" w:cs="Arial"/>
        </w:rPr>
        <w:t xml:space="preserve"> – as does paragraph 3 of the Respondent’s Grounds</w:t>
      </w:r>
      <w:r w:rsidR="006B49B0">
        <w:rPr>
          <w:rFonts w:ascii="Book Antiqua" w:hAnsi="Book Antiqua" w:cs="Arial"/>
        </w:rPr>
        <w:t xml:space="preserve"> </w:t>
      </w:r>
      <w:r w:rsidR="00716D25">
        <w:rPr>
          <w:rFonts w:ascii="Book Antiqua" w:hAnsi="Book Antiqua" w:cs="Arial"/>
        </w:rPr>
        <w:t xml:space="preserve">– </w:t>
      </w:r>
      <w:r w:rsidR="006B49B0">
        <w:rPr>
          <w:rFonts w:ascii="Book Antiqua" w:hAnsi="Book Antiqua" w:cs="Arial"/>
        </w:rPr>
        <w:t>that</w:t>
      </w:r>
      <w:r w:rsidR="00716D25">
        <w:rPr>
          <w:rFonts w:ascii="Book Antiqua" w:hAnsi="Book Antiqua" w:cs="Arial"/>
        </w:rPr>
        <w:t xml:space="preserve"> risk was to be evaluated only by reference to a requirement to report to the police.</w:t>
      </w:r>
    </w:p>
    <w:p w14:paraId="5437C11A" w14:textId="77777777" w:rsidR="00716D25" w:rsidRDefault="00716D25" w:rsidP="00847259">
      <w:pPr>
        <w:ind w:left="567" w:hanging="567"/>
        <w:jc w:val="both"/>
        <w:rPr>
          <w:rFonts w:ascii="Book Antiqua" w:hAnsi="Book Antiqua" w:cs="Arial"/>
        </w:rPr>
      </w:pPr>
    </w:p>
    <w:p w14:paraId="79F7DC82" w14:textId="77777777" w:rsidR="00716D25" w:rsidRDefault="00716D25" w:rsidP="00847259">
      <w:pPr>
        <w:ind w:left="567" w:hanging="567"/>
        <w:jc w:val="both"/>
        <w:rPr>
          <w:rFonts w:ascii="Book Antiqua" w:hAnsi="Book Antiqua" w:cs="Arial"/>
        </w:rPr>
      </w:pPr>
    </w:p>
    <w:p w14:paraId="34D34DCE" w14:textId="638664CA" w:rsidR="00716D25" w:rsidRDefault="0017054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14.</w:t>
      </w:r>
      <w:r w:rsidR="00716D25">
        <w:rPr>
          <w:rFonts w:ascii="Book Antiqua" w:hAnsi="Book Antiqua" w:cs="Arial"/>
        </w:rPr>
        <w:tab/>
      </w:r>
      <w:r w:rsidR="006B49B0">
        <w:rPr>
          <w:rFonts w:ascii="Book Antiqua" w:hAnsi="Book Antiqua" w:cs="Arial"/>
        </w:rPr>
        <w:t xml:space="preserve">Further, it seems clear that it was not necessary for the </w:t>
      </w:r>
      <w:r w:rsidR="00F5449C">
        <w:rPr>
          <w:rFonts w:ascii="Book Antiqua" w:hAnsi="Book Antiqua" w:cs="Arial"/>
        </w:rPr>
        <w:t>Judge</w:t>
      </w:r>
      <w:r w:rsidR="006B49B0">
        <w:rPr>
          <w:rFonts w:ascii="Book Antiqua" w:hAnsi="Book Antiqua" w:cs="Arial"/>
        </w:rPr>
        <w:t xml:space="preserve"> to consider internal relocation </w:t>
      </w:r>
      <w:r w:rsidR="00716D25">
        <w:rPr>
          <w:rFonts w:ascii="Book Antiqua" w:hAnsi="Book Antiqua" w:cs="Arial"/>
        </w:rPr>
        <w:t xml:space="preserve">away from the Appellant’s home area </w:t>
      </w:r>
      <w:r w:rsidR="006B49B0">
        <w:rPr>
          <w:rFonts w:ascii="Book Antiqua" w:hAnsi="Book Antiqua" w:cs="Arial"/>
        </w:rPr>
        <w:t xml:space="preserve">because the </w:t>
      </w:r>
      <w:r w:rsidR="00F5449C">
        <w:rPr>
          <w:rFonts w:ascii="Book Antiqua" w:hAnsi="Book Antiqua" w:cs="Arial"/>
        </w:rPr>
        <w:t>Judge</w:t>
      </w:r>
      <w:r w:rsidR="006B49B0">
        <w:rPr>
          <w:rFonts w:ascii="Book Antiqua" w:hAnsi="Book Antiqua" w:cs="Arial"/>
        </w:rPr>
        <w:t xml:space="preserve"> found the </w:t>
      </w:r>
      <w:r w:rsidR="00F5449C">
        <w:rPr>
          <w:rFonts w:ascii="Book Antiqua" w:hAnsi="Book Antiqua" w:cs="Arial"/>
        </w:rPr>
        <w:t>Appellant</w:t>
      </w:r>
      <w:r w:rsidR="006B49B0">
        <w:rPr>
          <w:rFonts w:ascii="Book Antiqua" w:hAnsi="Book Antiqua" w:cs="Arial"/>
        </w:rPr>
        <w:t xml:space="preserve"> </w:t>
      </w:r>
      <w:r w:rsidR="00F5449C">
        <w:rPr>
          <w:rFonts w:ascii="Book Antiqua" w:hAnsi="Book Antiqua" w:cs="Arial"/>
        </w:rPr>
        <w:t>would</w:t>
      </w:r>
      <w:r w:rsidR="006B49B0">
        <w:rPr>
          <w:rFonts w:ascii="Book Antiqua" w:hAnsi="Book Antiqua" w:cs="Arial"/>
        </w:rPr>
        <w:t xml:space="preserve"> be at risk </w:t>
      </w:r>
      <w:r w:rsidR="00716D25">
        <w:rPr>
          <w:rFonts w:ascii="Book Antiqua" w:hAnsi="Book Antiqua" w:cs="Arial"/>
        </w:rPr>
        <w:t>at the point of</w:t>
      </w:r>
      <w:r w:rsidR="006B49B0">
        <w:rPr>
          <w:rFonts w:ascii="Book Antiqua" w:hAnsi="Book Antiqua" w:cs="Arial"/>
        </w:rPr>
        <w:t xml:space="preserve"> return</w:t>
      </w:r>
      <w:r w:rsidR="00716D25">
        <w:rPr>
          <w:rFonts w:ascii="Book Antiqua" w:hAnsi="Book Antiqua" w:cs="Arial"/>
        </w:rPr>
        <w:t>, and such</w:t>
      </w:r>
      <w:r w:rsidR="006B49B0">
        <w:rPr>
          <w:rFonts w:ascii="Book Antiqua" w:hAnsi="Book Antiqua" w:cs="Arial"/>
        </w:rPr>
        <w:t xml:space="preserve"> risk emanate</w:t>
      </w:r>
      <w:r w:rsidR="00716D25">
        <w:rPr>
          <w:rFonts w:ascii="Book Antiqua" w:hAnsi="Book Antiqua" w:cs="Arial"/>
        </w:rPr>
        <w:t>d</w:t>
      </w:r>
      <w:r w:rsidR="006B49B0">
        <w:rPr>
          <w:rFonts w:ascii="Book Antiqua" w:hAnsi="Book Antiqua" w:cs="Arial"/>
        </w:rPr>
        <w:t xml:space="preserve"> from </w:t>
      </w:r>
      <w:r w:rsidR="00716D25">
        <w:rPr>
          <w:rFonts w:ascii="Book Antiqua" w:hAnsi="Book Antiqua" w:cs="Arial"/>
        </w:rPr>
        <w:t>state agents.</w:t>
      </w:r>
    </w:p>
    <w:p w14:paraId="295CA4F0" w14:textId="77777777" w:rsidR="00716D25" w:rsidRDefault="00716D25" w:rsidP="00847259">
      <w:pPr>
        <w:ind w:left="567" w:hanging="567"/>
        <w:jc w:val="both"/>
        <w:rPr>
          <w:rFonts w:ascii="Book Antiqua" w:hAnsi="Book Antiqua" w:cs="Arial"/>
        </w:rPr>
      </w:pPr>
    </w:p>
    <w:p w14:paraId="62306181" w14:textId="77777777" w:rsidR="00716D25" w:rsidRDefault="00716D25" w:rsidP="00847259">
      <w:pPr>
        <w:ind w:left="567" w:hanging="567"/>
        <w:jc w:val="both"/>
        <w:rPr>
          <w:rFonts w:ascii="Book Antiqua" w:hAnsi="Book Antiqua" w:cs="Arial"/>
        </w:rPr>
      </w:pPr>
    </w:p>
    <w:p w14:paraId="7519754A" w14:textId="01169375" w:rsidR="006C1A03" w:rsidRDefault="0017054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15.</w:t>
      </w:r>
      <w:r w:rsidR="00716D25">
        <w:rPr>
          <w:rFonts w:ascii="Book Antiqua" w:hAnsi="Book Antiqua" w:cs="Arial"/>
        </w:rPr>
        <w:tab/>
      </w:r>
      <w:r w:rsidR="006B49B0">
        <w:rPr>
          <w:rFonts w:ascii="Book Antiqua" w:hAnsi="Book Antiqua" w:cs="Arial"/>
        </w:rPr>
        <w:t xml:space="preserve">I note that in </w:t>
      </w:r>
      <w:r w:rsidR="004A6E63">
        <w:rPr>
          <w:rFonts w:ascii="Book Antiqua" w:hAnsi="Book Antiqua" w:cs="Arial"/>
        </w:rPr>
        <w:t xml:space="preserve">a </w:t>
      </w:r>
      <w:r w:rsidR="006B49B0">
        <w:rPr>
          <w:rFonts w:ascii="Book Antiqua" w:hAnsi="Book Antiqua" w:cs="Arial"/>
        </w:rPr>
        <w:t xml:space="preserve">brief </w:t>
      </w:r>
      <w:r w:rsidR="00716D25">
        <w:rPr>
          <w:rFonts w:ascii="Book Antiqua" w:hAnsi="Book Antiqua" w:cs="Arial"/>
        </w:rPr>
        <w:t>amplification of the grounds M</w:t>
      </w:r>
      <w:r w:rsidR="006B49B0">
        <w:rPr>
          <w:rFonts w:ascii="Book Antiqua" w:hAnsi="Book Antiqua" w:cs="Arial"/>
        </w:rPr>
        <w:t xml:space="preserve">s Ahmad directed my attention to certain passages in the decision of </w:t>
      </w:r>
      <w:r w:rsidR="006B49B0" w:rsidRPr="006B49B0">
        <w:rPr>
          <w:rFonts w:ascii="Book Antiqua" w:hAnsi="Book Antiqua" w:cs="Arial"/>
          <w:b/>
          <w:u w:val="single"/>
        </w:rPr>
        <w:t>IK</w:t>
      </w:r>
      <w:r w:rsidR="006B49B0" w:rsidRPr="00716D25">
        <w:rPr>
          <w:rFonts w:ascii="Book Antiqua" w:hAnsi="Book Antiqua" w:cs="Arial"/>
          <w:b/>
          <w:u w:val="single"/>
        </w:rPr>
        <w:t xml:space="preserve"> (Returnees - Records – IFA) Turkey CG</w:t>
      </w:r>
      <w:r w:rsidR="006B49B0" w:rsidRPr="006B49B0">
        <w:rPr>
          <w:rFonts w:ascii="Book Antiqua" w:hAnsi="Book Antiqua" w:cs="Arial"/>
          <w:b/>
        </w:rPr>
        <w:t xml:space="preserve"> [2004] UKIAT 00312</w:t>
      </w:r>
      <w:r w:rsidR="006B49B0">
        <w:rPr>
          <w:rFonts w:ascii="Book Antiqua" w:hAnsi="Book Antiqua" w:cs="Arial"/>
        </w:rPr>
        <w:t xml:space="preserve">.  The </w:t>
      </w:r>
      <w:r w:rsidR="00F5449C">
        <w:rPr>
          <w:rFonts w:ascii="Book Antiqua" w:hAnsi="Book Antiqua" w:cs="Arial"/>
        </w:rPr>
        <w:t>Judge</w:t>
      </w:r>
      <w:r w:rsidR="006B49B0">
        <w:rPr>
          <w:rFonts w:ascii="Book Antiqua" w:hAnsi="Book Antiqua" w:cs="Arial"/>
        </w:rPr>
        <w:t xml:space="preserve"> made reference to this case at paragraph 13</w:t>
      </w:r>
      <w:r w:rsidR="00716D25">
        <w:rPr>
          <w:rFonts w:ascii="Book Antiqua" w:hAnsi="Book Antiqua" w:cs="Arial"/>
        </w:rPr>
        <w:t>,</w:t>
      </w:r>
      <w:r w:rsidR="006B49B0">
        <w:rPr>
          <w:rFonts w:ascii="Book Antiqua" w:hAnsi="Book Antiqua" w:cs="Arial"/>
        </w:rPr>
        <w:t xml:space="preserve"> and characterised it as “</w:t>
      </w:r>
      <w:r w:rsidR="006B49B0" w:rsidRPr="00EB260B">
        <w:rPr>
          <w:rFonts w:ascii="Book Antiqua" w:hAnsi="Book Antiqua" w:cs="Arial"/>
          <w:i/>
        </w:rPr>
        <w:t>guiding authority</w:t>
      </w:r>
      <w:r w:rsidR="006B49B0">
        <w:rPr>
          <w:rFonts w:ascii="Book Antiqua" w:hAnsi="Book Antiqua" w:cs="Arial"/>
        </w:rPr>
        <w:t>”</w:t>
      </w:r>
      <w:r w:rsidR="00716D25">
        <w:rPr>
          <w:rFonts w:ascii="Book Antiqua" w:hAnsi="Book Antiqua" w:cs="Arial"/>
        </w:rPr>
        <w:t>,</w:t>
      </w:r>
      <w:r w:rsidR="006B49B0">
        <w:rPr>
          <w:rFonts w:ascii="Book Antiqua" w:hAnsi="Book Antiqua" w:cs="Arial"/>
        </w:rPr>
        <w:t xml:space="preserve"> which s</w:t>
      </w:r>
      <w:r w:rsidR="00716D25">
        <w:rPr>
          <w:rFonts w:ascii="Book Antiqua" w:hAnsi="Book Antiqua" w:cs="Arial"/>
        </w:rPr>
        <w:t>he</w:t>
      </w:r>
      <w:r w:rsidR="006B49B0">
        <w:rPr>
          <w:rFonts w:ascii="Book Antiqua" w:hAnsi="Book Antiqua" w:cs="Arial"/>
        </w:rPr>
        <w:t xml:space="preserve"> considered to underscore the notion </w:t>
      </w:r>
      <w:r w:rsidR="00F5449C">
        <w:rPr>
          <w:rFonts w:ascii="Book Antiqua" w:hAnsi="Book Antiqua" w:cs="Arial"/>
        </w:rPr>
        <w:t>that</w:t>
      </w:r>
      <w:r w:rsidR="006B49B0">
        <w:rPr>
          <w:rFonts w:ascii="Book Antiqua" w:hAnsi="Book Antiqua" w:cs="Arial"/>
        </w:rPr>
        <w:t xml:space="preserve"> there w</w:t>
      </w:r>
      <w:r w:rsidR="00716D25">
        <w:rPr>
          <w:rFonts w:ascii="Book Antiqua" w:hAnsi="Book Antiqua" w:cs="Arial"/>
        </w:rPr>
        <w:t>as</w:t>
      </w:r>
      <w:r w:rsidR="006B49B0">
        <w:rPr>
          <w:rFonts w:ascii="Book Antiqua" w:hAnsi="Book Antiqua" w:cs="Arial"/>
        </w:rPr>
        <w:t xml:space="preserve"> </w:t>
      </w:r>
      <w:r w:rsidR="00716D25">
        <w:rPr>
          <w:rFonts w:ascii="Book Antiqua" w:hAnsi="Book Antiqua" w:cs="Arial"/>
        </w:rPr>
        <w:t>“</w:t>
      </w:r>
      <w:r w:rsidR="006B49B0" w:rsidRPr="006C1A03">
        <w:rPr>
          <w:rFonts w:ascii="Book Antiqua" w:hAnsi="Book Antiqua" w:cs="Arial"/>
          <w:i/>
        </w:rPr>
        <w:t>a reasonable likelihood t</w:t>
      </w:r>
      <w:r w:rsidR="006B49B0" w:rsidRPr="00EB260B">
        <w:rPr>
          <w:rFonts w:ascii="Book Antiqua" w:hAnsi="Book Antiqua" w:cs="Arial"/>
          <w:i/>
        </w:rPr>
        <w:t xml:space="preserve">hat the security forces in Istanbul will have access to </w:t>
      </w:r>
      <w:r w:rsidR="006C1A03">
        <w:rPr>
          <w:rFonts w:ascii="Book Antiqua" w:hAnsi="Book Antiqua" w:cs="Arial"/>
          <w:i/>
        </w:rPr>
        <w:t>[</w:t>
      </w:r>
      <w:r w:rsidR="006B49B0" w:rsidRPr="00EB260B">
        <w:rPr>
          <w:rFonts w:ascii="Book Antiqua" w:hAnsi="Book Antiqua" w:cs="Arial"/>
          <w:i/>
        </w:rPr>
        <w:t xml:space="preserve">the </w:t>
      </w:r>
      <w:r w:rsidR="00F5449C">
        <w:rPr>
          <w:rFonts w:ascii="Book Antiqua" w:hAnsi="Book Antiqua" w:cs="Arial"/>
          <w:i/>
        </w:rPr>
        <w:t>Appellant</w:t>
      </w:r>
      <w:r w:rsidR="006B49B0" w:rsidRPr="00EB260B">
        <w:rPr>
          <w:rFonts w:ascii="Book Antiqua" w:hAnsi="Book Antiqua" w:cs="Arial"/>
          <w:i/>
        </w:rPr>
        <w:t>’s</w:t>
      </w:r>
      <w:r w:rsidR="006C1A03">
        <w:rPr>
          <w:rFonts w:ascii="Book Antiqua" w:hAnsi="Book Antiqua" w:cs="Arial"/>
          <w:i/>
        </w:rPr>
        <w:t>]</w:t>
      </w:r>
      <w:r w:rsidR="006B49B0" w:rsidRPr="00EB260B">
        <w:rPr>
          <w:rFonts w:ascii="Book Antiqua" w:hAnsi="Book Antiqua" w:cs="Arial"/>
          <w:i/>
        </w:rPr>
        <w:t xml:space="preserve"> adverse history in his home area</w:t>
      </w:r>
      <w:r w:rsidR="006C1A03">
        <w:rPr>
          <w:rFonts w:ascii="Book Antiqua" w:hAnsi="Book Antiqua" w:cs="Arial"/>
        </w:rPr>
        <w:t>”.</w:t>
      </w:r>
    </w:p>
    <w:p w14:paraId="6CB59982" w14:textId="77777777" w:rsidR="006C1A03" w:rsidRDefault="006C1A03" w:rsidP="00847259">
      <w:pPr>
        <w:ind w:left="567" w:hanging="567"/>
        <w:jc w:val="both"/>
        <w:rPr>
          <w:rFonts w:ascii="Book Antiqua" w:hAnsi="Book Antiqua" w:cs="Arial"/>
        </w:rPr>
      </w:pPr>
    </w:p>
    <w:p w14:paraId="0DCEF35C" w14:textId="77777777" w:rsidR="006C1A03" w:rsidRDefault="006C1A03" w:rsidP="00847259">
      <w:pPr>
        <w:ind w:left="567" w:hanging="567"/>
        <w:jc w:val="both"/>
        <w:rPr>
          <w:rFonts w:ascii="Book Antiqua" w:hAnsi="Book Antiqua" w:cs="Arial"/>
        </w:rPr>
      </w:pPr>
    </w:p>
    <w:p w14:paraId="575ACFE3" w14:textId="606BA91D" w:rsidR="00983DFE" w:rsidRDefault="0017054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16</w:t>
      </w:r>
      <w:r w:rsidR="006C1A03">
        <w:rPr>
          <w:rFonts w:ascii="Book Antiqua" w:hAnsi="Book Antiqua" w:cs="Arial"/>
        </w:rPr>
        <w:t>.</w:t>
      </w:r>
      <w:r w:rsidR="006C1A03">
        <w:rPr>
          <w:rFonts w:ascii="Book Antiqua" w:hAnsi="Book Antiqua" w:cs="Arial"/>
        </w:rPr>
        <w:tab/>
      </w:r>
      <w:r w:rsidR="003F43AF">
        <w:rPr>
          <w:rFonts w:ascii="Book Antiqua" w:hAnsi="Book Antiqua" w:cs="Arial"/>
        </w:rPr>
        <w:t>Ms Ahmad</w:t>
      </w:r>
      <w:r w:rsidR="00EB260B">
        <w:rPr>
          <w:rFonts w:ascii="Book Antiqua" w:hAnsi="Book Antiqua" w:cs="Arial"/>
        </w:rPr>
        <w:t xml:space="preserve"> emphasised</w:t>
      </w:r>
      <w:r w:rsidR="003F43AF">
        <w:rPr>
          <w:rFonts w:ascii="Book Antiqua" w:hAnsi="Book Antiqua" w:cs="Arial"/>
        </w:rPr>
        <w:t>, with</w:t>
      </w:r>
      <w:r w:rsidR="00EB260B">
        <w:rPr>
          <w:rFonts w:ascii="Book Antiqua" w:hAnsi="Book Antiqua" w:cs="Arial"/>
        </w:rPr>
        <w:t xml:space="preserve"> </w:t>
      </w:r>
      <w:r w:rsidR="003F43AF">
        <w:rPr>
          <w:rFonts w:ascii="Book Antiqua" w:hAnsi="Book Antiqua" w:cs="Arial"/>
        </w:rPr>
        <w:t xml:space="preserve">particular reference to paragraph 63 of </w:t>
      </w:r>
      <w:r w:rsidR="003F43AF" w:rsidRPr="006C1A03">
        <w:rPr>
          <w:rFonts w:ascii="Book Antiqua" w:hAnsi="Book Antiqua" w:cs="Arial"/>
          <w:b/>
          <w:u w:val="single"/>
        </w:rPr>
        <w:t>IK</w:t>
      </w:r>
      <w:r w:rsidR="003F43AF">
        <w:rPr>
          <w:rFonts w:ascii="Book Antiqua" w:hAnsi="Book Antiqua" w:cs="Arial"/>
        </w:rPr>
        <w:t xml:space="preserve">, </w:t>
      </w:r>
      <w:r w:rsidR="00EB260B">
        <w:rPr>
          <w:rFonts w:ascii="Book Antiqua" w:hAnsi="Book Antiqua" w:cs="Arial"/>
        </w:rPr>
        <w:t xml:space="preserve">that the </w:t>
      </w:r>
      <w:r w:rsidR="003F43AF">
        <w:rPr>
          <w:rFonts w:ascii="Book Antiqua" w:hAnsi="Book Antiqua" w:cs="Arial"/>
        </w:rPr>
        <w:t xml:space="preserve">GBTS computer system </w:t>
      </w:r>
      <w:r w:rsidR="00EB260B">
        <w:rPr>
          <w:rFonts w:ascii="Book Antiqua" w:hAnsi="Book Antiqua" w:cs="Arial"/>
        </w:rPr>
        <w:t>only record</w:t>
      </w:r>
      <w:r w:rsidR="003F43AF" w:rsidRPr="00983DFE">
        <w:rPr>
          <w:rFonts w:ascii="Book Antiqua" w:hAnsi="Book Antiqua" w:cs="Arial"/>
        </w:rPr>
        <w:t>ed</w:t>
      </w:r>
      <w:r w:rsidR="00EB260B" w:rsidRPr="00983DFE">
        <w:rPr>
          <w:rFonts w:ascii="Book Antiqua" w:hAnsi="Book Antiqua" w:cs="Arial"/>
        </w:rPr>
        <w:t xml:space="preserve"> incidents where there had been some sort of court intervention</w:t>
      </w:r>
      <w:r w:rsidR="00983DFE" w:rsidRPr="00983DFE">
        <w:rPr>
          <w:rFonts w:ascii="Book Antiqua" w:hAnsi="Book Antiqua" w:cs="Arial"/>
        </w:rPr>
        <w:t>: “</w:t>
      </w:r>
      <w:bookmarkStart w:id="1" w:name="para63"/>
      <w:r w:rsidR="00983DFE" w:rsidRPr="00983DFE">
        <w:rPr>
          <w:rFonts w:ascii="Book Antiqua" w:hAnsi="Book Antiqua"/>
          <w:i/>
          <w:color w:val="000000"/>
        </w:rPr>
        <w:t>It does not include detentions by the security forces that have not resulted in some form of court intervention</w:t>
      </w:r>
      <w:r w:rsidR="00983DFE" w:rsidRPr="00983DFE">
        <w:rPr>
          <w:rFonts w:ascii="Book Antiqua" w:hAnsi="Book Antiqua"/>
          <w:color w:val="000000"/>
        </w:rPr>
        <w:t>”. </w:t>
      </w:r>
      <w:bookmarkEnd w:id="1"/>
      <w:r w:rsidR="00EB260B" w:rsidRPr="00983DFE">
        <w:rPr>
          <w:rFonts w:ascii="Book Antiqua" w:hAnsi="Book Antiqua" w:cs="Arial"/>
        </w:rPr>
        <w:t xml:space="preserve">  Because the </w:t>
      </w:r>
      <w:r w:rsidR="00F5449C" w:rsidRPr="00983DFE">
        <w:rPr>
          <w:rFonts w:ascii="Book Antiqua" w:hAnsi="Book Antiqua" w:cs="Arial"/>
        </w:rPr>
        <w:t>Appellant</w:t>
      </w:r>
      <w:r w:rsidR="00EB260B" w:rsidRPr="00983DFE">
        <w:rPr>
          <w:rFonts w:ascii="Book Antiqua" w:hAnsi="Book Antiqua" w:cs="Arial"/>
        </w:rPr>
        <w:t>’s own encounters and detentions had not</w:t>
      </w:r>
      <w:r w:rsidR="00EB260B">
        <w:rPr>
          <w:rFonts w:ascii="Book Antiqua" w:hAnsi="Book Antiqua" w:cs="Arial"/>
        </w:rPr>
        <w:t xml:space="preserve"> been accompanied by court intervention, Ms Ahmad suggested that there would be no </w:t>
      </w:r>
      <w:r w:rsidR="00F5449C">
        <w:rPr>
          <w:rFonts w:ascii="Book Antiqua" w:hAnsi="Book Antiqua" w:cs="Arial"/>
        </w:rPr>
        <w:t>reason</w:t>
      </w:r>
      <w:r w:rsidR="00EB260B">
        <w:rPr>
          <w:rFonts w:ascii="Book Antiqua" w:hAnsi="Book Antiqua" w:cs="Arial"/>
        </w:rPr>
        <w:t xml:space="preserve"> to consider that the </w:t>
      </w:r>
      <w:r w:rsidR="00F5449C">
        <w:rPr>
          <w:rFonts w:ascii="Book Antiqua" w:hAnsi="Book Antiqua" w:cs="Arial"/>
        </w:rPr>
        <w:t>Appellant</w:t>
      </w:r>
      <w:r w:rsidR="00EB260B">
        <w:rPr>
          <w:rFonts w:ascii="Book Antiqua" w:hAnsi="Book Antiqua" w:cs="Arial"/>
        </w:rPr>
        <w:t xml:space="preserve"> would be shown on the GBTS system.</w:t>
      </w:r>
    </w:p>
    <w:p w14:paraId="51E60B89" w14:textId="77777777" w:rsidR="00983DFE" w:rsidRDefault="00983DFE" w:rsidP="00847259">
      <w:pPr>
        <w:ind w:left="567" w:hanging="567"/>
        <w:jc w:val="both"/>
        <w:rPr>
          <w:rFonts w:ascii="Book Antiqua" w:hAnsi="Book Antiqua" w:cs="Arial"/>
        </w:rPr>
      </w:pPr>
    </w:p>
    <w:p w14:paraId="015558F8" w14:textId="77777777" w:rsidR="00FB35B6" w:rsidRDefault="00EB260B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</w:t>
      </w:r>
    </w:p>
    <w:p w14:paraId="4242DF89" w14:textId="202C1DE9" w:rsidR="00BC2C4A" w:rsidRDefault="0017054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17</w:t>
      </w:r>
      <w:r w:rsidR="00EB260B">
        <w:rPr>
          <w:rFonts w:ascii="Book Antiqua" w:hAnsi="Book Antiqua" w:cs="Arial"/>
        </w:rPr>
        <w:t>.</w:t>
      </w:r>
      <w:r w:rsidR="00EB260B">
        <w:rPr>
          <w:rFonts w:ascii="Book Antiqua" w:hAnsi="Book Antiqua" w:cs="Arial"/>
        </w:rPr>
        <w:tab/>
        <w:t>In</w:t>
      </w:r>
      <w:r w:rsidR="00983DFE">
        <w:rPr>
          <w:rFonts w:ascii="Book Antiqua" w:hAnsi="Book Antiqua" w:cs="Arial"/>
        </w:rPr>
        <w:t xml:space="preserve"> the abstract, Ms Ahmad’s observation is well made.</w:t>
      </w:r>
      <w:r w:rsidR="00EB260B">
        <w:rPr>
          <w:rFonts w:ascii="Book Antiqua" w:hAnsi="Book Antiqua" w:cs="Arial"/>
        </w:rPr>
        <w:t xml:space="preserve"> </w:t>
      </w:r>
      <w:r w:rsidR="00983DFE">
        <w:rPr>
          <w:rFonts w:ascii="Book Antiqua" w:hAnsi="Book Antiqua" w:cs="Arial"/>
        </w:rPr>
        <w:t>H</w:t>
      </w:r>
      <w:r w:rsidR="00EB260B">
        <w:rPr>
          <w:rFonts w:ascii="Book Antiqua" w:hAnsi="Book Antiqua" w:cs="Arial"/>
        </w:rPr>
        <w:t>owever</w:t>
      </w:r>
      <w:r w:rsidR="00983DFE">
        <w:rPr>
          <w:rFonts w:ascii="Book Antiqua" w:hAnsi="Book Antiqua" w:cs="Arial"/>
        </w:rPr>
        <w:t>,</w:t>
      </w:r>
      <w:r w:rsidR="00EB260B">
        <w:rPr>
          <w:rFonts w:ascii="Book Antiqua" w:hAnsi="Book Antiqua" w:cs="Arial"/>
        </w:rPr>
        <w:t xml:space="preserve"> it is clear that</w:t>
      </w:r>
      <w:r w:rsidR="00983DFE">
        <w:rPr>
          <w:rFonts w:ascii="Book Antiqua" w:hAnsi="Book Antiqua" w:cs="Arial"/>
        </w:rPr>
        <w:t xml:space="preserve"> at paragraph 11 of the Decision</w:t>
      </w:r>
      <w:r w:rsidR="00EB260B">
        <w:rPr>
          <w:rFonts w:ascii="Book Antiqua" w:hAnsi="Book Antiqua" w:cs="Arial"/>
        </w:rPr>
        <w:t xml:space="preserve"> the </w:t>
      </w:r>
      <w:r w:rsidR="00F5449C">
        <w:rPr>
          <w:rFonts w:ascii="Book Antiqua" w:hAnsi="Book Antiqua" w:cs="Arial"/>
        </w:rPr>
        <w:t>Judge</w:t>
      </w:r>
      <w:r w:rsidR="00EB260B">
        <w:rPr>
          <w:rFonts w:ascii="Book Antiqua" w:hAnsi="Book Antiqua" w:cs="Arial"/>
        </w:rPr>
        <w:t xml:space="preserve"> is not relying upon the notion that the </w:t>
      </w:r>
      <w:r w:rsidR="00F5449C">
        <w:rPr>
          <w:rFonts w:ascii="Book Antiqua" w:hAnsi="Book Antiqua" w:cs="Arial"/>
        </w:rPr>
        <w:t>Appellant</w:t>
      </w:r>
      <w:r w:rsidR="00EB260B">
        <w:rPr>
          <w:rFonts w:ascii="Book Antiqua" w:hAnsi="Book Antiqua" w:cs="Arial"/>
        </w:rPr>
        <w:t xml:space="preserve"> might come to the attention of the authorities on his </w:t>
      </w:r>
      <w:r w:rsidR="00F5449C">
        <w:rPr>
          <w:rFonts w:ascii="Book Antiqua" w:hAnsi="Book Antiqua" w:cs="Arial"/>
        </w:rPr>
        <w:t>return</w:t>
      </w:r>
      <w:r w:rsidR="00EB260B">
        <w:rPr>
          <w:rFonts w:ascii="Book Antiqua" w:hAnsi="Book Antiqua" w:cs="Arial"/>
        </w:rPr>
        <w:t xml:space="preserve"> by reason of </w:t>
      </w:r>
      <w:r w:rsidR="00490C5F">
        <w:rPr>
          <w:rFonts w:ascii="Book Antiqua" w:hAnsi="Book Antiqua" w:cs="Arial"/>
        </w:rPr>
        <w:t>a past detention showing on the GBTS</w:t>
      </w:r>
      <w:r w:rsidR="00EB260B">
        <w:rPr>
          <w:rFonts w:ascii="Book Antiqua" w:hAnsi="Book Antiqua" w:cs="Arial"/>
        </w:rPr>
        <w:t xml:space="preserve">.  The </w:t>
      </w:r>
      <w:r w:rsidR="00F5449C">
        <w:rPr>
          <w:rFonts w:ascii="Book Antiqua" w:hAnsi="Book Antiqua" w:cs="Arial"/>
        </w:rPr>
        <w:t>Judge</w:t>
      </w:r>
      <w:r w:rsidR="00EB260B">
        <w:rPr>
          <w:rFonts w:ascii="Book Antiqua" w:hAnsi="Book Antiqua" w:cs="Arial"/>
        </w:rPr>
        <w:t xml:space="preserve"> in terms refers to the circumstances of the </w:t>
      </w:r>
      <w:r w:rsidR="00F5449C">
        <w:rPr>
          <w:rFonts w:ascii="Book Antiqua" w:hAnsi="Book Antiqua" w:cs="Arial"/>
        </w:rPr>
        <w:t>Appellant</w:t>
      </w:r>
      <w:r w:rsidR="00EB260B">
        <w:rPr>
          <w:rFonts w:ascii="Book Antiqua" w:hAnsi="Book Antiqua" w:cs="Arial"/>
        </w:rPr>
        <w:t>’s return on an emergency travel document</w:t>
      </w:r>
      <w:r w:rsidR="00983DFE">
        <w:rPr>
          <w:rFonts w:ascii="Book Antiqua" w:hAnsi="Book Antiqua" w:cs="Arial"/>
        </w:rPr>
        <w:t>,</w:t>
      </w:r>
      <w:r w:rsidR="00EB260B">
        <w:rPr>
          <w:rFonts w:ascii="Book Antiqua" w:hAnsi="Book Antiqua" w:cs="Arial"/>
        </w:rPr>
        <w:t xml:space="preserve"> and his </w:t>
      </w:r>
      <w:r w:rsidR="00EB260B" w:rsidRPr="00BC2C4A">
        <w:rPr>
          <w:rFonts w:ascii="Book Antiqua" w:hAnsi="Book Antiqua" w:cs="Arial"/>
        </w:rPr>
        <w:t>profile as a draft evader.  Mr Denholm</w:t>
      </w:r>
      <w:r w:rsidR="00983DFE" w:rsidRPr="00BC2C4A">
        <w:rPr>
          <w:rFonts w:ascii="Book Antiqua" w:hAnsi="Book Antiqua" w:cs="Arial"/>
        </w:rPr>
        <w:t xml:space="preserve"> in his turn</w:t>
      </w:r>
      <w:r w:rsidR="00EB260B" w:rsidRPr="00BC2C4A">
        <w:rPr>
          <w:rFonts w:ascii="Book Antiqua" w:hAnsi="Book Antiqua" w:cs="Arial"/>
        </w:rPr>
        <w:t xml:space="preserve"> emphasised that draft evasion as a potential indicator of profile on return </w:t>
      </w:r>
      <w:r w:rsidR="00490C5F" w:rsidRPr="00BC2C4A">
        <w:rPr>
          <w:rFonts w:ascii="Book Antiqua" w:hAnsi="Book Antiqua" w:cs="Arial"/>
        </w:rPr>
        <w:t>was</w:t>
      </w:r>
      <w:r w:rsidR="00EB260B" w:rsidRPr="00BC2C4A">
        <w:rPr>
          <w:rFonts w:ascii="Book Antiqua" w:hAnsi="Book Antiqua" w:cs="Arial"/>
        </w:rPr>
        <w:t xml:space="preserve"> identified </w:t>
      </w:r>
      <w:r w:rsidR="00490C5F" w:rsidRPr="00BC2C4A">
        <w:rPr>
          <w:rFonts w:ascii="Book Antiqua" w:hAnsi="Book Antiqua" w:cs="Arial"/>
        </w:rPr>
        <w:t>in the summarising</w:t>
      </w:r>
      <w:r w:rsidR="00EB260B" w:rsidRPr="00BC2C4A">
        <w:rPr>
          <w:rFonts w:ascii="Book Antiqua" w:hAnsi="Book Antiqua" w:cs="Arial"/>
        </w:rPr>
        <w:t xml:space="preserve"> paragraph</w:t>
      </w:r>
      <w:r w:rsidR="00490C5F" w:rsidRPr="00BC2C4A">
        <w:rPr>
          <w:rFonts w:ascii="Book Antiqua" w:hAnsi="Book Antiqua" w:cs="Arial"/>
        </w:rPr>
        <w:t>s</w:t>
      </w:r>
      <w:r w:rsidR="00EB260B" w:rsidRPr="00BC2C4A">
        <w:rPr>
          <w:rFonts w:ascii="Book Antiqua" w:hAnsi="Book Antiqua" w:cs="Arial"/>
        </w:rPr>
        <w:t xml:space="preserve"> of </w:t>
      </w:r>
      <w:r w:rsidR="00EB260B" w:rsidRPr="00BC2C4A">
        <w:rPr>
          <w:rFonts w:ascii="Book Antiqua" w:hAnsi="Book Antiqua" w:cs="Arial"/>
          <w:b/>
          <w:u w:val="single"/>
        </w:rPr>
        <w:t>IK</w:t>
      </w:r>
      <w:r w:rsidR="00490C5F" w:rsidRPr="00BC2C4A">
        <w:rPr>
          <w:rFonts w:ascii="Book Antiqua" w:hAnsi="Book Antiqua" w:cs="Arial"/>
        </w:rPr>
        <w:t xml:space="preserve"> as potentially being recorded on</w:t>
      </w:r>
      <w:r w:rsidR="00BC2C4A" w:rsidRPr="00BC2C4A">
        <w:rPr>
          <w:rFonts w:ascii="Book Antiqua" w:hAnsi="Book Antiqua" w:cs="Arial"/>
        </w:rPr>
        <w:t xml:space="preserve"> the GBTS - see paragraph 133(1): “</w:t>
      </w:r>
      <w:r w:rsidR="00BC2C4A" w:rsidRPr="00BC2C4A">
        <w:rPr>
          <w:rFonts w:ascii="Book Antiqua" w:hAnsi="Book Antiqua"/>
          <w:i/>
          <w:color w:val="000000"/>
        </w:rPr>
        <w:t>the… ambit of the computerised GBT system… comprises… possible draft evasion</w:t>
      </w:r>
      <w:r w:rsidR="00BC2C4A" w:rsidRPr="00BC2C4A">
        <w:rPr>
          <w:rFonts w:ascii="Book Antiqua" w:hAnsi="Book Antiqua"/>
          <w:color w:val="000000"/>
        </w:rPr>
        <w:t>”.</w:t>
      </w:r>
    </w:p>
    <w:p w14:paraId="1A866284" w14:textId="77777777" w:rsidR="00BC2C4A" w:rsidRDefault="00BC2C4A" w:rsidP="00847259">
      <w:pPr>
        <w:ind w:left="567" w:hanging="567"/>
        <w:jc w:val="both"/>
        <w:rPr>
          <w:rFonts w:ascii="Book Antiqua" w:hAnsi="Book Antiqua" w:cs="Arial"/>
        </w:rPr>
      </w:pPr>
    </w:p>
    <w:p w14:paraId="307E156E" w14:textId="77777777" w:rsidR="00BC2C4A" w:rsidRDefault="00BC2C4A" w:rsidP="00847259">
      <w:pPr>
        <w:ind w:left="567" w:hanging="567"/>
        <w:jc w:val="both"/>
        <w:rPr>
          <w:rFonts w:ascii="Book Antiqua" w:hAnsi="Book Antiqua" w:cs="Arial"/>
        </w:rPr>
      </w:pPr>
    </w:p>
    <w:p w14:paraId="7008EEA1" w14:textId="178E1FAE" w:rsidR="00EB260B" w:rsidRDefault="0017054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18</w:t>
      </w:r>
      <w:r w:rsidR="00BC2C4A">
        <w:rPr>
          <w:rFonts w:ascii="Book Antiqua" w:hAnsi="Book Antiqua" w:cs="Arial"/>
        </w:rPr>
        <w:t>.</w:t>
      </w:r>
      <w:r w:rsidR="00BC2C4A">
        <w:rPr>
          <w:rFonts w:ascii="Book Antiqua" w:hAnsi="Book Antiqua" w:cs="Arial"/>
        </w:rPr>
        <w:tab/>
      </w:r>
      <w:proofErr w:type="gramStart"/>
      <w:r w:rsidR="00BC2C4A">
        <w:rPr>
          <w:rFonts w:ascii="Book Antiqua" w:hAnsi="Book Antiqua" w:cs="Arial"/>
        </w:rPr>
        <w:t>Accordingly</w:t>
      </w:r>
      <w:proofErr w:type="gramEnd"/>
      <w:r w:rsidR="00EB260B" w:rsidRPr="00BC2C4A">
        <w:rPr>
          <w:rFonts w:ascii="Book Antiqua" w:hAnsi="Book Antiqua" w:cs="Arial"/>
        </w:rPr>
        <w:t xml:space="preserve"> I am not persuaded that the </w:t>
      </w:r>
      <w:r w:rsidR="00F5449C" w:rsidRPr="00BC2C4A">
        <w:rPr>
          <w:rFonts w:ascii="Book Antiqua" w:hAnsi="Book Antiqua" w:cs="Arial"/>
        </w:rPr>
        <w:t>Judge</w:t>
      </w:r>
      <w:r w:rsidR="00BC2C4A">
        <w:rPr>
          <w:rFonts w:ascii="Book Antiqua" w:hAnsi="Book Antiqua" w:cs="Arial"/>
        </w:rPr>
        <w:t xml:space="preserve"> </w:t>
      </w:r>
      <w:r w:rsidR="00EB260B" w:rsidRPr="00BC2C4A">
        <w:rPr>
          <w:rFonts w:ascii="Book Antiqua" w:hAnsi="Book Antiqua" w:cs="Arial"/>
        </w:rPr>
        <w:t xml:space="preserve">departed from the country guidance </w:t>
      </w:r>
      <w:r w:rsidR="00BC2C4A">
        <w:rPr>
          <w:rFonts w:ascii="Book Antiqua" w:hAnsi="Book Antiqua" w:cs="Arial"/>
        </w:rPr>
        <w:t xml:space="preserve">in </w:t>
      </w:r>
      <w:r w:rsidR="00BC2C4A" w:rsidRPr="00BC2C4A">
        <w:rPr>
          <w:rFonts w:ascii="Book Antiqua" w:hAnsi="Book Antiqua" w:cs="Arial"/>
          <w:b/>
          <w:u w:val="single"/>
        </w:rPr>
        <w:t>IK</w:t>
      </w:r>
      <w:r w:rsidR="00EB260B" w:rsidRPr="00BC2C4A">
        <w:rPr>
          <w:rFonts w:ascii="Book Antiqua" w:hAnsi="Book Antiqua" w:cs="Arial"/>
        </w:rPr>
        <w:t>.  Indeed, as Mr Denholm emphasised</w:t>
      </w:r>
      <w:r w:rsidR="00BC2C4A">
        <w:rPr>
          <w:rFonts w:ascii="Book Antiqua" w:hAnsi="Book Antiqua" w:cs="Arial"/>
        </w:rPr>
        <w:t>,</w:t>
      </w:r>
      <w:r w:rsidR="00EB260B" w:rsidRPr="00BC2C4A">
        <w:rPr>
          <w:rFonts w:ascii="Book Antiqua" w:hAnsi="Book Antiqua" w:cs="Arial"/>
        </w:rPr>
        <w:t xml:space="preserve"> the </w:t>
      </w:r>
      <w:r w:rsidR="00F5449C" w:rsidRPr="00BC2C4A">
        <w:rPr>
          <w:rFonts w:ascii="Book Antiqua" w:hAnsi="Book Antiqua" w:cs="Arial"/>
        </w:rPr>
        <w:t>Judge</w:t>
      </w:r>
      <w:r w:rsidR="00EB260B" w:rsidRPr="00BC2C4A">
        <w:rPr>
          <w:rFonts w:ascii="Book Antiqua" w:hAnsi="Book Antiqua" w:cs="Arial"/>
        </w:rPr>
        <w:t>’s e</w:t>
      </w:r>
      <w:r w:rsidR="00EB260B">
        <w:rPr>
          <w:rFonts w:ascii="Book Antiqua" w:hAnsi="Book Antiqua" w:cs="Arial"/>
        </w:rPr>
        <w:t xml:space="preserve">valuation of the </w:t>
      </w:r>
      <w:r w:rsidR="00F5449C" w:rsidRPr="00BC2C4A">
        <w:rPr>
          <w:rFonts w:ascii="Book Antiqua" w:hAnsi="Book Antiqua" w:cs="Arial"/>
        </w:rPr>
        <w:t>Appellant</w:t>
      </w:r>
      <w:r w:rsidR="00EB260B" w:rsidRPr="00BC2C4A">
        <w:rPr>
          <w:rFonts w:ascii="Book Antiqua" w:hAnsi="Book Antiqua" w:cs="Arial"/>
        </w:rPr>
        <w:t xml:space="preserve">’s circumstances at paragraph 12 mirrors the guidance in the case of </w:t>
      </w:r>
      <w:r w:rsidR="00BC2C4A" w:rsidRPr="000D3998">
        <w:rPr>
          <w:rFonts w:ascii="Book Antiqua" w:hAnsi="Book Antiqua"/>
          <w:b/>
          <w:bCs/>
          <w:color w:val="000000"/>
          <w:u w:val="single"/>
        </w:rPr>
        <w:t>IA and others (Risk-Guidelines-Separatist) Turkey CG</w:t>
      </w:r>
      <w:r w:rsidR="00BC2C4A" w:rsidRPr="000D3998">
        <w:rPr>
          <w:rFonts w:ascii="Book Antiqua" w:hAnsi="Book Antiqua"/>
          <w:b/>
          <w:bCs/>
          <w:color w:val="000000"/>
        </w:rPr>
        <w:t xml:space="preserve"> [2003] UKIAT 00034</w:t>
      </w:r>
      <w:r w:rsidR="00BC2C4A">
        <w:rPr>
          <w:rFonts w:ascii="Book Antiqua" w:hAnsi="Book Antiqua"/>
          <w:bCs/>
          <w:color w:val="000000"/>
        </w:rPr>
        <w:t>, cited with approval in IK</w:t>
      </w:r>
      <w:r w:rsidR="00EB260B" w:rsidRPr="00BC2C4A">
        <w:rPr>
          <w:rFonts w:ascii="Book Antiqua" w:hAnsi="Book Antiqua" w:cs="Arial"/>
        </w:rPr>
        <w:t xml:space="preserve"> </w:t>
      </w:r>
      <w:r w:rsidR="00BC2C4A">
        <w:rPr>
          <w:rFonts w:ascii="Book Antiqua" w:hAnsi="Book Antiqua" w:cs="Arial"/>
        </w:rPr>
        <w:t>(</w:t>
      </w:r>
      <w:r w:rsidR="00EB260B" w:rsidRPr="00BC2C4A">
        <w:rPr>
          <w:rFonts w:ascii="Book Antiqua" w:hAnsi="Book Antiqua" w:cs="Arial"/>
        </w:rPr>
        <w:t xml:space="preserve">albeit under the </w:t>
      </w:r>
      <w:r w:rsidR="00BC2C4A">
        <w:rPr>
          <w:rFonts w:ascii="Book Antiqua" w:hAnsi="Book Antiqua" w:cs="Arial"/>
        </w:rPr>
        <w:t>nam</w:t>
      </w:r>
      <w:r w:rsidR="00EB260B" w:rsidRPr="00BC2C4A">
        <w:rPr>
          <w:rFonts w:ascii="Book Antiqua" w:hAnsi="Book Antiqua" w:cs="Arial"/>
        </w:rPr>
        <w:t xml:space="preserve">e </w:t>
      </w:r>
      <w:r w:rsidR="00EB260B" w:rsidRPr="000D3998">
        <w:rPr>
          <w:rFonts w:ascii="Book Antiqua" w:hAnsi="Book Antiqua" w:cs="Arial"/>
          <w:b/>
          <w:u w:val="single"/>
        </w:rPr>
        <w:t>A (Turkey)</w:t>
      </w:r>
      <w:r w:rsidR="00BC2C4A">
        <w:rPr>
          <w:rFonts w:ascii="Book Antiqua" w:hAnsi="Book Antiqua" w:cs="Arial"/>
        </w:rPr>
        <w:t>)</w:t>
      </w:r>
      <w:r w:rsidR="00EB260B" w:rsidRPr="00BC2C4A">
        <w:rPr>
          <w:rFonts w:ascii="Book Antiqua" w:hAnsi="Book Antiqua" w:cs="Arial"/>
        </w:rPr>
        <w:t xml:space="preserve">.  </w:t>
      </w:r>
    </w:p>
    <w:p w14:paraId="21B7963E" w14:textId="77777777" w:rsidR="00EB260B" w:rsidRDefault="00EB260B" w:rsidP="00847259">
      <w:pPr>
        <w:ind w:left="567" w:hanging="567"/>
        <w:jc w:val="both"/>
        <w:rPr>
          <w:rFonts w:ascii="Book Antiqua" w:hAnsi="Book Antiqua" w:cs="Arial"/>
        </w:rPr>
      </w:pPr>
    </w:p>
    <w:p w14:paraId="1B0B96D3" w14:textId="77777777" w:rsidR="000D3998" w:rsidRDefault="000D3998" w:rsidP="00B777FD">
      <w:pPr>
        <w:jc w:val="both"/>
        <w:rPr>
          <w:rFonts w:ascii="Book Antiqua" w:hAnsi="Book Antiqua" w:cs="Arial"/>
        </w:rPr>
      </w:pPr>
    </w:p>
    <w:p w14:paraId="26A5EF60" w14:textId="3D457FE3" w:rsidR="00EB260B" w:rsidRPr="00AE6DDE" w:rsidRDefault="0017054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19</w:t>
      </w:r>
      <w:r w:rsidR="00EB260B">
        <w:rPr>
          <w:rFonts w:ascii="Book Antiqua" w:hAnsi="Book Antiqua" w:cs="Arial"/>
        </w:rPr>
        <w:t>.</w:t>
      </w:r>
      <w:r w:rsidR="00EB260B">
        <w:rPr>
          <w:rFonts w:ascii="Book Antiqua" w:hAnsi="Book Antiqua" w:cs="Arial"/>
        </w:rPr>
        <w:tab/>
        <w:t xml:space="preserve">In all of the circumstances I find </w:t>
      </w:r>
      <w:r w:rsidR="00F5449C">
        <w:rPr>
          <w:rFonts w:ascii="Book Antiqua" w:hAnsi="Book Antiqua" w:cs="Arial"/>
        </w:rPr>
        <w:t>that</w:t>
      </w:r>
      <w:r w:rsidR="00EB260B">
        <w:rPr>
          <w:rFonts w:ascii="Book Antiqua" w:hAnsi="Book Antiqua" w:cs="Arial"/>
        </w:rPr>
        <w:t xml:space="preserve"> the Secretary of State for the Home Department has not made out the bases of challenge.  There being no other grounds or arguments advanced before me, I find that the Secretary of State has failed to impugn the decision of the First-tier Tribunal </w:t>
      </w:r>
      <w:r w:rsidR="00F5449C">
        <w:rPr>
          <w:rFonts w:ascii="Book Antiqua" w:hAnsi="Book Antiqua" w:cs="Arial"/>
        </w:rPr>
        <w:t>which accordingly st</w:t>
      </w:r>
      <w:r w:rsidR="00EB260B">
        <w:rPr>
          <w:rFonts w:ascii="Book Antiqua" w:hAnsi="Book Antiqua" w:cs="Arial"/>
        </w:rPr>
        <w:t xml:space="preserve">ands.  </w:t>
      </w:r>
    </w:p>
    <w:p w14:paraId="46DCFDBB" w14:textId="77777777" w:rsidR="001F2716" w:rsidRDefault="001F2716" w:rsidP="00847259">
      <w:pPr>
        <w:jc w:val="both"/>
        <w:rPr>
          <w:rFonts w:ascii="Book Antiqua" w:hAnsi="Book Antiqua" w:cs="Arial"/>
        </w:rPr>
      </w:pPr>
    </w:p>
    <w:p w14:paraId="26FED031" w14:textId="77777777" w:rsidR="000D3998" w:rsidRDefault="000D3998" w:rsidP="00847259">
      <w:pPr>
        <w:jc w:val="both"/>
        <w:rPr>
          <w:rFonts w:ascii="Book Antiqua" w:hAnsi="Book Antiqua" w:cs="Arial"/>
        </w:rPr>
      </w:pPr>
    </w:p>
    <w:p w14:paraId="1885B8CD" w14:textId="77777777" w:rsidR="00EF755E" w:rsidRPr="00EF755E" w:rsidRDefault="00EF755E" w:rsidP="00847259">
      <w:pPr>
        <w:jc w:val="both"/>
        <w:rPr>
          <w:rFonts w:ascii="Book Antiqua" w:hAnsi="Book Antiqua" w:cs="Arial"/>
          <w:b/>
          <w:u w:val="single"/>
        </w:rPr>
      </w:pPr>
      <w:r w:rsidRPr="00EF755E">
        <w:rPr>
          <w:rFonts w:ascii="Book Antiqua" w:hAnsi="Book Antiqua" w:cs="Arial"/>
          <w:b/>
          <w:u w:val="single"/>
        </w:rPr>
        <w:t>Notice of Decision</w:t>
      </w:r>
    </w:p>
    <w:p w14:paraId="5D0F5182" w14:textId="77777777" w:rsidR="00EF755E" w:rsidRDefault="00EF755E" w:rsidP="00847259">
      <w:pPr>
        <w:jc w:val="both"/>
        <w:rPr>
          <w:rFonts w:ascii="Book Antiqua" w:hAnsi="Book Antiqua" w:cs="Arial"/>
        </w:rPr>
      </w:pPr>
    </w:p>
    <w:p w14:paraId="2FB6DB8B" w14:textId="6EC16547" w:rsidR="00EF755E" w:rsidRDefault="00170542" w:rsidP="008472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20</w:t>
      </w:r>
      <w:r w:rsidR="000D3998">
        <w:rPr>
          <w:rFonts w:ascii="Book Antiqua" w:hAnsi="Book Antiqua" w:cs="Arial"/>
        </w:rPr>
        <w:t>.</w:t>
      </w:r>
      <w:r w:rsidR="000D3998">
        <w:rPr>
          <w:rFonts w:ascii="Book Antiqua" w:hAnsi="Book Antiqua" w:cs="Arial"/>
        </w:rPr>
        <w:tab/>
        <w:t>The decision of the First-tier Tribunal contained no errors of law and stands.</w:t>
      </w:r>
    </w:p>
    <w:p w14:paraId="15112BE1" w14:textId="77777777" w:rsidR="000D3998" w:rsidRDefault="000D3998" w:rsidP="00847259">
      <w:pPr>
        <w:jc w:val="both"/>
        <w:rPr>
          <w:rFonts w:ascii="Book Antiqua" w:hAnsi="Book Antiqua" w:cs="Arial"/>
        </w:rPr>
      </w:pPr>
    </w:p>
    <w:p w14:paraId="4ECD1C0C" w14:textId="77777777" w:rsidR="000D3998" w:rsidRDefault="000D3998" w:rsidP="00847259">
      <w:pPr>
        <w:jc w:val="both"/>
        <w:rPr>
          <w:rFonts w:ascii="Book Antiqua" w:hAnsi="Book Antiqua" w:cs="Arial"/>
        </w:rPr>
      </w:pPr>
    </w:p>
    <w:p w14:paraId="2DB9D2E0" w14:textId="46704B83" w:rsidR="000D3998" w:rsidRPr="00AE6DDE" w:rsidRDefault="00170542" w:rsidP="008472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21</w:t>
      </w:r>
      <w:r w:rsidR="000D3998">
        <w:rPr>
          <w:rFonts w:ascii="Book Antiqua" w:hAnsi="Book Antiqua" w:cs="Arial"/>
        </w:rPr>
        <w:t>.</w:t>
      </w:r>
      <w:r w:rsidR="000D3998">
        <w:rPr>
          <w:rFonts w:ascii="Book Antiqua" w:hAnsi="Book Antiqua" w:cs="Arial"/>
        </w:rPr>
        <w:tab/>
        <w:t>The appeal remains allowed on protection grounds.</w:t>
      </w:r>
    </w:p>
    <w:p w14:paraId="4CDB9F09" w14:textId="77777777" w:rsidR="00F5449C" w:rsidRDefault="00F5449C" w:rsidP="00847259">
      <w:pPr>
        <w:jc w:val="both"/>
        <w:rPr>
          <w:rFonts w:ascii="Book Antiqua" w:hAnsi="Book Antiqua" w:cs="Arial"/>
          <w:b/>
          <w:u w:val="single"/>
        </w:rPr>
      </w:pPr>
    </w:p>
    <w:p w14:paraId="2070F6EF" w14:textId="77777777" w:rsidR="00EF755E" w:rsidRDefault="00EF755E" w:rsidP="00847259">
      <w:pPr>
        <w:jc w:val="both"/>
        <w:rPr>
          <w:rFonts w:ascii="Book Antiqua" w:hAnsi="Book Antiqua" w:cs="Arial"/>
          <w:b/>
          <w:u w:val="single"/>
        </w:rPr>
      </w:pPr>
    </w:p>
    <w:p w14:paraId="28BE006C" w14:textId="77777777" w:rsidR="000D3998" w:rsidRDefault="000D3998" w:rsidP="00847259">
      <w:pPr>
        <w:jc w:val="both"/>
        <w:rPr>
          <w:rFonts w:ascii="Book Antiqua" w:hAnsi="Book Antiqua" w:cs="Arial"/>
          <w:b/>
          <w:u w:val="single"/>
        </w:rPr>
      </w:pPr>
    </w:p>
    <w:p w14:paraId="1C2301A8" w14:textId="77777777" w:rsidR="00847259" w:rsidRDefault="00847259" w:rsidP="008472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14:paraId="06035C62" w14:textId="77777777" w:rsidR="00847259" w:rsidRDefault="00847259" w:rsidP="00847259">
      <w:pPr>
        <w:jc w:val="both"/>
        <w:rPr>
          <w:rFonts w:ascii="Book Antiqua" w:hAnsi="Book Antiqua" w:cs="Arial"/>
        </w:rPr>
      </w:pPr>
    </w:p>
    <w:p w14:paraId="49FBC09E" w14:textId="77777777" w:rsidR="009F5220" w:rsidRPr="00AE6DDE" w:rsidRDefault="00847259" w:rsidP="008472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Unless and </w:t>
      </w:r>
      <w:r>
        <w:rPr>
          <w:rFonts w:ascii="Book Antiqua" w:hAnsi="Book Antiqua"/>
        </w:rPr>
        <w:t xml:space="preserve">until a </w:t>
      </w:r>
      <w:r w:rsidR="00E00973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ribunal or court directs otherwise, the </w:t>
      </w:r>
      <w:r w:rsidR="00F5449C">
        <w:rPr>
          <w:rFonts w:ascii="Book Antiqua" w:hAnsi="Book Antiqua"/>
        </w:rPr>
        <w:t>Appellant</w:t>
      </w:r>
      <w:r>
        <w:rPr>
          <w:rFonts w:ascii="Book Antiqua" w:hAnsi="Book Antiqua"/>
        </w:rPr>
        <w:t xml:space="preserve"> is granted anonymity.  No report of these proceedings shall directly or indirectly identify him</w:t>
      </w:r>
      <w:r w:rsidR="00F5449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or any member of </w:t>
      </w:r>
      <w:r w:rsidR="000A66D1">
        <w:rPr>
          <w:rFonts w:ascii="Book Antiqua" w:hAnsi="Book Antiqua"/>
        </w:rPr>
        <w:t>his</w:t>
      </w:r>
      <w:r w:rsidR="00F5449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family.  This direction applies both to the </w:t>
      </w:r>
      <w:r w:rsidR="00F5449C">
        <w:rPr>
          <w:rFonts w:ascii="Book Antiqua" w:hAnsi="Book Antiqua"/>
        </w:rPr>
        <w:t>Appellant</w:t>
      </w:r>
      <w:r>
        <w:rPr>
          <w:rFonts w:ascii="Book Antiqua" w:hAnsi="Book Antiqua"/>
        </w:rPr>
        <w:t xml:space="preserve"> and to the </w:t>
      </w:r>
      <w:r w:rsidR="00F5449C">
        <w:rPr>
          <w:rFonts w:ascii="Book Antiqua" w:hAnsi="Book Antiqua"/>
        </w:rPr>
        <w:t>Respondent</w:t>
      </w:r>
      <w:r>
        <w:rPr>
          <w:rFonts w:ascii="Book Antiqua" w:hAnsi="Book Antiqua"/>
        </w:rPr>
        <w:t>.  Failure to comply with this direction could lead to contempt of court proceedings.</w:t>
      </w:r>
    </w:p>
    <w:p w14:paraId="5A193CE5" w14:textId="77777777" w:rsidR="009F5220" w:rsidRDefault="009F5220" w:rsidP="00847259">
      <w:pPr>
        <w:jc w:val="both"/>
        <w:rPr>
          <w:rFonts w:ascii="Book Antiqua" w:hAnsi="Book Antiqua" w:cs="Arial"/>
        </w:rPr>
      </w:pPr>
    </w:p>
    <w:p w14:paraId="22D36FDC" w14:textId="77777777" w:rsidR="00847259" w:rsidRPr="00AE6DDE" w:rsidRDefault="00847259" w:rsidP="00847259">
      <w:pPr>
        <w:jc w:val="both"/>
        <w:rPr>
          <w:rFonts w:ascii="Book Antiqua" w:hAnsi="Book Antiqua" w:cs="Arial"/>
        </w:rPr>
      </w:pPr>
    </w:p>
    <w:p w14:paraId="24770BD0" w14:textId="77777777" w:rsidR="009F5220" w:rsidRPr="00EF755E" w:rsidRDefault="00EF755E" w:rsidP="00847259">
      <w:pPr>
        <w:jc w:val="both"/>
        <w:rPr>
          <w:rFonts w:ascii="Book Antiqua" w:hAnsi="Book Antiqua" w:cs="Arial"/>
          <w:i/>
        </w:rPr>
      </w:pPr>
      <w:r w:rsidRPr="00EF755E">
        <w:rPr>
          <w:rFonts w:ascii="Book Antiqua" w:hAnsi="Book Antiqua" w:cs="Arial"/>
          <w:i/>
        </w:rPr>
        <w:t>The above represents a corrected transcript of ex tempore reasons given at the conclusion of the hearing.</w:t>
      </w:r>
    </w:p>
    <w:p w14:paraId="060CE995" w14:textId="77777777"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14:paraId="712D29AF" w14:textId="31956007" w:rsidR="00B777FD" w:rsidRDefault="00B777FD" w:rsidP="00847259">
      <w:pPr>
        <w:jc w:val="both"/>
        <w:rPr>
          <w:rFonts w:ascii="Book Antiqua" w:hAnsi="Book Antiqua" w:cs="Arial"/>
        </w:rPr>
      </w:pPr>
    </w:p>
    <w:p w14:paraId="4A91C5EF" w14:textId="77777777" w:rsidR="00BC7CB0" w:rsidRDefault="00BC7CB0" w:rsidP="00847259">
      <w:pPr>
        <w:jc w:val="both"/>
        <w:rPr>
          <w:rFonts w:ascii="Book Antiqua" w:hAnsi="Book Antiqua" w:cs="Arial"/>
        </w:rPr>
      </w:pPr>
    </w:p>
    <w:p w14:paraId="6CA51BED" w14:textId="77777777" w:rsidR="001F2716" w:rsidRPr="00AE6DDE" w:rsidRDefault="00780F86" w:rsidP="00847259">
      <w:pPr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Signed</w:t>
      </w:r>
      <w:r w:rsidR="00EF755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="001F2716" w:rsidRPr="00AE6DDE">
        <w:rPr>
          <w:rFonts w:ascii="Book Antiqua" w:hAnsi="Book Antiqua" w:cs="Arial"/>
        </w:rPr>
        <w:t>Date</w:t>
      </w:r>
      <w:r w:rsidR="00EF755E">
        <w:rPr>
          <w:rFonts w:ascii="Book Antiqua" w:hAnsi="Book Antiqua" w:cs="Arial"/>
        </w:rPr>
        <w:t xml:space="preserve">: </w:t>
      </w:r>
      <w:r w:rsidR="00EF755E" w:rsidRPr="00EF755E">
        <w:rPr>
          <w:rFonts w:ascii="Book Antiqua" w:hAnsi="Book Antiqua" w:cs="Arial"/>
          <w:b/>
        </w:rPr>
        <w:t>1 August 2018</w:t>
      </w:r>
    </w:p>
    <w:p w14:paraId="152D4EF5" w14:textId="77777777"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14:paraId="063ACA39" w14:textId="77777777" w:rsidR="0062078F" w:rsidRPr="00EF755E" w:rsidRDefault="00347A9C" w:rsidP="00847259">
      <w:pPr>
        <w:jc w:val="both"/>
        <w:rPr>
          <w:rFonts w:ascii="Book Antiqua" w:hAnsi="Book Antiqua" w:cs="Arial"/>
          <w:b/>
          <w:color w:val="000000"/>
        </w:rPr>
      </w:pPr>
      <w:r w:rsidRPr="00EF755E">
        <w:rPr>
          <w:rFonts w:ascii="Book Antiqua" w:hAnsi="Book Antiqua" w:cs="Arial"/>
          <w:b/>
          <w:color w:val="000000"/>
        </w:rPr>
        <w:t xml:space="preserve">Deputy Upper Tribunal </w:t>
      </w:r>
      <w:r w:rsidR="00F5449C" w:rsidRPr="00EF755E">
        <w:rPr>
          <w:rFonts w:ascii="Book Antiqua" w:hAnsi="Book Antiqua" w:cs="Arial"/>
          <w:b/>
          <w:color w:val="000000"/>
        </w:rPr>
        <w:t>Judge</w:t>
      </w:r>
      <w:r w:rsidRPr="00EF755E">
        <w:rPr>
          <w:rFonts w:ascii="Book Antiqua" w:hAnsi="Book Antiqua" w:cs="Arial"/>
          <w:b/>
          <w:color w:val="000000"/>
        </w:rPr>
        <w:t xml:space="preserve"> I A Lewis</w:t>
      </w:r>
      <w:r w:rsidR="005E761F" w:rsidRPr="00EF755E">
        <w:rPr>
          <w:rFonts w:ascii="Book Antiqua" w:hAnsi="Book Antiqua" w:cs="Arial"/>
          <w:b/>
          <w:color w:val="000000"/>
        </w:rPr>
        <w:t xml:space="preserve"> </w:t>
      </w:r>
    </w:p>
    <w:p w14:paraId="186CAF8C" w14:textId="77777777" w:rsidR="00847259" w:rsidRDefault="00847259" w:rsidP="00847259">
      <w:pPr>
        <w:jc w:val="both"/>
        <w:rPr>
          <w:rFonts w:ascii="Book Antiqua" w:hAnsi="Book Antiqua" w:cs="Arial"/>
          <w:color w:val="000000"/>
        </w:rPr>
      </w:pPr>
    </w:p>
    <w:sectPr w:rsidR="00847259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5754E" w14:textId="77777777" w:rsidR="007554C1" w:rsidRDefault="007554C1">
      <w:r>
        <w:separator/>
      </w:r>
    </w:p>
  </w:endnote>
  <w:endnote w:type="continuationSeparator" w:id="0">
    <w:p w14:paraId="18E8AB20" w14:textId="77777777" w:rsidR="007554C1" w:rsidRDefault="0075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9BBA" w14:textId="21BABCD2" w:rsidR="00CD3634" w:rsidRPr="00AE6DDE" w:rsidRDefault="00CD3634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AE6DDE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AE6DDE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AE6DDE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F66AF9">
      <w:rPr>
        <w:rStyle w:val="PageNumber"/>
        <w:rFonts w:ascii="Book Antiqua" w:hAnsi="Book Antiqua" w:cs="Arial"/>
        <w:noProof/>
        <w:sz w:val="16"/>
        <w:szCs w:val="16"/>
      </w:rPr>
      <w:t>5</w:t>
    </w:r>
    <w:r w:rsidRPr="00AE6DDE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4FB91" w14:textId="77777777" w:rsidR="00CD3634" w:rsidRPr="00AE6DDE" w:rsidRDefault="00CD3634" w:rsidP="00254DBC">
    <w:pPr>
      <w:jc w:val="center"/>
      <w:rPr>
        <w:rFonts w:ascii="Book Antiqua" w:hAnsi="Book Antiqua" w:cs="Arial"/>
        <w:b/>
      </w:rPr>
    </w:pPr>
    <w:r w:rsidRPr="00AE6DDE">
      <w:rPr>
        <w:rFonts w:ascii="Book Antiqua" w:hAnsi="Book Antiqua" w:cs="Arial"/>
        <w:b/>
        <w:spacing w:val="-6"/>
      </w:rPr>
      <w:t>©</w:t>
    </w:r>
    <w:r w:rsidR="00E745EC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42663" w14:textId="77777777" w:rsidR="007554C1" w:rsidRDefault="007554C1">
      <w:r>
        <w:separator/>
      </w:r>
    </w:p>
  </w:footnote>
  <w:footnote w:type="continuationSeparator" w:id="0">
    <w:p w14:paraId="5BDF060E" w14:textId="77777777" w:rsidR="007554C1" w:rsidRDefault="00755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28F8C" w14:textId="77777777" w:rsidR="00CD3634" w:rsidRPr="000A66D1" w:rsidRDefault="00CD3634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6DDE">
      <w:rPr>
        <w:rFonts w:ascii="Book Antiqua" w:hAnsi="Book Antiqua" w:cs="Arial"/>
        <w:sz w:val="16"/>
        <w:szCs w:val="16"/>
      </w:rPr>
      <w:t xml:space="preserve">Appeal Number: </w:t>
    </w:r>
    <w:r w:rsidR="000A66D1" w:rsidRPr="000A66D1">
      <w:rPr>
        <w:rFonts w:ascii="Book Antiqua" w:hAnsi="Book Antiqua" w:cs="Arial"/>
        <w:sz w:val="16"/>
        <w:szCs w:val="16"/>
      </w:rPr>
      <w:t>PA/02734/2018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1D73C" w14:textId="77777777" w:rsidR="00CD3634" w:rsidRPr="00AE6DDE" w:rsidRDefault="00CD3634">
    <w:pPr>
      <w:pStyle w:val="Header"/>
      <w:rPr>
        <w:rFonts w:ascii="Book Antiqua" w:hAnsi="Book Antiqua"/>
      </w:rPr>
    </w:pPr>
    <w:r w:rsidRPr="00AE6DDE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17DF"/>
    <w:multiLevelType w:val="hybridMultilevel"/>
    <w:tmpl w:val="5150CDE0"/>
    <w:lvl w:ilvl="0" w:tplc="0216714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6343D0"/>
    <w:multiLevelType w:val="hybridMultilevel"/>
    <w:tmpl w:val="7F1234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E9C9705-776A-4A6B-8B41-B2D472BB3286}"/>
    <w:docVar w:name="dgnword-eventsink" w:val="475374600"/>
  </w:docVars>
  <w:rsids>
    <w:rsidRoot w:val="0095710F"/>
    <w:rsid w:val="00000621"/>
    <w:rsid w:val="000036C2"/>
    <w:rsid w:val="00015547"/>
    <w:rsid w:val="00033D3D"/>
    <w:rsid w:val="00036302"/>
    <w:rsid w:val="00062F02"/>
    <w:rsid w:val="00071A7E"/>
    <w:rsid w:val="000746C0"/>
    <w:rsid w:val="00074D1D"/>
    <w:rsid w:val="00092580"/>
    <w:rsid w:val="00093D4D"/>
    <w:rsid w:val="000A66D1"/>
    <w:rsid w:val="000B24F7"/>
    <w:rsid w:val="000B66BA"/>
    <w:rsid w:val="000C4CC2"/>
    <w:rsid w:val="000C78B9"/>
    <w:rsid w:val="000D3998"/>
    <w:rsid w:val="000D5D94"/>
    <w:rsid w:val="000F1A0E"/>
    <w:rsid w:val="001165A7"/>
    <w:rsid w:val="00136424"/>
    <w:rsid w:val="00167D3A"/>
    <w:rsid w:val="00170542"/>
    <w:rsid w:val="00173946"/>
    <w:rsid w:val="00173A2D"/>
    <w:rsid w:val="00183C8D"/>
    <w:rsid w:val="001A3082"/>
    <w:rsid w:val="001B186A"/>
    <w:rsid w:val="001B2F75"/>
    <w:rsid w:val="001F2716"/>
    <w:rsid w:val="00207617"/>
    <w:rsid w:val="00224D49"/>
    <w:rsid w:val="0023134B"/>
    <w:rsid w:val="002376E5"/>
    <w:rsid w:val="00252EB7"/>
    <w:rsid w:val="00253D70"/>
    <w:rsid w:val="00254DBC"/>
    <w:rsid w:val="00283659"/>
    <w:rsid w:val="002C1F85"/>
    <w:rsid w:val="002C6BD4"/>
    <w:rsid w:val="002D083B"/>
    <w:rsid w:val="002D68BF"/>
    <w:rsid w:val="002F6B98"/>
    <w:rsid w:val="00336CBF"/>
    <w:rsid w:val="00343FE3"/>
    <w:rsid w:val="00347A9C"/>
    <w:rsid w:val="003546C8"/>
    <w:rsid w:val="003608E9"/>
    <w:rsid w:val="00375226"/>
    <w:rsid w:val="0039370F"/>
    <w:rsid w:val="003A0375"/>
    <w:rsid w:val="003A7CF2"/>
    <w:rsid w:val="003C5CE5"/>
    <w:rsid w:val="003D0C56"/>
    <w:rsid w:val="003E267B"/>
    <w:rsid w:val="003E7CD1"/>
    <w:rsid w:val="003F43AF"/>
    <w:rsid w:val="003F4C61"/>
    <w:rsid w:val="00402B9E"/>
    <w:rsid w:val="00411BA2"/>
    <w:rsid w:val="004249CB"/>
    <w:rsid w:val="0044127D"/>
    <w:rsid w:val="004448DB"/>
    <w:rsid w:val="00446C9A"/>
    <w:rsid w:val="00447988"/>
    <w:rsid w:val="00452F2B"/>
    <w:rsid w:val="00471E3C"/>
    <w:rsid w:val="00477193"/>
    <w:rsid w:val="00490C5F"/>
    <w:rsid w:val="00495B53"/>
    <w:rsid w:val="004A1848"/>
    <w:rsid w:val="004A6E63"/>
    <w:rsid w:val="004A6F4A"/>
    <w:rsid w:val="004E4717"/>
    <w:rsid w:val="004F18C4"/>
    <w:rsid w:val="004F672C"/>
    <w:rsid w:val="0050388A"/>
    <w:rsid w:val="00507FEC"/>
    <w:rsid w:val="00510F0E"/>
    <w:rsid w:val="005420FD"/>
    <w:rsid w:val="005473D4"/>
    <w:rsid w:val="005479E1"/>
    <w:rsid w:val="00553E0A"/>
    <w:rsid w:val="005570FD"/>
    <w:rsid w:val="005575EA"/>
    <w:rsid w:val="0057790C"/>
    <w:rsid w:val="00593795"/>
    <w:rsid w:val="00596130"/>
    <w:rsid w:val="005A75FF"/>
    <w:rsid w:val="005C2B9C"/>
    <w:rsid w:val="005D10AB"/>
    <w:rsid w:val="005E3B61"/>
    <w:rsid w:val="005E761F"/>
    <w:rsid w:val="00601D8F"/>
    <w:rsid w:val="0062078F"/>
    <w:rsid w:val="00653E97"/>
    <w:rsid w:val="00684A74"/>
    <w:rsid w:val="00690B8A"/>
    <w:rsid w:val="006B49B0"/>
    <w:rsid w:val="006C1A03"/>
    <w:rsid w:val="006E47C4"/>
    <w:rsid w:val="006F2CF1"/>
    <w:rsid w:val="00703184"/>
    <w:rsid w:val="007038ED"/>
    <w:rsid w:val="00703BC3"/>
    <w:rsid w:val="00704B61"/>
    <w:rsid w:val="00716D25"/>
    <w:rsid w:val="007552A9"/>
    <w:rsid w:val="007554C1"/>
    <w:rsid w:val="00761858"/>
    <w:rsid w:val="00767D59"/>
    <w:rsid w:val="00776E97"/>
    <w:rsid w:val="00780F86"/>
    <w:rsid w:val="007912AD"/>
    <w:rsid w:val="007A0794"/>
    <w:rsid w:val="007B0824"/>
    <w:rsid w:val="007B5D3C"/>
    <w:rsid w:val="007F22F9"/>
    <w:rsid w:val="00821B72"/>
    <w:rsid w:val="00823EF2"/>
    <w:rsid w:val="00827025"/>
    <w:rsid w:val="008303B8"/>
    <w:rsid w:val="00833DCE"/>
    <w:rsid w:val="00847259"/>
    <w:rsid w:val="008478F6"/>
    <w:rsid w:val="00854534"/>
    <w:rsid w:val="0086688B"/>
    <w:rsid w:val="00871D34"/>
    <w:rsid w:val="00874D45"/>
    <w:rsid w:val="008B270C"/>
    <w:rsid w:val="008B5078"/>
    <w:rsid w:val="008C3D3D"/>
    <w:rsid w:val="008D4131"/>
    <w:rsid w:val="008F1932"/>
    <w:rsid w:val="00921062"/>
    <w:rsid w:val="00942BEE"/>
    <w:rsid w:val="00947565"/>
    <w:rsid w:val="009517D1"/>
    <w:rsid w:val="0095710F"/>
    <w:rsid w:val="009722BC"/>
    <w:rsid w:val="009727A3"/>
    <w:rsid w:val="00983DFE"/>
    <w:rsid w:val="00984E64"/>
    <w:rsid w:val="00987774"/>
    <w:rsid w:val="009A11E8"/>
    <w:rsid w:val="009B443B"/>
    <w:rsid w:val="009D1EA3"/>
    <w:rsid w:val="009D623C"/>
    <w:rsid w:val="009F5220"/>
    <w:rsid w:val="009F6BAB"/>
    <w:rsid w:val="00A15234"/>
    <w:rsid w:val="00A201AB"/>
    <w:rsid w:val="00A31C8B"/>
    <w:rsid w:val="00A509FA"/>
    <w:rsid w:val="00A57B5D"/>
    <w:rsid w:val="00A845DC"/>
    <w:rsid w:val="00A92942"/>
    <w:rsid w:val="00AD21C3"/>
    <w:rsid w:val="00AD5231"/>
    <w:rsid w:val="00AE6DDE"/>
    <w:rsid w:val="00AE7D4D"/>
    <w:rsid w:val="00B05FFD"/>
    <w:rsid w:val="00B26AA2"/>
    <w:rsid w:val="00B3524D"/>
    <w:rsid w:val="00B40F69"/>
    <w:rsid w:val="00B46616"/>
    <w:rsid w:val="00B7040A"/>
    <w:rsid w:val="00B777FD"/>
    <w:rsid w:val="00B83391"/>
    <w:rsid w:val="00B87C01"/>
    <w:rsid w:val="00B95326"/>
    <w:rsid w:val="00BC2C4A"/>
    <w:rsid w:val="00BC7CB0"/>
    <w:rsid w:val="00BD4196"/>
    <w:rsid w:val="00BE6840"/>
    <w:rsid w:val="00BF22CA"/>
    <w:rsid w:val="00BF23BB"/>
    <w:rsid w:val="00C26032"/>
    <w:rsid w:val="00C345E1"/>
    <w:rsid w:val="00C43BFD"/>
    <w:rsid w:val="00C53074"/>
    <w:rsid w:val="00C612EB"/>
    <w:rsid w:val="00C73ED3"/>
    <w:rsid w:val="00CB6E35"/>
    <w:rsid w:val="00CD3634"/>
    <w:rsid w:val="00CD58CE"/>
    <w:rsid w:val="00CD59AC"/>
    <w:rsid w:val="00CE1A46"/>
    <w:rsid w:val="00D20757"/>
    <w:rsid w:val="00D22636"/>
    <w:rsid w:val="00D40FD9"/>
    <w:rsid w:val="00D45631"/>
    <w:rsid w:val="00D53769"/>
    <w:rsid w:val="00D85C13"/>
    <w:rsid w:val="00D87AF7"/>
    <w:rsid w:val="00D9111A"/>
    <w:rsid w:val="00D91BE3"/>
    <w:rsid w:val="00D94AFC"/>
    <w:rsid w:val="00DB70AE"/>
    <w:rsid w:val="00DD1BBC"/>
    <w:rsid w:val="00DD5071"/>
    <w:rsid w:val="00DD5C39"/>
    <w:rsid w:val="00DE7DB7"/>
    <w:rsid w:val="00DF09E9"/>
    <w:rsid w:val="00E00973"/>
    <w:rsid w:val="00E00A0A"/>
    <w:rsid w:val="00E030DE"/>
    <w:rsid w:val="00E066DE"/>
    <w:rsid w:val="00E07F57"/>
    <w:rsid w:val="00E30683"/>
    <w:rsid w:val="00E453D8"/>
    <w:rsid w:val="00E50BCE"/>
    <w:rsid w:val="00E574BF"/>
    <w:rsid w:val="00E61292"/>
    <w:rsid w:val="00E67616"/>
    <w:rsid w:val="00E745EC"/>
    <w:rsid w:val="00E77C4D"/>
    <w:rsid w:val="00E81D01"/>
    <w:rsid w:val="00E845A5"/>
    <w:rsid w:val="00EB260B"/>
    <w:rsid w:val="00EE45D8"/>
    <w:rsid w:val="00EF755E"/>
    <w:rsid w:val="00F22EDA"/>
    <w:rsid w:val="00F5449C"/>
    <w:rsid w:val="00F66AF9"/>
    <w:rsid w:val="00F74FA7"/>
    <w:rsid w:val="00FB35B6"/>
    <w:rsid w:val="00FB6DB1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7169"/>
    <o:shapelayout v:ext="edit">
      <o:idmap v:ext="edit" data="1"/>
    </o:shapelayout>
  </w:shapeDefaults>
  <w:decimalSymbol w:val="."/>
  <w:listSeparator w:val=","/>
  <w14:docId w14:val="7BE08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1598</Words>
  <Characters>8003</Characters>
  <Application>Microsoft Office Word</Application>
  <DocSecurity>0</DocSecurity>
  <Lines>66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2018-08-28T14:34:00Z</dcterms:created>
  <dcterms:modified xsi:type="dcterms:W3CDTF">2018-08-28T14:34:00Z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