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DE1A0F" w14:textId="77777777" w:rsidR="00C321B5" w:rsidRPr="00F5664C" w:rsidRDefault="005858B7" w:rsidP="00C321B5">
      <w:pPr>
        <w:jc w:val="center"/>
        <w:rPr>
          <w:rFonts w:ascii="Book Antiqua" w:hAnsi="Book Antiqua" w:cs="Arial"/>
          <w:sz w:val="16"/>
          <w:szCs w:val="16"/>
        </w:rPr>
      </w:pPr>
      <w:r>
        <w:rPr>
          <w:noProof/>
        </w:rPr>
        <w:drawing>
          <wp:inline distT="0" distB="0" distL="0" distR="0" wp14:anchorId="64A1B728" wp14:editId="2AFC6A3A">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7CFC2B51" w14:textId="77777777" w:rsidR="00D94AFC" w:rsidRPr="00F5664C" w:rsidRDefault="00D94AFC">
      <w:pPr>
        <w:rPr>
          <w:rFonts w:ascii="Book Antiqua" w:hAnsi="Book Antiqua" w:cs="Arial"/>
        </w:rPr>
      </w:pPr>
    </w:p>
    <w:p w14:paraId="7116CD44"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12CD99E0" w14:textId="77777777" w:rsidR="007B0824" w:rsidRPr="00EE364F"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EE364F" w:rsidRPr="00EE364F">
        <w:rPr>
          <w:rFonts w:ascii="Book Antiqua" w:hAnsi="Book Antiqua" w:cs="Arial"/>
          <w:caps/>
        </w:rPr>
        <w:t>PA/02766/2018</w:t>
      </w:r>
      <w:bookmarkEnd w:id="0"/>
    </w:p>
    <w:p w14:paraId="7494D6B3" w14:textId="77777777" w:rsidR="00C345E1" w:rsidRPr="00F5664C" w:rsidRDefault="00C345E1" w:rsidP="00C345E1">
      <w:pPr>
        <w:jc w:val="center"/>
        <w:rPr>
          <w:rFonts w:ascii="Book Antiqua" w:hAnsi="Book Antiqua" w:cs="Arial"/>
        </w:rPr>
      </w:pPr>
    </w:p>
    <w:p w14:paraId="0CFD974D" w14:textId="77777777" w:rsidR="00C345E1" w:rsidRPr="00F5664C" w:rsidRDefault="00C345E1" w:rsidP="00C345E1">
      <w:pPr>
        <w:jc w:val="center"/>
        <w:rPr>
          <w:rFonts w:ascii="Book Antiqua" w:hAnsi="Book Antiqua" w:cs="Arial"/>
        </w:rPr>
      </w:pPr>
    </w:p>
    <w:p w14:paraId="77A22BA1"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2370A458" w14:textId="77777777" w:rsidR="00C345E1" w:rsidRPr="00F5664C" w:rsidRDefault="00C345E1" w:rsidP="00C345E1">
      <w:pPr>
        <w:jc w:val="center"/>
        <w:rPr>
          <w:rFonts w:ascii="Book Antiqua" w:hAnsi="Book Antiqua" w:cs="Arial"/>
          <w:b/>
          <w:u w:val="single"/>
        </w:rPr>
      </w:pPr>
    </w:p>
    <w:p w14:paraId="335D8A54" w14:textId="77777777"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E249AA" w14:paraId="666693EC" w14:textId="77777777" w:rsidTr="00E249AA">
        <w:tc>
          <w:tcPr>
            <w:tcW w:w="6048" w:type="dxa"/>
            <w:shd w:val="clear" w:color="auto" w:fill="auto"/>
          </w:tcPr>
          <w:p w14:paraId="2690817F"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Heard at </w:t>
            </w:r>
            <w:r w:rsidR="00EE364F">
              <w:rPr>
                <w:rFonts w:ascii="Book Antiqua" w:hAnsi="Book Antiqua" w:cs="Arial"/>
                <w:b/>
              </w:rPr>
              <w:t xml:space="preserve">Field House </w:t>
            </w:r>
          </w:p>
        </w:tc>
        <w:tc>
          <w:tcPr>
            <w:tcW w:w="3960" w:type="dxa"/>
            <w:shd w:val="clear" w:color="auto" w:fill="auto"/>
          </w:tcPr>
          <w:p w14:paraId="10C4BBD5" w14:textId="77777777" w:rsidR="00D22636" w:rsidRPr="00E249AA" w:rsidRDefault="003405B7" w:rsidP="00E249AA">
            <w:pPr>
              <w:jc w:val="both"/>
              <w:rPr>
                <w:rFonts w:ascii="Book Antiqua" w:hAnsi="Book Antiqua" w:cs="Arial"/>
                <w:b/>
              </w:rPr>
            </w:pPr>
            <w:r w:rsidRPr="00E249AA">
              <w:rPr>
                <w:rFonts w:ascii="Book Antiqua" w:hAnsi="Book Antiqua" w:cs="Arial"/>
                <w:b/>
              </w:rPr>
              <w:t>Decision &amp; Reasons</w:t>
            </w:r>
            <w:r w:rsidR="00283659" w:rsidRPr="00E249AA">
              <w:rPr>
                <w:rFonts w:ascii="Book Antiqua" w:hAnsi="Book Antiqua" w:cs="Arial"/>
                <w:b/>
              </w:rPr>
              <w:t xml:space="preserve"> Promulgated</w:t>
            </w:r>
          </w:p>
        </w:tc>
      </w:tr>
      <w:tr w:rsidR="00D22636" w:rsidRPr="00E249AA" w14:paraId="2FA7794E" w14:textId="77777777" w:rsidTr="00E249AA">
        <w:tc>
          <w:tcPr>
            <w:tcW w:w="6048" w:type="dxa"/>
            <w:shd w:val="clear" w:color="auto" w:fill="auto"/>
          </w:tcPr>
          <w:p w14:paraId="0845B1C2" w14:textId="77777777" w:rsidR="00D22636" w:rsidRPr="00E249AA" w:rsidRDefault="00D22636" w:rsidP="00E249AA">
            <w:pPr>
              <w:jc w:val="both"/>
              <w:rPr>
                <w:rFonts w:ascii="Book Antiqua" w:hAnsi="Book Antiqua" w:cs="Arial"/>
                <w:b/>
              </w:rPr>
            </w:pPr>
            <w:r w:rsidRPr="00E249AA">
              <w:rPr>
                <w:rFonts w:ascii="Book Antiqua" w:hAnsi="Book Antiqua" w:cs="Arial"/>
                <w:b/>
              </w:rPr>
              <w:t xml:space="preserve">On </w:t>
            </w:r>
            <w:r w:rsidR="00EE364F">
              <w:rPr>
                <w:rFonts w:ascii="Book Antiqua" w:hAnsi="Book Antiqua" w:cs="Arial"/>
                <w:b/>
              </w:rPr>
              <w:t>22</w:t>
            </w:r>
            <w:r w:rsidR="00EE364F" w:rsidRPr="00EE364F">
              <w:rPr>
                <w:rFonts w:ascii="Book Antiqua" w:hAnsi="Book Antiqua" w:cs="Arial"/>
                <w:b/>
                <w:vertAlign w:val="superscript"/>
              </w:rPr>
              <w:t>nd</w:t>
            </w:r>
            <w:r w:rsidR="00EE364F">
              <w:rPr>
                <w:rFonts w:ascii="Book Antiqua" w:hAnsi="Book Antiqua" w:cs="Arial"/>
                <w:b/>
              </w:rPr>
              <w:t xml:space="preserve"> June 2018 </w:t>
            </w:r>
          </w:p>
        </w:tc>
        <w:tc>
          <w:tcPr>
            <w:tcW w:w="3960" w:type="dxa"/>
            <w:shd w:val="clear" w:color="auto" w:fill="auto"/>
          </w:tcPr>
          <w:p w14:paraId="74C11DF7" w14:textId="6D6233CF" w:rsidR="00D22636" w:rsidRPr="00E249AA" w:rsidRDefault="00215F77" w:rsidP="00E249AA">
            <w:pPr>
              <w:jc w:val="both"/>
              <w:rPr>
                <w:rFonts w:ascii="Book Antiqua" w:hAnsi="Book Antiqua" w:cs="Arial"/>
                <w:b/>
              </w:rPr>
            </w:pPr>
            <w:r>
              <w:rPr>
                <w:rFonts w:ascii="Book Antiqua" w:hAnsi="Book Antiqua" w:cs="Arial"/>
                <w:b/>
              </w:rPr>
              <w:t>On 13</w:t>
            </w:r>
            <w:r w:rsidRPr="00215F77">
              <w:rPr>
                <w:rFonts w:ascii="Book Antiqua" w:hAnsi="Book Antiqua" w:cs="Arial"/>
                <w:b/>
                <w:vertAlign w:val="superscript"/>
              </w:rPr>
              <w:t>th</w:t>
            </w:r>
            <w:r>
              <w:rPr>
                <w:rFonts w:ascii="Book Antiqua" w:hAnsi="Book Antiqua" w:cs="Arial"/>
                <w:b/>
              </w:rPr>
              <w:t xml:space="preserve"> July 2018</w:t>
            </w:r>
          </w:p>
        </w:tc>
      </w:tr>
      <w:tr w:rsidR="00D22636" w:rsidRPr="00E249AA" w14:paraId="15B70909" w14:textId="77777777" w:rsidTr="00E249AA">
        <w:tc>
          <w:tcPr>
            <w:tcW w:w="6048" w:type="dxa"/>
            <w:shd w:val="clear" w:color="auto" w:fill="auto"/>
          </w:tcPr>
          <w:p w14:paraId="46E56074" w14:textId="77777777" w:rsidR="00D22636" w:rsidRPr="00E249AA" w:rsidRDefault="00D22636" w:rsidP="00E249AA">
            <w:pPr>
              <w:jc w:val="both"/>
              <w:rPr>
                <w:rFonts w:ascii="Book Antiqua" w:hAnsi="Book Antiqua" w:cs="Arial"/>
                <w:b/>
              </w:rPr>
            </w:pPr>
          </w:p>
        </w:tc>
        <w:tc>
          <w:tcPr>
            <w:tcW w:w="3960" w:type="dxa"/>
            <w:shd w:val="clear" w:color="auto" w:fill="auto"/>
          </w:tcPr>
          <w:p w14:paraId="68B2280A" w14:textId="661584FA" w:rsidR="00D22636" w:rsidRPr="00E249AA" w:rsidRDefault="00D22636" w:rsidP="00E249AA">
            <w:pPr>
              <w:jc w:val="both"/>
              <w:rPr>
                <w:rFonts w:ascii="Book Antiqua" w:hAnsi="Book Antiqua" w:cs="Arial"/>
                <w:b/>
              </w:rPr>
            </w:pPr>
          </w:p>
        </w:tc>
      </w:tr>
    </w:tbl>
    <w:p w14:paraId="29E26C59" w14:textId="77777777" w:rsidR="00A15234" w:rsidRPr="00F5664C" w:rsidRDefault="00A15234" w:rsidP="00A15234">
      <w:pPr>
        <w:jc w:val="center"/>
        <w:rPr>
          <w:rFonts w:ascii="Book Antiqua" w:hAnsi="Book Antiqua" w:cs="Arial"/>
        </w:rPr>
      </w:pPr>
    </w:p>
    <w:p w14:paraId="6E635025" w14:textId="77777777" w:rsidR="00A15234" w:rsidRPr="00F5664C" w:rsidRDefault="00A15234" w:rsidP="00A15234">
      <w:pPr>
        <w:jc w:val="center"/>
        <w:rPr>
          <w:rFonts w:ascii="Book Antiqua" w:hAnsi="Book Antiqua" w:cs="Arial"/>
        </w:rPr>
      </w:pPr>
    </w:p>
    <w:p w14:paraId="73069605"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5EB64450" w14:textId="77777777" w:rsidR="00A15234" w:rsidRPr="00F5664C" w:rsidRDefault="00A15234" w:rsidP="00A15234">
      <w:pPr>
        <w:jc w:val="center"/>
        <w:rPr>
          <w:rFonts w:ascii="Book Antiqua" w:hAnsi="Book Antiqua" w:cs="Arial"/>
          <w:b/>
        </w:rPr>
      </w:pPr>
    </w:p>
    <w:p w14:paraId="11678CB4"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14:paraId="4C8D8E7C" w14:textId="77777777" w:rsidR="001A1E2C" w:rsidRDefault="001A1E2C" w:rsidP="00A15234">
      <w:pPr>
        <w:jc w:val="center"/>
        <w:rPr>
          <w:rFonts w:ascii="Book Antiqua" w:hAnsi="Book Antiqua" w:cs="Arial"/>
          <w:b/>
        </w:rPr>
      </w:pPr>
    </w:p>
    <w:p w14:paraId="6DA0149E" w14:textId="77777777" w:rsidR="00B16F58" w:rsidRPr="00F5664C" w:rsidRDefault="00B16F58" w:rsidP="00A15234">
      <w:pPr>
        <w:jc w:val="center"/>
        <w:rPr>
          <w:rFonts w:ascii="Book Antiqua" w:hAnsi="Book Antiqua" w:cs="Arial"/>
          <w:b/>
        </w:rPr>
      </w:pPr>
    </w:p>
    <w:p w14:paraId="3143EEFB"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1633D725" w14:textId="77777777" w:rsidR="00A845DC" w:rsidRPr="00F5664C" w:rsidRDefault="00A845DC" w:rsidP="00A15234">
      <w:pPr>
        <w:jc w:val="center"/>
        <w:rPr>
          <w:rFonts w:ascii="Book Antiqua" w:hAnsi="Book Antiqua" w:cs="Arial"/>
          <w:b/>
        </w:rPr>
      </w:pPr>
    </w:p>
    <w:p w14:paraId="5DD1769D" w14:textId="77777777" w:rsidR="003405B7" w:rsidRDefault="00EE364F" w:rsidP="003405B7">
      <w:pPr>
        <w:jc w:val="center"/>
        <w:rPr>
          <w:rFonts w:ascii="Book Antiqua" w:hAnsi="Book Antiqua" w:cs="Arial"/>
          <w:b/>
          <w:caps/>
        </w:rPr>
      </w:pPr>
      <w:r>
        <w:rPr>
          <w:rFonts w:ascii="Book Antiqua" w:hAnsi="Book Antiqua" w:cs="Arial"/>
          <w:b/>
          <w:caps/>
        </w:rPr>
        <w:t>the Secretary of State for the Home Department</w:t>
      </w:r>
    </w:p>
    <w:p w14:paraId="47C04C83" w14:textId="77777777" w:rsidR="00704B61" w:rsidRPr="00F5664C" w:rsidRDefault="00B42AE2" w:rsidP="00704B61">
      <w:pPr>
        <w:jc w:val="right"/>
        <w:rPr>
          <w:rFonts w:ascii="Book Antiqua" w:hAnsi="Book Antiqua" w:cs="Arial"/>
          <w:u w:val="single"/>
        </w:rPr>
      </w:pPr>
      <w:r>
        <w:rPr>
          <w:rFonts w:ascii="Book Antiqua" w:hAnsi="Book Antiqua" w:cs="Arial"/>
          <w:u w:val="single"/>
        </w:rPr>
        <w:t>Appellant</w:t>
      </w:r>
    </w:p>
    <w:p w14:paraId="37441183" w14:textId="77777777" w:rsidR="006D1DFA" w:rsidRPr="00F5664C" w:rsidRDefault="006D1DFA" w:rsidP="00704B61">
      <w:pPr>
        <w:jc w:val="center"/>
        <w:rPr>
          <w:rFonts w:ascii="Book Antiqua" w:hAnsi="Book Antiqua" w:cs="Arial"/>
          <w:b/>
        </w:rPr>
      </w:pPr>
    </w:p>
    <w:p w14:paraId="496092D9"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18EE7AE2" w14:textId="77777777" w:rsidR="00DD5071" w:rsidRPr="00F5664C" w:rsidRDefault="00DD5071" w:rsidP="00704B61">
      <w:pPr>
        <w:jc w:val="center"/>
        <w:rPr>
          <w:rFonts w:ascii="Book Antiqua" w:hAnsi="Book Antiqua" w:cs="Arial"/>
          <w:b/>
        </w:rPr>
      </w:pPr>
    </w:p>
    <w:p w14:paraId="0FECE0BC" w14:textId="00DD1F3A" w:rsidR="00EE364F" w:rsidRPr="00EE364F" w:rsidRDefault="00EE364F" w:rsidP="00EE364F">
      <w:pPr>
        <w:jc w:val="center"/>
        <w:rPr>
          <w:rFonts w:ascii="Book Antiqua" w:hAnsi="Book Antiqua" w:cs="Arial"/>
          <w:b/>
          <w:caps/>
        </w:rPr>
      </w:pPr>
      <w:r w:rsidRPr="00EE364F">
        <w:rPr>
          <w:rFonts w:ascii="Book Antiqua" w:hAnsi="Book Antiqua" w:cs="Arial"/>
          <w:b/>
          <w:caps/>
        </w:rPr>
        <w:t>Md Rumel</w:t>
      </w:r>
      <w:r>
        <w:rPr>
          <w:rFonts w:ascii="Book Antiqua" w:hAnsi="Book Antiqua" w:cs="Arial"/>
          <w:b/>
          <w:caps/>
        </w:rPr>
        <w:t xml:space="preserve"> </w:t>
      </w:r>
      <w:r w:rsidR="00D55698" w:rsidRPr="00D55698">
        <w:rPr>
          <w:rFonts w:ascii="Book Antiqua" w:hAnsi="Book Antiqua" w:cs="Arial"/>
          <w:b/>
          <w:caps/>
        </w:rPr>
        <w:t>[A]</w:t>
      </w:r>
    </w:p>
    <w:p w14:paraId="0D763B5B" w14:textId="77777777" w:rsidR="00DD5071" w:rsidRPr="00F5664C" w:rsidRDefault="00EE364F" w:rsidP="00704B61">
      <w:pPr>
        <w:jc w:val="center"/>
        <w:rPr>
          <w:rFonts w:ascii="Book Antiqua" w:hAnsi="Book Antiqua" w:cs="Arial"/>
          <w:b/>
        </w:rPr>
      </w:pPr>
      <w:r w:rsidRPr="003405B7">
        <w:rPr>
          <w:rFonts w:ascii="Book Antiqua" w:hAnsi="Book Antiqua" w:cs="Arial"/>
          <w:b/>
          <w:caps/>
        </w:rPr>
        <w:t xml:space="preserve">(ANONYMITY DIRECTION </w:t>
      </w:r>
      <w:r>
        <w:rPr>
          <w:rFonts w:ascii="Book Antiqua" w:hAnsi="Book Antiqua" w:cs="Arial"/>
          <w:b/>
          <w:caps/>
        </w:rPr>
        <w:t>not made</w:t>
      </w:r>
      <w:r w:rsidRPr="003405B7">
        <w:rPr>
          <w:rFonts w:ascii="Book Antiqua" w:hAnsi="Book Antiqua" w:cs="Arial"/>
          <w:b/>
          <w:caps/>
        </w:rPr>
        <w:t>)</w:t>
      </w:r>
    </w:p>
    <w:p w14:paraId="0BCFC83C" w14:textId="77777777" w:rsidR="00DD5071" w:rsidRPr="00F5664C" w:rsidRDefault="00B42AE2" w:rsidP="00DD5071">
      <w:pPr>
        <w:jc w:val="right"/>
        <w:rPr>
          <w:rFonts w:ascii="Book Antiqua" w:hAnsi="Book Antiqua" w:cs="Arial"/>
          <w:u w:val="single"/>
        </w:rPr>
      </w:pPr>
      <w:r>
        <w:rPr>
          <w:rFonts w:ascii="Book Antiqua" w:hAnsi="Book Antiqua" w:cs="Arial"/>
          <w:u w:val="single"/>
        </w:rPr>
        <w:t>Respondent</w:t>
      </w:r>
    </w:p>
    <w:p w14:paraId="3D4165C9" w14:textId="77777777" w:rsidR="00DD5071" w:rsidRPr="00F5664C" w:rsidRDefault="00DD5071" w:rsidP="00DD5071">
      <w:pPr>
        <w:rPr>
          <w:rFonts w:ascii="Book Antiqua" w:hAnsi="Book Antiqua" w:cs="Arial"/>
          <w:u w:val="single"/>
        </w:rPr>
      </w:pPr>
    </w:p>
    <w:p w14:paraId="10EAAE82" w14:textId="77777777" w:rsidR="00DD5071" w:rsidRPr="00F5664C" w:rsidRDefault="00DD5071" w:rsidP="00DD5071">
      <w:pPr>
        <w:rPr>
          <w:rFonts w:ascii="Book Antiqua" w:hAnsi="Book Antiqua" w:cs="Arial"/>
          <w:u w:val="single"/>
        </w:rPr>
      </w:pPr>
    </w:p>
    <w:p w14:paraId="16356694"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19ACFBD5" w14:textId="77777777" w:rsidR="00DE7DB7" w:rsidRPr="00F5664C" w:rsidRDefault="00DE7DB7" w:rsidP="00DD5071">
      <w:pPr>
        <w:rPr>
          <w:rFonts w:ascii="Book Antiqua" w:hAnsi="Book Antiqua" w:cs="Arial"/>
        </w:rPr>
      </w:pPr>
    </w:p>
    <w:p w14:paraId="1C45D979"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B42AE2">
        <w:rPr>
          <w:rFonts w:ascii="Book Antiqua" w:hAnsi="Book Antiqua" w:cs="Arial"/>
        </w:rPr>
        <w:t>Appellant</w:t>
      </w:r>
      <w:r w:rsidRPr="00F5664C">
        <w:rPr>
          <w:rFonts w:ascii="Book Antiqua" w:hAnsi="Book Antiqua" w:cs="Arial"/>
        </w:rPr>
        <w:t>:</w:t>
      </w:r>
      <w:r w:rsidRPr="00F5664C">
        <w:rPr>
          <w:rFonts w:ascii="Book Antiqua" w:hAnsi="Book Antiqua" w:cs="Arial"/>
        </w:rPr>
        <w:tab/>
      </w:r>
      <w:r w:rsidR="00EE364F">
        <w:rPr>
          <w:rFonts w:ascii="Book Antiqua" w:hAnsi="Book Antiqua" w:cs="Arial"/>
        </w:rPr>
        <w:t>M</w:t>
      </w:r>
      <w:r w:rsidR="002558DE">
        <w:rPr>
          <w:rFonts w:ascii="Book Antiqua" w:hAnsi="Book Antiqua" w:cs="Arial"/>
        </w:rPr>
        <w:t>is</w:t>
      </w:r>
      <w:r w:rsidR="00EE364F">
        <w:rPr>
          <w:rFonts w:ascii="Book Antiqua" w:hAnsi="Book Antiqua" w:cs="Arial"/>
        </w:rPr>
        <w:t xml:space="preserve">s Z Ahmad, Home Office Presenting Officer </w:t>
      </w:r>
    </w:p>
    <w:p w14:paraId="3EB4A82F"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B42AE2">
        <w:rPr>
          <w:rFonts w:ascii="Book Antiqua" w:hAnsi="Book Antiqua" w:cs="Arial"/>
        </w:rPr>
        <w:t>Respondent</w:t>
      </w:r>
      <w:r w:rsidRPr="00F5664C">
        <w:rPr>
          <w:rFonts w:ascii="Book Antiqua" w:hAnsi="Book Antiqua" w:cs="Arial"/>
        </w:rPr>
        <w:t>:</w:t>
      </w:r>
      <w:r w:rsidRPr="00F5664C">
        <w:rPr>
          <w:rFonts w:ascii="Book Antiqua" w:hAnsi="Book Antiqua" w:cs="Arial"/>
        </w:rPr>
        <w:tab/>
      </w:r>
      <w:r w:rsidR="00EE364F">
        <w:rPr>
          <w:rFonts w:ascii="Book Antiqua" w:hAnsi="Book Antiqua" w:cs="Arial"/>
        </w:rPr>
        <w:t>Mr P J</w:t>
      </w:r>
      <w:r w:rsidR="007D189A">
        <w:rPr>
          <w:rFonts w:ascii="Book Antiqua" w:hAnsi="Book Antiqua" w:cs="Arial"/>
        </w:rPr>
        <w:t>a</w:t>
      </w:r>
      <w:r w:rsidR="00EE364F">
        <w:rPr>
          <w:rFonts w:ascii="Book Antiqua" w:hAnsi="Book Antiqua" w:cs="Arial"/>
        </w:rPr>
        <w:t xml:space="preserve">rro, Counsel instructed by Londonium Solicitors </w:t>
      </w:r>
    </w:p>
    <w:p w14:paraId="33A4F9E0" w14:textId="77777777" w:rsidR="00DE7DB7" w:rsidRPr="00F5664C" w:rsidRDefault="00DE7DB7" w:rsidP="00402B9E">
      <w:pPr>
        <w:tabs>
          <w:tab w:val="left" w:pos="2520"/>
        </w:tabs>
        <w:jc w:val="center"/>
        <w:rPr>
          <w:rFonts w:ascii="Book Antiqua" w:hAnsi="Book Antiqua" w:cs="Arial"/>
        </w:rPr>
      </w:pPr>
    </w:p>
    <w:p w14:paraId="5B12E84E" w14:textId="77777777" w:rsidR="00DE7DB7" w:rsidRPr="00F5664C" w:rsidRDefault="00DE7DB7" w:rsidP="00402B9E">
      <w:pPr>
        <w:tabs>
          <w:tab w:val="left" w:pos="2520"/>
        </w:tabs>
        <w:jc w:val="center"/>
        <w:rPr>
          <w:rFonts w:ascii="Book Antiqua" w:hAnsi="Book Antiqua" w:cs="Arial"/>
        </w:rPr>
      </w:pPr>
    </w:p>
    <w:p w14:paraId="7F66E1AE" w14:textId="77777777"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14:paraId="28ECDF40" w14:textId="77777777" w:rsidR="00B626FA" w:rsidRPr="00F5664C" w:rsidRDefault="00B626FA" w:rsidP="00402B9E">
      <w:pPr>
        <w:tabs>
          <w:tab w:val="left" w:pos="2520"/>
        </w:tabs>
        <w:jc w:val="both"/>
        <w:rPr>
          <w:rFonts w:ascii="Book Antiqua" w:hAnsi="Book Antiqua" w:cs="Arial"/>
        </w:rPr>
      </w:pPr>
    </w:p>
    <w:p w14:paraId="223D6AA6" w14:textId="77777777" w:rsidR="007D189A" w:rsidRDefault="00B42AE2" w:rsidP="00AF533C">
      <w:pPr>
        <w:numPr>
          <w:ilvl w:val="0"/>
          <w:numId w:val="3"/>
        </w:numPr>
        <w:spacing w:before="240"/>
        <w:jc w:val="both"/>
        <w:rPr>
          <w:rFonts w:ascii="Book Antiqua" w:hAnsi="Book Antiqua" w:cs="Arial"/>
        </w:rPr>
      </w:pPr>
      <w:r>
        <w:rPr>
          <w:rFonts w:ascii="Book Antiqua" w:hAnsi="Book Antiqua" w:cs="Arial"/>
        </w:rPr>
        <w:t>The</w:t>
      </w:r>
      <w:r w:rsidR="007D189A">
        <w:rPr>
          <w:rFonts w:ascii="Book Antiqua" w:hAnsi="Book Antiqua" w:cs="Arial"/>
        </w:rPr>
        <w:t xml:space="preserve"> </w:t>
      </w:r>
      <w:r>
        <w:rPr>
          <w:rFonts w:ascii="Book Antiqua" w:hAnsi="Book Antiqua" w:cs="Arial"/>
        </w:rPr>
        <w:t>Appellant</w:t>
      </w:r>
      <w:r w:rsidR="007D189A">
        <w:rPr>
          <w:rFonts w:ascii="Book Antiqua" w:hAnsi="Book Antiqua" w:cs="Arial"/>
        </w:rPr>
        <w:t xml:space="preserve"> is a citizen of </w:t>
      </w:r>
      <w:smartTag w:uri="urn:schemas-microsoft-com:office:smarttags" w:element="country-region">
        <w:smartTag w:uri="urn:schemas-microsoft-com:office:smarttags" w:element="place">
          <w:r w:rsidR="007D189A">
            <w:rPr>
              <w:rFonts w:ascii="Book Antiqua" w:hAnsi="Book Antiqua" w:cs="Arial"/>
            </w:rPr>
            <w:t>Bangladesh</w:t>
          </w:r>
        </w:smartTag>
      </w:smartTag>
      <w:r w:rsidR="007D189A">
        <w:rPr>
          <w:rFonts w:ascii="Book Antiqua" w:hAnsi="Book Antiqua" w:cs="Arial"/>
        </w:rPr>
        <w:t xml:space="preserve"> born on 5</w:t>
      </w:r>
      <w:r w:rsidR="007D189A" w:rsidRPr="007D189A">
        <w:rPr>
          <w:rFonts w:ascii="Book Antiqua" w:hAnsi="Book Antiqua" w:cs="Arial"/>
          <w:vertAlign w:val="superscript"/>
        </w:rPr>
        <w:t>th</w:t>
      </w:r>
      <w:r w:rsidR="007D189A">
        <w:rPr>
          <w:rFonts w:ascii="Book Antiqua" w:hAnsi="Book Antiqua" w:cs="Arial"/>
        </w:rPr>
        <w:t xml:space="preserve"> June 1991.  The </w:t>
      </w:r>
      <w:r>
        <w:rPr>
          <w:rFonts w:ascii="Book Antiqua" w:hAnsi="Book Antiqua" w:cs="Arial"/>
        </w:rPr>
        <w:t>Appellant</w:t>
      </w:r>
      <w:r w:rsidR="007D189A">
        <w:rPr>
          <w:rFonts w:ascii="Book Antiqua" w:hAnsi="Book Antiqua" w:cs="Arial"/>
        </w:rPr>
        <w:t xml:space="preserve"> applied for entry clearance as a Tier 4 (General) Student visa on 4</w:t>
      </w:r>
      <w:r w:rsidR="007D189A" w:rsidRPr="007D189A">
        <w:rPr>
          <w:rFonts w:ascii="Book Antiqua" w:hAnsi="Book Antiqua" w:cs="Arial"/>
          <w:vertAlign w:val="superscript"/>
        </w:rPr>
        <w:t>th</w:t>
      </w:r>
      <w:r w:rsidR="007D189A">
        <w:rPr>
          <w:rFonts w:ascii="Book Antiqua" w:hAnsi="Book Antiqua" w:cs="Arial"/>
        </w:rPr>
        <w:t xml:space="preserve"> January 2010 which was granted until 30</w:t>
      </w:r>
      <w:r w:rsidR="007D189A" w:rsidRPr="007D189A">
        <w:rPr>
          <w:rFonts w:ascii="Book Antiqua" w:hAnsi="Book Antiqua" w:cs="Arial"/>
          <w:vertAlign w:val="superscript"/>
        </w:rPr>
        <w:t>th</w:t>
      </w:r>
      <w:r w:rsidR="007D189A">
        <w:rPr>
          <w:rFonts w:ascii="Book Antiqua" w:hAnsi="Book Antiqua" w:cs="Arial"/>
        </w:rPr>
        <w:t xml:space="preserve"> October 2012.  Thereafter the </w:t>
      </w:r>
      <w:r>
        <w:rPr>
          <w:rFonts w:ascii="Book Antiqua" w:hAnsi="Book Antiqua" w:cs="Arial"/>
        </w:rPr>
        <w:t>Appellant</w:t>
      </w:r>
      <w:r w:rsidR="007D189A">
        <w:rPr>
          <w:rFonts w:ascii="Book Antiqua" w:hAnsi="Book Antiqua" w:cs="Arial"/>
        </w:rPr>
        <w:t xml:space="preserve"> overstayed.  He was </w:t>
      </w:r>
      <w:r w:rsidR="007D189A">
        <w:rPr>
          <w:rFonts w:ascii="Book Antiqua" w:hAnsi="Book Antiqua" w:cs="Arial"/>
        </w:rPr>
        <w:lastRenderedPageBreak/>
        <w:t>subsequently arrested on 1</w:t>
      </w:r>
      <w:r w:rsidR="007D189A" w:rsidRPr="007D189A">
        <w:rPr>
          <w:rFonts w:ascii="Book Antiqua" w:hAnsi="Book Antiqua" w:cs="Arial"/>
          <w:vertAlign w:val="superscript"/>
        </w:rPr>
        <w:t>st</w:t>
      </w:r>
      <w:r w:rsidR="007D189A">
        <w:rPr>
          <w:rFonts w:ascii="Book Antiqua" w:hAnsi="Book Antiqua" w:cs="Arial"/>
        </w:rPr>
        <w:t xml:space="preserve"> August 2017 and claimed asylum on 15</w:t>
      </w:r>
      <w:r w:rsidR="007D189A" w:rsidRPr="007D189A">
        <w:rPr>
          <w:rFonts w:ascii="Book Antiqua" w:hAnsi="Book Antiqua" w:cs="Arial"/>
          <w:vertAlign w:val="superscript"/>
        </w:rPr>
        <w:t>th</w:t>
      </w:r>
      <w:r w:rsidR="007D189A">
        <w:rPr>
          <w:rFonts w:ascii="Book Antiqua" w:hAnsi="Book Antiqua" w:cs="Arial"/>
        </w:rPr>
        <w:t xml:space="preserve"> October 2017.  The </w:t>
      </w:r>
      <w:r>
        <w:rPr>
          <w:rFonts w:ascii="Book Antiqua" w:hAnsi="Book Antiqua" w:cs="Arial"/>
        </w:rPr>
        <w:t>Appellant</w:t>
      </w:r>
      <w:r w:rsidR="007D189A">
        <w:rPr>
          <w:rFonts w:ascii="Book Antiqua" w:hAnsi="Book Antiqua" w:cs="Arial"/>
        </w:rPr>
        <w:t xml:space="preserve">’s claim was based on a contention that he had a well-founded fear of persecution in </w:t>
      </w:r>
      <w:smartTag w:uri="urn:schemas-microsoft-com:office:smarttags" w:element="place">
        <w:smartTag w:uri="urn:schemas-microsoft-com:office:smarttags" w:element="country-region">
          <w:r w:rsidR="007D189A">
            <w:rPr>
              <w:rFonts w:ascii="Book Antiqua" w:hAnsi="Book Antiqua" w:cs="Arial"/>
            </w:rPr>
            <w:t>Bangladesh</w:t>
          </w:r>
        </w:smartTag>
      </w:smartTag>
      <w:r w:rsidR="007D189A">
        <w:rPr>
          <w:rFonts w:ascii="Book Antiqua" w:hAnsi="Book Antiqua" w:cs="Arial"/>
        </w:rPr>
        <w:t xml:space="preserve"> on the basis of his political opinion.  That application was refused by notice of refusal dated 13</w:t>
      </w:r>
      <w:r w:rsidR="007D189A" w:rsidRPr="007D189A">
        <w:rPr>
          <w:rFonts w:ascii="Book Antiqua" w:hAnsi="Book Antiqua" w:cs="Arial"/>
          <w:vertAlign w:val="superscript"/>
        </w:rPr>
        <w:t>th</w:t>
      </w:r>
      <w:r w:rsidR="007D189A">
        <w:rPr>
          <w:rFonts w:ascii="Book Antiqua" w:hAnsi="Book Antiqua" w:cs="Arial"/>
        </w:rPr>
        <w:t xml:space="preserve"> February 2018.  </w:t>
      </w:r>
    </w:p>
    <w:p w14:paraId="29313853" w14:textId="77777777" w:rsidR="007D189A" w:rsidRDefault="007D189A" w:rsidP="00AF533C">
      <w:pPr>
        <w:numPr>
          <w:ilvl w:val="0"/>
          <w:numId w:val="3"/>
        </w:numPr>
        <w:spacing w:before="240"/>
        <w:jc w:val="both"/>
        <w:rPr>
          <w:rFonts w:ascii="Book Antiqua" w:hAnsi="Book Antiqua" w:cs="Arial"/>
        </w:rPr>
      </w:pPr>
      <w:r>
        <w:rPr>
          <w:rFonts w:ascii="Book Antiqua" w:hAnsi="Book Antiqua" w:cs="Arial"/>
        </w:rPr>
        <w:t xml:space="preserve">The </w:t>
      </w:r>
      <w:r w:rsidR="00B42AE2">
        <w:rPr>
          <w:rFonts w:ascii="Book Antiqua" w:hAnsi="Book Antiqua" w:cs="Arial"/>
        </w:rPr>
        <w:t>Appellant</w:t>
      </w:r>
      <w:r>
        <w:rPr>
          <w:rFonts w:ascii="Book Antiqua" w:hAnsi="Book Antiqua" w:cs="Arial"/>
        </w:rPr>
        <w:t xml:space="preserve"> appealed and the appeal came before Judge of the First-tier Tribunal Metzer sitting at Taylor House on 28</w:t>
      </w:r>
      <w:r w:rsidRPr="007D189A">
        <w:rPr>
          <w:rFonts w:ascii="Book Antiqua" w:hAnsi="Book Antiqua" w:cs="Arial"/>
          <w:vertAlign w:val="superscript"/>
        </w:rPr>
        <w:t>th</w:t>
      </w:r>
      <w:r>
        <w:rPr>
          <w:rFonts w:ascii="Book Antiqua" w:hAnsi="Book Antiqua" w:cs="Arial"/>
        </w:rPr>
        <w:t xml:space="preserve"> March 2018.  In a Decision and Reasons promulgated on 10</w:t>
      </w:r>
      <w:r w:rsidRPr="007D189A">
        <w:rPr>
          <w:rFonts w:ascii="Book Antiqua" w:hAnsi="Book Antiqua" w:cs="Arial"/>
          <w:vertAlign w:val="superscript"/>
        </w:rPr>
        <w:t>th</w:t>
      </w:r>
      <w:r>
        <w:rPr>
          <w:rFonts w:ascii="Book Antiqua" w:hAnsi="Book Antiqua" w:cs="Arial"/>
        </w:rPr>
        <w:t xml:space="preserve"> April 2018 the </w:t>
      </w:r>
      <w:r w:rsidR="00B42AE2">
        <w:rPr>
          <w:rFonts w:ascii="Book Antiqua" w:hAnsi="Book Antiqua" w:cs="Arial"/>
        </w:rPr>
        <w:t>Appellant</w:t>
      </w:r>
      <w:r>
        <w:rPr>
          <w:rFonts w:ascii="Book Antiqua" w:hAnsi="Book Antiqua" w:cs="Arial"/>
        </w:rPr>
        <w:t xml:space="preserve">’s appeal was allowed on asylum and human rights grounds.  </w:t>
      </w:r>
    </w:p>
    <w:p w14:paraId="604A8FB5" w14:textId="77777777" w:rsidR="007D189A" w:rsidRDefault="007D189A" w:rsidP="00AF533C">
      <w:pPr>
        <w:numPr>
          <w:ilvl w:val="0"/>
          <w:numId w:val="3"/>
        </w:numPr>
        <w:spacing w:before="240"/>
        <w:jc w:val="both"/>
        <w:rPr>
          <w:rFonts w:ascii="Book Antiqua" w:hAnsi="Book Antiqua" w:cs="Arial"/>
        </w:rPr>
      </w:pPr>
      <w:r>
        <w:rPr>
          <w:rFonts w:ascii="Book Antiqua" w:hAnsi="Book Antiqua" w:cs="Arial"/>
        </w:rPr>
        <w:t>On 18</w:t>
      </w:r>
      <w:r w:rsidRPr="007D189A">
        <w:rPr>
          <w:rFonts w:ascii="Book Antiqua" w:hAnsi="Book Antiqua" w:cs="Arial"/>
          <w:vertAlign w:val="superscript"/>
        </w:rPr>
        <w:t>th</w:t>
      </w:r>
      <w:r>
        <w:rPr>
          <w:rFonts w:ascii="Book Antiqua" w:hAnsi="Book Antiqua" w:cs="Arial"/>
        </w:rPr>
        <w:t xml:space="preserve"> April 2018 the Secretary of State </w:t>
      </w:r>
      <w:proofErr w:type="gramStart"/>
      <w:r>
        <w:rPr>
          <w:rFonts w:ascii="Book Antiqua" w:hAnsi="Book Antiqua" w:cs="Arial"/>
        </w:rPr>
        <w:t>lodged</w:t>
      </w:r>
      <w:proofErr w:type="gramEnd"/>
      <w:r>
        <w:rPr>
          <w:rFonts w:ascii="Book Antiqua" w:hAnsi="Book Antiqua" w:cs="Arial"/>
        </w:rPr>
        <w:t xml:space="preserve"> Grounds of Appeal to the Upper Tribunal.  Those grounds consisted of a contention that it was submitted that the judge’s credibility assessment was irredeemably flawed.  It was noted that the judge had found the </w:t>
      </w:r>
      <w:r w:rsidR="00B42AE2">
        <w:rPr>
          <w:rFonts w:ascii="Book Antiqua" w:hAnsi="Book Antiqua" w:cs="Arial"/>
        </w:rPr>
        <w:t>Appellant</w:t>
      </w:r>
      <w:r>
        <w:rPr>
          <w:rFonts w:ascii="Book Antiqua" w:hAnsi="Book Antiqua" w:cs="Arial"/>
        </w:rPr>
        <w:t xml:space="preserve">’s </w:t>
      </w:r>
      <w:r w:rsidR="00B42AE2">
        <w:rPr>
          <w:rFonts w:ascii="Book Antiqua" w:hAnsi="Book Antiqua" w:cs="Arial"/>
        </w:rPr>
        <w:t>account</w:t>
      </w:r>
      <w:r>
        <w:rPr>
          <w:rFonts w:ascii="Book Antiqua" w:hAnsi="Book Antiqua" w:cs="Arial"/>
        </w:rPr>
        <w:t xml:space="preserve"> to be consistent, but it was submitted that he did not apply this criteria to plausibility.  At paragraphs 4 to 7 of the Grounds of Appeal (which I have considered) the Secretary of State sets out the basis upon which it is contended that the judge did not apply the criteria to plausibility.  Further, it is contended that the judge had given very brief and sparse reasonings for his assessment and that they did not adequately explain the reasons for allowing the </w:t>
      </w:r>
      <w:r w:rsidR="00B42AE2">
        <w:rPr>
          <w:rFonts w:ascii="Book Antiqua" w:hAnsi="Book Antiqua" w:cs="Arial"/>
        </w:rPr>
        <w:t>Appellant</w:t>
      </w:r>
      <w:r>
        <w:rPr>
          <w:rFonts w:ascii="Book Antiqua" w:hAnsi="Book Antiqua" w:cs="Arial"/>
        </w:rPr>
        <w:t xml:space="preserve">’s </w:t>
      </w:r>
      <w:r w:rsidR="00D91BD0">
        <w:rPr>
          <w:rFonts w:ascii="Book Antiqua" w:hAnsi="Book Antiqua" w:cs="Arial"/>
        </w:rPr>
        <w:t xml:space="preserve">overall claim and that there had been </w:t>
      </w:r>
      <w:r>
        <w:rPr>
          <w:rFonts w:ascii="Book Antiqua" w:hAnsi="Book Antiqua" w:cs="Arial"/>
        </w:rPr>
        <w:t xml:space="preserve">no anxious scrutiny.  On that basis the Secretary of State seeks to find that there are material errors of law which render the decision of the First-tier Tribunal Judge unsafe.  </w:t>
      </w:r>
    </w:p>
    <w:p w14:paraId="2777FE81" w14:textId="77777777" w:rsidR="007D189A" w:rsidRDefault="007D189A" w:rsidP="00AF533C">
      <w:pPr>
        <w:numPr>
          <w:ilvl w:val="0"/>
          <w:numId w:val="3"/>
        </w:numPr>
        <w:spacing w:before="240"/>
        <w:jc w:val="both"/>
        <w:rPr>
          <w:rFonts w:ascii="Book Antiqua" w:hAnsi="Book Antiqua" w:cs="Arial"/>
        </w:rPr>
      </w:pPr>
      <w:r>
        <w:rPr>
          <w:rFonts w:ascii="Book Antiqua" w:hAnsi="Book Antiqua" w:cs="Arial"/>
        </w:rPr>
        <w:t>On 1</w:t>
      </w:r>
      <w:r w:rsidRPr="007D189A">
        <w:rPr>
          <w:rFonts w:ascii="Book Antiqua" w:hAnsi="Book Antiqua" w:cs="Arial"/>
          <w:vertAlign w:val="superscript"/>
        </w:rPr>
        <w:t>st</w:t>
      </w:r>
      <w:r>
        <w:rPr>
          <w:rFonts w:ascii="Book Antiqua" w:hAnsi="Book Antiqua" w:cs="Arial"/>
        </w:rPr>
        <w:t xml:space="preserve"> May 2018 First-tier Tribunal Judge Birrell granted permission to appeal.  There is no Rule 24 response before the Tribunal.  </w:t>
      </w:r>
    </w:p>
    <w:p w14:paraId="416B55FB" w14:textId="36A0F0DD" w:rsidR="007D189A" w:rsidRDefault="007D189A" w:rsidP="00AF533C">
      <w:pPr>
        <w:numPr>
          <w:ilvl w:val="0"/>
          <w:numId w:val="3"/>
        </w:numPr>
        <w:spacing w:before="240"/>
        <w:jc w:val="both"/>
        <w:rPr>
          <w:rFonts w:ascii="Book Antiqua" w:hAnsi="Book Antiqua" w:cs="Arial"/>
        </w:rPr>
      </w:pPr>
      <w:r>
        <w:rPr>
          <w:rFonts w:ascii="Book Antiqua" w:hAnsi="Book Antiqua" w:cs="Arial"/>
        </w:rPr>
        <w:t xml:space="preserve">It is on that basis that the appeal comes before me solely to determine whether there is a material error of law in the decision of the First-tier Tribunal Judge.  I note that this is an appeal by the Secretary of State, but to ensure consistency through the appeal process Mr </w:t>
      </w:r>
      <w:r w:rsidR="00D55698">
        <w:rPr>
          <w:rFonts w:ascii="Book Antiqua" w:hAnsi="Book Antiqua" w:cs="Arial"/>
        </w:rPr>
        <w:t>[</w:t>
      </w:r>
      <w:r>
        <w:rPr>
          <w:rFonts w:ascii="Book Antiqua" w:hAnsi="Book Antiqua" w:cs="Arial"/>
        </w:rPr>
        <w:t>A</w:t>
      </w:r>
      <w:r w:rsidR="00D55698">
        <w:rPr>
          <w:rFonts w:ascii="Book Antiqua" w:hAnsi="Book Antiqua" w:cs="Arial"/>
        </w:rPr>
        <w:t xml:space="preserve">] </w:t>
      </w:r>
      <w:r>
        <w:rPr>
          <w:rFonts w:ascii="Book Antiqua" w:hAnsi="Book Antiqua" w:cs="Arial"/>
        </w:rPr>
        <w:t xml:space="preserve">is referred to herein as “the </w:t>
      </w:r>
      <w:r w:rsidR="00B42AE2">
        <w:rPr>
          <w:rFonts w:ascii="Book Antiqua" w:hAnsi="Book Antiqua" w:cs="Arial"/>
        </w:rPr>
        <w:t>Appellant</w:t>
      </w:r>
      <w:r>
        <w:rPr>
          <w:rFonts w:ascii="Book Antiqua" w:hAnsi="Book Antiqua" w:cs="Arial"/>
        </w:rPr>
        <w:t xml:space="preserve">” and the Secretary of State as “the </w:t>
      </w:r>
      <w:r w:rsidR="00B42AE2">
        <w:rPr>
          <w:rFonts w:ascii="Book Antiqua" w:hAnsi="Book Antiqua" w:cs="Arial"/>
        </w:rPr>
        <w:t>Respondent</w:t>
      </w:r>
      <w:r>
        <w:rPr>
          <w:rFonts w:ascii="Book Antiqua" w:hAnsi="Book Antiqua" w:cs="Arial"/>
        </w:rPr>
        <w:t xml:space="preserve">”.  Mr </w:t>
      </w:r>
      <w:r w:rsidR="00D55698">
        <w:rPr>
          <w:rFonts w:ascii="Book Antiqua" w:hAnsi="Book Antiqua" w:cs="Arial"/>
        </w:rPr>
        <w:t xml:space="preserve">[A] </w:t>
      </w:r>
      <w:r>
        <w:rPr>
          <w:rFonts w:ascii="Book Antiqua" w:hAnsi="Book Antiqua" w:cs="Arial"/>
        </w:rPr>
        <w:t>appears by his instructed Counsel Mr Jarro</w:t>
      </w:r>
      <w:r w:rsidR="002558DE">
        <w:rPr>
          <w:rFonts w:ascii="Book Antiqua" w:hAnsi="Book Antiqua" w:cs="Arial"/>
        </w:rPr>
        <w:t>.  The Secretary of State appears by her Home Office Presenting Officer, Miss Ahmad.</w:t>
      </w:r>
    </w:p>
    <w:p w14:paraId="4DCE6416" w14:textId="77777777" w:rsidR="002558DE" w:rsidRPr="002558DE" w:rsidRDefault="002558DE" w:rsidP="002558DE">
      <w:pPr>
        <w:spacing w:before="240"/>
        <w:jc w:val="both"/>
        <w:rPr>
          <w:rFonts w:ascii="Book Antiqua" w:hAnsi="Book Antiqua" w:cs="Arial"/>
          <w:b/>
        </w:rPr>
      </w:pPr>
      <w:r w:rsidRPr="002558DE">
        <w:rPr>
          <w:rFonts w:ascii="Book Antiqua" w:hAnsi="Book Antiqua" w:cs="Arial"/>
          <w:b/>
        </w:rPr>
        <w:t>Submissions/Discussion</w:t>
      </w:r>
    </w:p>
    <w:p w14:paraId="01E27B09" w14:textId="77777777" w:rsidR="002558DE" w:rsidRDefault="002558DE" w:rsidP="00AF533C">
      <w:pPr>
        <w:numPr>
          <w:ilvl w:val="0"/>
          <w:numId w:val="3"/>
        </w:numPr>
        <w:spacing w:before="240"/>
        <w:jc w:val="both"/>
        <w:rPr>
          <w:rFonts w:ascii="Book Antiqua" w:hAnsi="Book Antiqua" w:cs="Arial"/>
        </w:rPr>
      </w:pPr>
      <w:r>
        <w:rPr>
          <w:rFonts w:ascii="Book Antiqua" w:hAnsi="Book Antiqua" w:cs="Arial"/>
        </w:rPr>
        <w:t xml:space="preserve">Miss Ahmad suggests that it is important to note the history of this matter, reminding me that the </w:t>
      </w:r>
      <w:r w:rsidR="00B42AE2">
        <w:rPr>
          <w:rFonts w:ascii="Book Antiqua" w:hAnsi="Book Antiqua" w:cs="Arial"/>
        </w:rPr>
        <w:t>Appellant</w:t>
      </w:r>
      <w:r>
        <w:rPr>
          <w:rFonts w:ascii="Book Antiqua" w:hAnsi="Book Antiqua" w:cs="Arial"/>
        </w:rPr>
        <w:t xml:space="preserve"> arrived in 2010 on a Tier 4 (General) visa and that it was five years after his leave had expired and some two weeks after he had been caught working in Torquay that the </w:t>
      </w:r>
      <w:r w:rsidR="00B42AE2">
        <w:rPr>
          <w:rFonts w:ascii="Book Antiqua" w:hAnsi="Book Antiqua" w:cs="Arial"/>
        </w:rPr>
        <w:t>Appellant</w:t>
      </w:r>
      <w:r>
        <w:rPr>
          <w:rFonts w:ascii="Book Antiqua" w:hAnsi="Book Antiqua" w:cs="Arial"/>
        </w:rPr>
        <w:t xml:space="preserve"> made an application for asylum.  </w:t>
      </w:r>
    </w:p>
    <w:p w14:paraId="6896AFFB" w14:textId="77777777" w:rsidR="00D91BD0" w:rsidRDefault="002558DE" w:rsidP="00AF533C">
      <w:pPr>
        <w:numPr>
          <w:ilvl w:val="0"/>
          <w:numId w:val="3"/>
        </w:numPr>
        <w:spacing w:before="240"/>
        <w:jc w:val="both"/>
        <w:rPr>
          <w:rFonts w:ascii="Book Antiqua" w:hAnsi="Book Antiqua" w:cs="Arial"/>
        </w:rPr>
      </w:pPr>
      <w:r>
        <w:rPr>
          <w:rFonts w:ascii="Book Antiqua" w:hAnsi="Book Antiqua" w:cs="Arial"/>
        </w:rPr>
        <w:t xml:space="preserve">Rather surprisingly Miss Ahmad takes me to the </w:t>
      </w:r>
      <w:r w:rsidR="00D91BD0">
        <w:rPr>
          <w:rFonts w:ascii="Book Antiqua" w:hAnsi="Book Antiqua" w:cs="Arial"/>
        </w:rPr>
        <w:t>Appellant</w:t>
      </w:r>
      <w:r>
        <w:rPr>
          <w:rFonts w:ascii="Book Antiqua" w:hAnsi="Book Antiqua" w:cs="Arial"/>
        </w:rPr>
        <w:t xml:space="preserve">’s skeleton argument that is produced for this hearing and seeks to rely thereon on judicial authority referred to therein as being in support of the </w:t>
      </w:r>
      <w:r w:rsidR="00B42AE2">
        <w:rPr>
          <w:rFonts w:ascii="Book Antiqua" w:hAnsi="Book Antiqua" w:cs="Arial"/>
        </w:rPr>
        <w:t>Respondent</w:t>
      </w:r>
      <w:r>
        <w:rPr>
          <w:rFonts w:ascii="Book Antiqua" w:hAnsi="Book Antiqua" w:cs="Arial"/>
        </w:rPr>
        <w:t xml:space="preserve">’s position.  </w:t>
      </w:r>
      <w:proofErr w:type="gramStart"/>
      <w:r>
        <w:rPr>
          <w:rFonts w:ascii="Book Antiqua" w:hAnsi="Book Antiqua" w:cs="Arial"/>
        </w:rPr>
        <w:t>Of course</w:t>
      </w:r>
      <w:proofErr w:type="gramEnd"/>
      <w:r>
        <w:rPr>
          <w:rFonts w:ascii="Book Antiqua" w:hAnsi="Book Antiqua" w:cs="Arial"/>
        </w:rPr>
        <w:t xml:space="preserve"> authorities are to be read as appropriate guidance and they can be used by both sides.  She submits that the </w:t>
      </w:r>
      <w:r w:rsidR="00B42AE2">
        <w:rPr>
          <w:rFonts w:ascii="Book Antiqua" w:hAnsi="Book Antiqua" w:cs="Arial"/>
        </w:rPr>
        <w:t>Appellant</w:t>
      </w:r>
      <w:r>
        <w:rPr>
          <w:rFonts w:ascii="Book Antiqua" w:hAnsi="Book Antiqua" w:cs="Arial"/>
        </w:rPr>
        <w:t xml:space="preserve"> contends that he has been at risk in </w:t>
      </w:r>
      <w:smartTag w:uri="urn:schemas-microsoft-com:office:smarttags" w:element="place">
        <w:smartTag w:uri="urn:schemas-microsoft-com:office:smarttags" w:element="country-region">
          <w:r>
            <w:rPr>
              <w:rFonts w:ascii="Book Antiqua" w:hAnsi="Book Antiqua" w:cs="Arial"/>
            </w:rPr>
            <w:t>Bangladesh</w:t>
          </w:r>
        </w:smartTag>
      </w:smartTag>
      <w:r>
        <w:rPr>
          <w:rFonts w:ascii="Book Antiqua" w:hAnsi="Book Antiqua" w:cs="Arial"/>
        </w:rPr>
        <w:t xml:space="preserve">.  She submits that the judge has addressed this at paragraph 10 in his </w:t>
      </w:r>
      <w:r w:rsidR="00B42AE2">
        <w:rPr>
          <w:rFonts w:ascii="Book Antiqua" w:hAnsi="Book Antiqua" w:cs="Arial"/>
        </w:rPr>
        <w:t>d</w:t>
      </w:r>
      <w:r>
        <w:rPr>
          <w:rFonts w:ascii="Book Antiqua" w:hAnsi="Book Antiqua" w:cs="Arial"/>
        </w:rPr>
        <w:t xml:space="preserve">ecision, and in making his findings has made no findings on the documentary evidence and has </w:t>
      </w:r>
      <w:r w:rsidR="00B42AE2">
        <w:rPr>
          <w:rFonts w:ascii="Book Antiqua" w:hAnsi="Book Antiqua" w:cs="Arial"/>
        </w:rPr>
        <w:t>failed</w:t>
      </w:r>
      <w:r>
        <w:rPr>
          <w:rFonts w:ascii="Book Antiqua" w:hAnsi="Book Antiqua" w:cs="Arial"/>
        </w:rPr>
        <w:t xml:space="preserve"> to give reasons for inconsist</w:t>
      </w:r>
      <w:r w:rsidR="00D91BD0">
        <w:rPr>
          <w:rFonts w:ascii="Book Antiqua" w:hAnsi="Book Antiqua" w:cs="Arial"/>
        </w:rPr>
        <w:t xml:space="preserve">encies which he has accepted.  </w:t>
      </w:r>
    </w:p>
    <w:p w14:paraId="77EA145D" w14:textId="77777777" w:rsidR="00D91BD0" w:rsidRDefault="00D91BD0" w:rsidP="00AF533C">
      <w:pPr>
        <w:numPr>
          <w:ilvl w:val="0"/>
          <w:numId w:val="3"/>
        </w:numPr>
        <w:spacing w:before="240"/>
        <w:jc w:val="both"/>
        <w:rPr>
          <w:rFonts w:ascii="Book Antiqua" w:hAnsi="Book Antiqua" w:cs="Arial"/>
        </w:rPr>
      </w:pPr>
      <w:r>
        <w:rPr>
          <w:rFonts w:ascii="Book Antiqua" w:hAnsi="Book Antiqua" w:cs="Arial"/>
        </w:rPr>
        <w:lastRenderedPageBreak/>
        <w:t>Sh</w:t>
      </w:r>
      <w:r w:rsidR="002558DE">
        <w:rPr>
          <w:rFonts w:ascii="Book Antiqua" w:hAnsi="Book Antiqua" w:cs="Arial"/>
        </w:rPr>
        <w:t xml:space="preserve">e submits that the judge </w:t>
      </w:r>
      <w:r w:rsidR="00B42AE2">
        <w:rPr>
          <w:rFonts w:ascii="Book Antiqua" w:hAnsi="Book Antiqua" w:cs="Arial"/>
        </w:rPr>
        <w:t>failed</w:t>
      </w:r>
      <w:r w:rsidR="002558DE">
        <w:rPr>
          <w:rFonts w:ascii="Book Antiqua" w:hAnsi="Book Antiqua" w:cs="Arial"/>
        </w:rPr>
        <w:t xml:space="preserve"> to point out that the </w:t>
      </w:r>
      <w:r w:rsidR="00B42AE2">
        <w:rPr>
          <w:rFonts w:ascii="Book Antiqua" w:hAnsi="Book Antiqua" w:cs="Arial"/>
        </w:rPr>
        <w:t>Appellant</w:t>
      </w:r>
      <w:r w:rsidR="002558DE">
        <w:rPr>
          <w:rFonts w:ascii="Book Antiqua" w:hAnsi="Book Antiqua" w:cs="Arial"/>
        </w:rPr>
        <w:t xml:space="preserve"> was required to leave the UK at the end of his visa in April 2012, or that the judge has failed to address the issue that it was some five years later</w:t>
      </w:r>
      <w:r>
        <w:rPr>
          <w:rFonts w:ascii="Book Antiqua" w:hAnsi="Book Antiqua" w:cs="Arial"/>
        </w:rPr>
        <w:t>,</w:t>
      </w:r>
      <w:r w:rsidR="002558DE">
        <w:rPr>
          <w:rFonts w:ascii="Book Antiqua" w:hAnsi="Book Antiqua" w:cs="Arial"/>
        </w:rPr>
        <w:t xml:space="preserve"> and two weeks after he was detained</w:t>
      </w:r>
      <w:r>
        <w:rPr>
          <w:rFonts w:ascii="Book Antiqua" w:hAnsi="Book Antiqua" w:cs="Arial"/>
        </w:rPr>
        <w:t>,</w:t>
      </w:r>
      <w:r w:rsidR="002558DE">
        <w:rPr>
          <w:rFonts w:ascii="Book Antiqua" w:hAnsi="Book Antiqua" w:cs="Arial"/>
        </w:rPr>
        <w:t xml:space="preserve"> that the </w:t>
      </w:r>
      <w:r w:rsidR="00B42AE2">
        <w:rPr>
          <w:rFonts w:ascii="Book Antiqua" w:hAnsi="Book Antiqua" w:cs="Arial"/>
        </w:rPr>
        <w:t>Appellant</w:t>
      </w:r>
      <w:r w:rsidR="002558DE">
        <w:rPr>
          <w:rFonts w:ascii="Book Antiqua" w:hAnsi="Book Antiqua" w:cs="Arial"/>
        </w:rPr>
        <w:t xml:space="preserve"> claimed asylum.  She submits that the </w:t>
      </w:r>
      <w:r w:rsidR="00B42AE2">
        <w:rPr>
          <w:rFonts w:ascii="Book Antiqua" w:hAnsi="Book Antiqua" w:cs="Arial"/>
        </w:rPr>
        <w:t>Appellant</w:t>
      </w:r>
      <w:r w:rsidR="002558DE">
        <w:rPr>
          <w:rFonts w:ascii="Book Antiqua" w:hAnsi="Book Antiqua" w:cs="Arial"/>
        </w:rPr>
        <w:t xml:space="preserve"> is an economic migrant and that the judge has given superficial consideration to Section 8 of the </w:t>
      </w:r>
      <w:r w:rsidR="004E5A76">
        <w:rPr>
          <w:rFonts w:ascii="Book Antiqua" w:hAnsi="Book Antiqua" w:cs="Arial"/>
        </w:rPr>
        <w:t xml:space="preserve">2004 Act.  </w:t>
      </w:r>
      <w:r w:rsidR="004721FD">
        <w:rPr>
          <w:rFonts w:ascii="Book Antiqua" w:hAnsi="Book Antiqua" w:cs="Arial"/>
        </w:rPr>
        <w:t xml:space="preserve">She contends that the judge has firstly </w:t>
      </w:r>
      <w:r w:rsidR="00B42AE2">
        <w:rPr>
          <w:rFonts w:ascii="Book Antiqua" w:hAnsi="Book Antiqua" w:cs="Arial"/>
        </w:rPr>
        <w:t>failed</w:t>
      </w:r>
      <w:r w:rsidR="004721FD">
        <w:rPr>
          <w:rFonts w:ascii="Book Antiqua" w:hAnsi="Book Antiqua" w:cs="Arial"/>
        </w:rPr>
        <w:t xml:space="preserve"> to give reasons on material matters, and secondly, </w:t>
      </w:r>
      <w:r w:rsidR="00B42AE2">
        <w:rPr>
          <w:rFonts w:ascii="Book Antiqua" w:hAnsi="Book Antiqua" w:cs="Arial"/>
        </w:rPr>
        <w:t>failed</w:t>
      </w:r>
      <w:r w:rsidR="004721FD">
        <w:rPr>
          <w:rFonts w:ascii="Book Antiqua" w:hAnsi="Book Antiqua" w:cs="Arial"/>
        </w:rPr>
        <w:t xml:space="preserve"> to take into </w:t>
      </w:r>
      <w:r w:rsidR="00B42AE2">
        <w:rPr>
          <w:rFonts w:ascii="Book Antiqua" w:hAnsi="Book Antiqua" w:cs="Arial"/>
        </w:rPr>
        <w:t>account</w:t>
      </w:r>
      <w:r w:rsidR="004721FD">
        <w:rPr>
          <w:rFonts w:ascii="Book Antiqua" w:hAnsi="Book Antiqua" w:cs="Arial"/>
        </w:rPr>
        <w:t xml:space="preserve"> facts which are ma</w:t>
      </w:r>
      <w:r>
        <w:rPr>
          <w:rFonts w:ascii="Book Antiqua" w:hAnsi="Book Antiqua" w:cs="Arial"/>
        </w:rPr>
        <w:t xml:space="preserve">terial.  She submits that it is </w:t>
      </w:r>
      <w:r w:rsidR="004721FD">
        <w:rPr>
          <w:rFonts w:ascii="Book Antiqua" w:hAnsi="Book Antiqua" w:cs="Arial"/>
        </w:rPr>
        <w:t>unclear in the judge’s reasons as to why the judge’s decision does not reflect why he accepts</w:t>
      </w:r>
      <w:r>
        <w:rPr>
          <w:rFonts w:ascii="Book Antiqua" w:hAnsi="Book Antiqua" w:cs="Arial"/>
        </w:rPr>
        <w:t xml:space="preserve"> certain</w:t>
      </w:r>
      <w:r w:rsidR="004721FD">
        <w:rPr>
          <w:rFonts w:ascii="Book Antiqua" w:hAnsi="Book Antiqua" w:cs="Arial"/>
        </w:rPr>
        <w:t xml:space="preserve"> documents and </w:t>
      </w:r>
      <w:r w:rsidR="006A23F8">
        <w:rPr>
          <w:rFonts w:ascii="Book Antiqua" w:hAnsi="Book Antiqua" w:cs="Arial"/>
        </w:rPr>
        <w:t xml:space="preserve">that the judge has given no reasons in paragraph 11 for </w:t>
      </w:r>
      <w:r w:rsidR="00B42AE2">
        <w:rPr>
          <w:rFonts w:ascii="Book Antiqua" w:hAnsi="Book Antiqua" w:cs="Arial"/>
        </w:rPr>
        <w:t>accepting</w:t>
      </w:r>
      <w:r w:rsidR="006A23F8">
        <w:rPr>
          <w:rFonts w:ascii="Book Antiqua" w:hAnsi="Book Antiqua" w:cs="Arial"/>
        </w:rPr>
        <w:t xml:space="preserve"> documentary evidence and no reasons for the way the </w:t>
      </w:r>
      <w:r w:rsidR="00B42AE2">
        <w:rPr>
          <w:rFonts w:ascii="Book Antiqua" w:hAnsi="Book Antiqua" w:cs="Arial"/>
        </w:rPr>
        <w:t>Appellant</w:t>
      </w:r>
      <w:r w:rsidR="006A23F8">
        <w:rPr>
          <w:rFonts w:ascii="Book Antiqua" w:hAnsi="Book Antiqua" w:cs="Arial"/>
        </w:rPr>
        <w:t xml:space="preserve"> has dealt with the inconsistencies of his evidence.  She contends that there are material errors of law consequently disclosed</w:t>
      </w:r>
      <w:r w:rsidR="00C027BB">
        <w:rPr>
          <w:rFonts w:ascii="Book Antiqua" w:hAnsi="Book Antiqua" w:cs="Arial"/>
        </w:rPr>
        <w:t>,</w:t>
      </w:r>
      <w:r w:rsidR="006A23F8">
        <w:rPr>
          <w:rFonts w:ascii="Book Antiqua" w:hAnsi="Book Antiqua" w:cs="Arial"/>
        </w:rPr>
        <w:t xml:space="preserve"> asked me to set aside the decision </w:t>
      </w:r>
      <w:r w:rsidR="00D552F6">
        <w:rPr>
          <w:rFonts w:ascii="Book Antiqua" w:hAnsi="Book Antiqua" w:cs="Arial"/>
        </w:rPr>
        <w:t xml:space="preserve">and to remit it to the First-tier Tribunal for rehearing.  </w:t>
      </w:r>
    </w:p>
    <w:p w14:paraId="6A1C1F01" w14:textId="77777777" w:rsidR="00D91BD0" w:rsidRDefault="00D552F6" w:rsidP="00AF533C">
      <w:pPr>
        <w:numPr>
          <w:ilvl w:val="0"/>
          <w:numId w:val="3"/>
        </w:numPr>
        <w:spacing w:before="240"/>
        <w:jc w:val="both"/>
        <w:rPr>
          <w:rFonts w:ascii="Book Antiqua" w:hAnsi="Book Antiqua" w:cs="Arial"/>
        </w:rPr>
      </w:pPr>
      <w:r>
        <w:rPr>
          <w:rFonts w:ascii="Book Antiqua" w:hAnsi="Book Antiqua" w:cs="Arial"/>
        </w:rPr>
        <w:t xml:space="preserve">Mr </w:t>
      </w:r>
      <w:proofErr w:type="spellStart"/>
      <w:r w:rsidR="000C5A1A">
        <w:rPr>
          <w:rFonts w:ascii="Book Antiqua" w:hAnsi="Book Antiqua" w:cs="Arial"/>
        </w:rPr>
        <w:t>Jarro</w:t>
      </w:r>
      <w:proofErr w:type="spellEnd"/>
      <w:r w:rsidR="000C5A1A">
        <w:rPr>
          <w:rFonts w:ascii="Book Antiqua" w:hAnsi="Book Antiqua" w:cs="Arial"/>
        </w:rPr>
        <w:t xml:space="preserve"> </w:t>
      </w:r>
      <w:r>
        <w:rPr>
          <w:rFonts w:ascii="Book Antiqua" w:hAnsi="Book Antiqua" w:cs="Arial"/>
        </w:rPr>
        <w:t xml:space="preserve">points out the starting point is that the </w:t>
      </w:r>
      <w:r w:rsidR="00B42AE2">
        <w:rPr>
          <w:rFonts w:ascii="Book Antiqua" w:hAnsi="Book Antiqua" w:cs="Arial"/>
        </w:rPr>
        <w:t>Appellant</w:t>
      </w:r>
      <w:r>
        <w:rPr>
          <w:rFonts w:ascii="Book Antiqua" w:hAnsi="Book Antiqua" w:cs="Arial"/>
        </w:rPr>
        <w:t xml:space="preserve"> gave his evidence to the Home Office.  He accepts that he applied very late, but that the only issue was credibility and that the Secretary of State’s case centres on what they contend to be a series of inconsistencies and lack of detail.  However, in the manner in which the case is addressed in the Notice of Refusal, he points out that the Secretary of State has quite properly, at paragraph 45 therein, invoked the authority of </w:t>
      </w:r>
      <w:r w:rsidRPr="00D552F6">
        <w:rPr>
          <w:rFonts w:ascii="Book Antiqua" w:hAnsi="Book Antiqua" w:cs="Arial"/>
          <w:i/>
        </w:rPr>
        <w:t>Tanveer Ahmed</w:t>
      </w:r>
      <w:r>
        <w:rPr>
          <w:rFonts w:ascii="Book Antiqua" w:hAnsi="Book Antiqua" w:cs="Arial"/>
        </w:rPr>
        <w:t xml:space="preserve">.  He submits that because of the lack of detail little weight is given to documentary evidence and that the judge has noted that and consequently the only issue relates to its credibility.  He points out that the judge is aware that documents can be forged and he takes me to paragraph 10 of the judge’s findings where he has concluded </w:t>
      </w:r>
      <w:r w:rsidR="0064508C">
        <w:rPr>
          <w:rFonts w:ascii="Book Antiqua" w:hAnsi="Book Antiqua" w:cs="Arial"/>
        </w:rPr>
        <w:t xml:space="preserve">that the inconsistency of the </w:t>
      </w:r>
      <w:r w:rsidR="00B42AE2">
        <w:rPr>
          <w:rFonts w:ascii="Book Antiqua" w:hAnsi="Book Antiqua" w:cs="Arial"/>
        </w:rPr>
        <w:t>Appellant</w:t>
      </w:r>
      <w:r w:rsidR="0064508C">
        <w:rPr>
          <w:rFonts w:ascii="Book Antiqua" w:hAnsi="Book Antiqua" w:cs="Arial"/>
        </w:rPr>
        <w:t xml:space="preserve">’s evidence are of a limited extent and he submits that these were findings the judge was entitled to make.  </w:t>
      </w:r>
    </w:p>
    <w:p w14:paraId="53DE66DE" w14:textId="77777777" w:rsidR="002558DE" w:rsidRDefault="0064508C" w:rsidP="00AF533C">
      <w:pPr>
        <w:numPr>
          <w:ilvl w:val="0"/>
          <w:numId w:val="3"/>
        </w:numPr>
        <w:spacing w:before="240"/>
        <w:jc w:val="both"/>
        <w:rPr>
          <w:rFonts w:ascii="Book Antiqua" w:hAnsi="Book Antiqua" w:cs="Arial"/>
        </w:rPr>
      </w:pPr>
      <w:r>
        <w:rPr>
          <w:rFonts w:ascii="Book Antiqua" w:hAnsi="Book Antiqua" w:cs="Arial"/>
        </w:rPr>
        <w:t xml:space="preserve">Prior to that he has set out, he submits, the issues at paragraph 9 and made findings that he was entitled to at paragraph 10.  He submits that the issues have been brought to the attention of the Home Office and that </w:t>
      </w:r>
      <w:r w:rsidR="00B42AE2">
        <w:rPr>
          <w:rFonts w:ascii="Book Antiqua" w:hAnsi="Book Antiqua" w:cs="Arial"/>
        </w:rPr>
        <w:t>the</w:t>
      </w:r>
      <w:r>
        <w:rPr>
          <w:rFonts w:ascii="Book Antiqua" w:hAnsi="Book Antiqua" w:cs="Arial"/>
        </w:rPr>
        <w:t xml:space="preserve"> finding that has been </w:t>
      </w:r>
      <w:r w:rsidR="00B42AE2">
        <w:rPr>
          <w:rFonts w:ascii="Book Antiqua" w:hAnsi="Book Antiqua" w:cs="Arial"/>
        </w:rPr>
        <w:t>made</w:t>
      </w:r>
      <w:r>
        <w:rPr>
          <w:rFonts w:ascii="Book Antiqua" w:hAnsi="Book Antiqua" w:cs="Arial"/>
        </w:rPr>
        <w:t xml:space="preserve"> relates to the </w:t>
      </w:r>
      <w:r w:rsidR="00B42AE2">
        <w:rPr>
          <w:rFonts w:ascii="Book Antiqua" w:hAnsi="Book Antiqua" w:cs="Arial"/>
        </w:rPr>
        <w:t>Appellant</w:t>
      </w:r>
      <w:r>
        <w:rPr>
          <w:rFonts w:ascii="Book Antiqua" w:hAnsi="Book Antiqua" w:cs="Arial"/>
        </w:rPr>
        <w:t xml:space="preserve">’s involvement in political activities.  He submits that the judge found the </w:t>
      </w:r>
      <w:r w:rsidR="00B42AE2">
        <w:rPr>
          <w:rFonts w:ascii="Book Antiqua" w:hAnsi="Book Antiqua" w:cs="Arial"/>
        </w:rPr>
        <w:t>Appellant</w:t>
      </w:r>
      <w:r>
        <w:rPr>
          <w:rFonts w:ascii="Book Antiqua" w:hAnsi="Book Antiqua" w:cs="Arial"/>
        </w:rPr>
        <w:t xml:space="preserve"> on </w:t>
      </w:r>
      <w:r w:rsidR="00B42AE2">
        <w:rPr>
          <w:rFonts w:ascii="Book Antiqua" w:hAnsi="Book Antiqua" w:cs="Arial"/>
        </w:rPr>
        <w:t>such</w:t>
      </w:r>
      <w:r>
        <w:rPr>
          <w:rFonts w:ascii="Book Antiqua" w:hAnsi="Book Antiqua" w:cs="Arial"/>
        </w:rPr>
        <w:t xml:space="preserve"> matters to be credible and he has </w:t>
      </w:r>
      <w:r w:rsidR="00B42AE2">
        <w:rPr>
          <w:rFonts w:ascii="Book Antiqua" w:hAnsi="Book Antiqua" w:cs="Arial"/>
        </w:rPr>
        <w:t>given</w:t>
      </w:r>
      <w:r>
        <w:rPr>
          <w:rFonts w:ascii="Book Antiqua" w:hAnsi="Book Antiqua" w:cs="Arial"/>
        </w:rPr>
        <w:t xml:space="preserve"> weight to the documentary evidence produced to the Home Office.  It is not a matter of concern he submits to the </w:t>
      </w:r>
      <w:r w:rsidR="00B42AE2">
        <w:rPr>
          <w:rFonts w:ascii="Book Antiqua" w:hAnsi="Book Antiqua" w:cs="Arial"/>
        </w:rPr>
        <w:t>Appellant</w:t>
      </w:r>
      <w:r>
        <w:rPr>
          <w:rFonts w:ascii="Book Antiqua" w:hAnsi="Book Antiqua" w:cs="Arial"/>
        </w:rPr>
        <w:t xml:space="preserve"> that the Home Office had said that it is not for them to verify documents.  He agrees the case law in principle as set out within his skeleton argument.  He in no way seeks to challenge it but submits that even though it is argued by Miss Ahmad that it supports her, he equally suggests that it supports the analysis adopted by the judge.  In conclusion he submits that the challenge is effectively one of an adequacy of reasons and that whilst the findings of the judge are brief he submits they are sufficient.  In such circumstances he asked me to dismiss the appeal.</w:t>
      </w:r>
    </w:p>
    <w:p w14:paraId="161D3602" w14:textId="77777777" w:rsidR="0064508C" w:rsidRPr="005F26E7" w:rsidRDefault="0064508C" w:rsidP="0064508C">
      <w:pPr>
        <w:spacing w:before="240"/>
        <w:jc w:val="both"/>
        <w:rPr>
          <w:rFonts w:ascii="Book Antiqua" w:hAnsi="Book Antiqua"/>
          <w:b/>
        </w:rPr>
      </w:pPr>
      <w:r w:rsidRPr="005F26E7">
        <w:rPr>
          <w:rFonts w:ascii="Book Antiqua" w:hAnsi="Book Antiqua"/>
          <w:b/>
        </w:rPr>
        <w:t>The Law</w:t>
      </w:r>
    </w:p>
    <w:p w14:paraId="79AD98A8" w14:textId="77777777" w:rsidR="0064508C" w:rsidRDefault="0064508C" w:rsidP="0064508C">
      <w:pPr>
        <w:numPr>
          <w:ilvl w:val="0"/>
          <w:numId w:val="3"/>
        </w:numPr>
        <w:spacing w:before="240"/>
        <w:jc w:val="both"/>
        <w:rPr>
          <w:rFonts w:ascii="Book Antiqua" w:hAnsi="Book Antiqua"/>
        </w:rPr>
      </w:pPr>
      <w:r>
        <w:rPr>
          <w:rFonts w:ascii="Book Antiqua" w:hAnsi="Book Antiqua"/>
        </w:rPr>
        <w:t xml:space="preserve">Areas of legislative interpretation, failure to follow binding authority or to distinguish it with adequate reasons, ignoring material considerations by taking into account immaterial considerations, reaching irrational conclusions on fact or evaluation or to </w:t>
      </w:r>
      <w:r>
        <w:rPr>
          <w:rFonts w:ascii="Book Antiqua" w:hAnsi="Book Antiqua"/>
        </w:rPr>
        <w:lastRenderedPageBreak/>
        <w:t>give legally inadequate reasons for the decision and procedural unfairness, constitute errors of law.</w:t>
      </w:r>
    </w:p>
    <w:p w14:paraId="13C64C23" w14:textId="77777777" w:rsidR="0064508C" w:rsidRPr="00B464F8" w:rsidRDefault="0064508C" w:rsidP="0064508C">
      <w:pPr>
        <w:numPr>
          <w:ilvl w:val="0"/>
          <w:numId w:val="3"/>
        </w:numPr>
        <w:spacing w:before="240"/>
        <w:jc w:val="both"/>
        <w:rPr>
          <w:rFonts w:ascii="Book Antiqua" w:hAnsi="Book Antiqua"/>
        </w:rPr>
      </w:pPr>
      <w:r>
        <w:rPr>
          <w:rFonts w:ascii="Book Antiqua" w:hAnsi="Book Antiqua"/>
        </w:rPr>
        <w:t>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14:paraId="39638BCB" w14:textId="77777777" w:rsidR="0064508C" w:rsidRPr="0064508C" w:rsidRDefault="0064508C" w:rsidP="0064508C">
      <w:pPr>
        <w:spacing w:before="240"/>
        <w:jc w:val="both"/>
        <w:rPr>
          <w:rFonts w:ascii="Book Antiqua" w:hAnsi="Book Antiqua" w:cs="Arial"/>
          <w:b/>
        </w:rPr>
      </w:pPr>
      <w:r w:rsidRPr="0064508C">
        <w:rPr>
          <w:rFonts w:ascii="Book Antiqua" w:hAnsi="Book Antiqua" w:cs="Arial"/>
          <w:b/>
        </w:rPr>
        <w:t>Findings on Error of Law</w:t>
      </w:r>
    </w:p>
    <w:p w14:paraId="3AF6C39D" w14:textId="77777777" w:rsidR="000C5A1A" w:rsidRDefault="00950303" w:rsidP="00AF533C">
      <w:pPr>
        <w:numPr>
          <w:ilvl w:val="0"/>
          <w:numId w:val="3"/>
        </w:numPr>
        <w:spacing w:before="240"/>
        <w:jc w:val="both"/>
        <w:rPr>
          <w:rFonts w:ascii="Book Antiqua" w:hAnsi="Book Antiqua" w:cs="Arial"/>
        </w:rPr>
      </w:pPr>
      <w:r>
        <w:rPr>
          <w:rFonts w:ascii="Book Antiqua" w:hAnsi="Book Antiqua" w:cs="Arial"/>
        </w:rPr>
        <w:t xml:space="preserve">This case turns entirely on an adequacy of reasons challenge and whether or not the findings of the judge at paragraph 10 are sufficient.  The </w:t>
      </w:r>
      <w:r w:rsidR="00B42AE2">
        <w:rPr>
          <w:rFonts w:ascii="Book Antiqua" w:hAnsi="Book Antiqua" w:cs="Arial"/>
        </w:rPr>
        <w:t>d</w:t>
      </w:r>
      <w:r>
        <w:rPr>
          <w:rFonts w:ascii="Book Antiqua" w:hAnsi="Book Antiqua" w:cs="Arial"/>
        </w:rPr>
        <w:t xml:space="preserve">ecision is a short one but that in itself does not mean that it is inadequate.  There are also findings made of adverse credibility.  A proper approach to credibility will require an </w:t>
      </w:r>
      <w:r w:rsidR="00B42AE2">
        <w:rPr>
          <w:rFonts w:ascii="Book Antiqua" w:hAnsi="Book Antiqua" w:cs="Arial"/>
        </w:rPr>
        <w:t>assessment</w:t>
      </w:r>
      <w:r>
        <w:rPr>
          <w:rFonts w:ascii="Book Antiqua" w:hAnsi="Book Antiqua" w:cs="Arial"/>
        </w:rPr>
        <w:t xml:space="preserve"> of the evidence and the general claim and as such relevant factors will be the internal </w:t>
      </w:r>
      <w:r w:rsidR="00B42AE2">
        <w:rPr>
          <w:rFonts w:ascii="Book Antiqua" w:hAnsi="Book Antiqua" w:cs="Arial"/>
        </w:rPr>
        <w:t>consistency</w:t>
      </w:r>
      <w:r>
        <w:rPr>
          <w:rFonts w:ascii="Book Antiqua" w:hAnsi="Book Antiqua" w:cs="Arial"/>
        </w:rPr>
        <w:t xml:space="preserve"> of the claim, the inherent plausibility of the claim and the consistency of the claim with external factors of the sought typically found in country guidance.  I </w:t>
      </w:r>
      <w:r w:rsidR="00B42AE2">
        <w:rPr>
          <w:rFonts w:ascii="Book Antiqua" w:hAnsi="Book Antiqua" w:cs="Arial"/>
        </w:rPr>
        <w:t>accept</w:t>
      </w:r>
      <w:r>
        <w:rPr>
          <w:rFonts w:ascii="Book Antiqua" w:hAnsi="Book Antiqua" w:cs="Arial"/>
        </w:rPr>
        <w:t xml:space="preserve"> that the burden of proof is on the lower standard and this case turns very largely on a construction of paragraph 10 of the judge’s decision.  I am satisfied therein that the judge has failed to give sufficient reasons to say why he has </w:t>
      </w:r>
      <w:r w:rsidR="00B42AE2">
        <w:rPr>
          <w:rFonts w:ascii="Book Antiqua" w:hAnsi="Book Antiqua" w:cs="Arial"/>
        </w:rPr>
        <w:t>accepted</w:t>
      </w:r>
      <w:r>
        <w:rPr>
          <w:rFonts w:ascii="Book Antiqua" w:hAnsi="Book Antiqua" w:cs="Arial"/>
        </w:rPr>
        <w:t xml:space="preserve"> the </w:t>
      </w:r>
      <w:r w:rsidR="00B42AE2">
        <w:rPr>
          <w:rFonts w:ascii="Book Antiqua" w:hAnsi="Book Antiqua" w:cs="Arial"/>
        </w:rPr>
        <w:t>Appellant</w:t>
      </w:r>
      <w:r>
        <w:rPr>
          <w:rFonts w:ascii="Book Antiqua" w:hAnsi="Book Antiqua" w:cs="Arial"/>
        </w:rPr>
        <w:t xml:space="preserve">’s evidence.  To use the </w:t>
      </w:r>
      <w:proofErr w:type="gramStart"/>
      <w:r>
        <w:rPr>
          <w:rFonts w:ascii="Book Antiqua" w:hAnsi="Book Antiqua" w:cs="Arial"/>
        </w:rPr>
        <w:t>phrase</w:t>
      </w:r>
      <w:r w:rsidR="000C5A1A">
        <w:rPr>
          <w:rFonts w:ascii="Book Antiqua" w:hAnsi="Book Antiqua" w:cs="Arial"/>
        </w:rPr>
        <w:t>:-</w:t>
      </w:r>
      <w:proofErr w:type="gramEnd"/>
    </w:p>
    <w:p w14:paraId="27BB21D9" w14:textId="77777777" w:rsidR="000C5A1A" w:rsidRPr="00D55698" w:rsidRDefault="00950303" w:rsidP="00D55698">
      <w:pPr>
        <w:spacing w:before="120"/>
        <w:ind w:left="1134" w:right="567"/>
        <w:jc w:val="both"/>
        <w:rPr>
          <w:rFonts w:ascii="Book Antiqua" w:hAnsi="Book Antiqua" w:cs="Arial"/>
          <w:sz w:val="22"/>
        </w:rPr>
      </w:pPr>
      <w:r w:rsidRPr="00D55698">
        <w:rPr>
          <w:rFonts w:ascii="Book Antiqua" w:hAnsi="Book Antiqua" w:cs="Arial"/>
          <w:sz w:val="22"/>
        </w:rPr>
        <w:t xml:space="preserve">“I find that the apparent inconsistencies in the </w:t>
      </w:r>
      <w:r w:rsidR="00B42AE2" w:rsidRPr="00D55698">
        <w:rPr>
          <w:rFonts w:ascii="Book Antiqua" w:hAnsi="Book Antiqua" w:cs="Arial"/>
          <w:sz w:val="22"/>
        </w:rPr>
        <w:t>Appellant</w:t>
      </w:r>
      <w:r w:rsidRPr="00D55698">
        <w:rPr>
          <w:rFonts w:ascii="Book Antiqua" w:hAnsi="Book Antiqua" w:cs="Arial"/>
          <w:sz w:val="22"/>
        </w:rPr>
        <w:t>’s evidence are of a limited extent</w:t>
      </w:r>
      <w:r w:rsidR="000C5A1A" w:rsidRPr="00D55698">
        <w:rPr>
          <w:rFonts w:ascii="Book Antiqua" w:hAnsi="Book Antiqua" w:cs="Arial"/>
          <w:sz w:val="22"/>
        </w:rPr>
        <w:t xml:space="preserve"> </w:t>
      </w:r>
      <w:r w:rsidRPr="00D55698">
        <w:rPr>
          <w:rFonts w:ascii="Book Antiqua" w:hAnsi="Book Antiqua" w:cs="Arial"/>
          <w:sz w:val="22"/>
        </w:rPr>
        <w:t>and given the relevant standard of proof</w:t>
      </w:r>
      <w:r w:rsidR="000C5A1A" w:rsidRPr="00D55698">
        <w:rPr>
          <w:rFonts w:ascii="Book Antiqua" w:hAnsi="Book Antiqua" w:cs="Arial"/>
          <w:sz w:val="22"/>
        </w:rPr>
        <w:t>,</w:t>
      </w:r>
      <w:r w:rsidRPr="00D55698">
        <w:rPr>
          <w:rFonts w:ascii="Book Antiqua" w:hAnsi="Book Antiqua" w:cs="Arial"/>
          <w:sz w:val="22"/>
        </w:rPr>
        <w:t xml:space="preserve"> I find the </w:t>
      </w:r>
      <w:r w:rsidR="00B42AE2" w:rsidRPr="00D55698">
        <w:rPr>
          <w:rFonts w:ascii="Book Antiqua" w:hAnsi="Book Antiqua" w:cs="Arial"/>
          <w:sz w:val="22"/>
        </w:rPr>
        <w:t>Appellant</w:t>
      </w:r>
      <w:r w:rsidRPr="00D55698">
        <w:rPr>
          <w:rFonts w:ascii="Book Antiqua" w:hAnsi="Book Antiqua" w:cs="Arial"/>
          <w:sz w:val="22"/>
        </w:rPr>
        <w:t xml:space="preserve"> has established to the relevant standard that he is credible in </w:t>
      </w:r>
      <w:r w:rsidR="00B42AE2" w:rsidRPr="00D55698">
        <w:rPr>
          <w:rFonts w:ascii="Book Antiqua" w:hAnsi="Book Antiqua" w:cs="Arial"/>
          <w:sz w:val="22"/>
        </w:rPr>
        <w:t>relation</w:t>
      </w:r>
      <w:r w:rsidRPr="00D55698">
        <w:rPr>
          <w:rFonts w:ascii="Book Antiqua" w:hAnsi="Book Antiqua" w:cs="Arial"/>
          <w:sz w:val="22"/>
        </w:rPr>
        <w:t xml:space="preserve"> to the background of his claim” </w:t>
      </w:r>
    </w:p>
    <w:p w14:paraId="510E4411" w14:textId="77777777" w:rsidR="0064508C" w:rsidRDefault="00950303" w:rsidP="000C5A1A">
      <w:pPr>
        <w:spacing w:before="240"/>
        <w:ind w:left="567"/>
        <w:jc w:val="both"/>
        <w:rPr>
          <w:rFonts w:ascii="Book Antiqua" w:hAnsi="Book Antiqua" w:cs="Arial"/>
        </w:rPr>
      </w:pPr>
      <w:r>
        <w:rPr>
          <w:rFonts w:ascii="Book Antiqua" w:hAnsi="Book Antiqua" w:cs="Arial"/>
        </w:rPr>
        <w:t xml:space="preserve">is </w:t>
      </w:r>
      <w:r w:rsidR="000C5A1A">
        <w:rPr>
          <w:rFonts w:ascii="Book Antiqua" w:hAnsi="Book Antiqua" w:cs="Arial"/>
        </w:rPr>
        <w:t xml:space="preserve">insufficient.  There is a requirement in a case of this nature for the judge to go into some detail as to what his findings are and the reasons why he has made them.  There is an admission herein that there are inconsistencies but these have not been analysed by the judge.  This has to be balanced against the seeming failure of the judge to completely ignore the fact in his findings that this is an </w:t>
      </w:r>
      <w:r w:rsidR="00B42AE2">
        <w:rPr>
          <w:rFonts w:ascii="Book Antiqua" w:hAnsi="Book Antiqua" w:cs="Arial"/>
        </w:rPr>
        <w:t>Appellant</w:t>
      </w:r>
      <w:r w:rsidR="000C5A1A">
        <w:rPr>
          <w:rFonts w:ascii="Book Antiqua" w:hAnsi="Book Antiqua" w:cs="Arial"/>
        </w:rPr>
        <w:t xml:space="preserve"> who overstayed his visa in 2012 by some five years and only brings his claim after he is arrested some five years later.  </w:t>
      </w:r>
    </w:p>
    <w:p w14:paraId="2B562FE5" w14:textId="77777777" w:rsidR="000C5A1A" w:rsidRPr="00B42AE2" w:rsidRDefault="000C5A1A" w:rsidP="00AF533C">
      <w:pPr>
        <w:numPr>
          <w:ilvl w:val="0"/>
          <w:numId w:val="3"/>
        </w:numPr>
        <w:spacing w:before="240"/>
        <w:jc w:val="both"/>
        <w:rPr>
          <w:rFonts w:ascii="Book Antiqua" w:hAnsi="Book Antiqua" w:cs="Arial"/>
          <w:i/>
        </w:rPr>
      </w:pPr>
      <w:r>
        <w:rPr>
          <w:rFonts w:ascii="Book Antiqua" w:hAnsi="Book Antiqua" w:cs="Arial"/>
        </w:rPr>
        <w:t xml:space="preserve">Mr Jarro has referred me to the authority of </w:t>
      </w:r>
      <w:r w:rsidRPr="000C5A1A">
        <w:rPr>
          <w:rFonts w:ascii="Book Antiqua" w:hAnsi="Book Antiqua" w:cs="Arial"/>
          <w:i/>
        </w:rPr>
        <w:t>JT (</w:t>
      </w:r>
      <w:smartTag w:uri="urn:schemas-microsoft-com:office:smarttags" w:element="country-region">
        <w:smartTag w:uri="urn:schemas-microsoft-com:office:smarttags" w:element="place">
          <w:r w:rsidRPr="000C5A1A">
            <w:rPr>
              <w:rFonts w:ascii="Book Antiqua" w:hAnsi="Book Antiqua" w:cs="Arial"/>
              <w:i/>
            </w:rPr>
            <w:t>Cameroon</w:t>
          </w:r>
        </w:smartTag>
      </w:smartTag>
      <w:r w:rsidRPr="000C5A1A">
        <w:rPr>
          <w:rFonts w:ascii="Book Antiqua" w:hAnsi="Book Antiqua" w:cs="Arial"/>
          <w:i/>
        </w:rPr>
        <w:t>) v The Secretary of State for the Home Department</w:t>
      </w:r>
      <w:r w:rsidRPr="000C5A1A">
        <w:rPr>
          <w:rFonts w:ascii="Book Antiqua" w:hAnsi="Book Antiqua" w:cs="Arial"/>
        </w:rPr>
        <w:t xml:space="preserve"> [</w:t>
      </w:r>
      <w:r w:rsidRPr="000C5A1A">
        <w:rPr>
          <w:rFonts w:ascii="Book Antiqua" w:hAnsi="Book Antiqua" w:cs="Arial"/>
          <w:i/>
        </w:rPr>
        <w:t>2008] EWCA Civ 878</w:t>
      </w:r>
      <w:r w:rsidRPr="000C5A1A">
        <w:rPr>
          <w:rFonts w:ascii="Book Antiqua" w:hAnsi="Book Antiqua"/>
        </w:rPr>
        <w:t xml:space="preserve"> and </w:t>
      </w:r>
      <w:r w:rsidR="009B0571">
        <w:rPr>
          <w:rFonts w:ascii="Book Antiqua" w:hAnsi="Book Antiqua"/>
        </w:rPr>
        <w:t>I acknowledge</w:t>
      </w:r>
      <w:r w:rsidRPr="000C5A1A">
        <w:rPr>
          <w:rFonts w:ascii="Book Antiqua" w:hAnsi="Book Antiqua"/>
        </w:rPr>
        <w:t xml:space="preserve"> the guidance given by that </w:t>
      </w:r>
      <w:r w:rsidRPr="000C5A1A">
        <w:rPr>
          <w:rFonts w:ascii="Book Antiqua" w:hAnsi="Book Antiqua"/>
        </w:rPr>
        <w:lastRenderedPageBreak/>
        <w:t xml:space="preserve">case.  </w:t>
      </w:r>
      <w:r>
        <w:rPr>
          <w:rFonts w:ascii="Book Antiqua" w:hAnsi="Book Antiqua"/>
        </w:rPr>
        <w:t>However, this is not a case where the Secretary of State has paid me</w:t>
      </w:r>
      <w:r w:rsidR="00D91BD0">
        <w:rPr>
          <w:rFonts w:ascii="Book Antiqua" w:hAnsi="Book Antiqua"/>
        </w:rPr>
        <w:t>re</w:t>
      </w:r>
      <w:r>
        <w:rPr>
          <w:rFonts w:ascii="Book Antiqua" w:hAnsi="Book Antiqua"/>
        </w:rPr>
        <w:t xml:space="preserve"> lip service in his analysis of the material facts.  They are considered in substantial detail between paragraphs 27 and 68 of the Notice of Refusal.  To merely apply a </w:t>
      </w:r>
      <w:r w:rsidRPr="000C5A1A">
        <w:rPr>
          <w:rFonts w:ascii="Book Antiqua" w:hAnsi="Book Antiqua"/>
          <w:i/>
        </w:rPr>
        <w:t xml:space="preserve">Tanveer Ahmed </w:t>
      </w:r>
      <w:r>
        <w:rPr>
          <w:rFonts w:ascii="Book Antiqua" w:hAnsi="Book Antiqua"/>
        </w:rPr>
        <w:t xml:space="preserve">approach to seemingly the whole of the decision is inappropriate.  I note and acknowledge the way in which Mr Jarro has put his submissions, but </w:t>
      </w:r>
      <w:proofErr w:type="gramStart"/>
      <w:r>
        <w:rPr>
          <w:rFonts w:ascii="Book Antiqua" w:hAnsi="Book Antiqua"/>
        </w:rPr>
        <w:t>overall</w:t>
      </w:r>
      <w:proofErr w:type="gramEnd"/>
      <w:r>
        <w:rPr>
          <w:rFonts w:ascii="Book Antiqua" w:hAnsi="Book Antiqua"/>
        </w:rPr>
        <w:t xml:space="preserve"> I am satisfied that this is a judge who has in the briefest of reasons failed to adequately give reasons to inadequacies in the evidence as described in some detail in paragraphs 4 to 7 of the Secretary of State’s Grounds of Appeal.  Such failures show that the decision cannot be </w:t>
      </w:r>
      <w:r w:rsidR="00D91BD0">
        <w:rPr>
          <w:rFonts w:ascii="Book Antiqua" w:hAnsi="Book Antiqua"/>
        </w:rPr>
        <w:t>sustained</w:t>
      </w:r>
      <w:r>
        <w:rPr>
          <w:rFonts w:ascii="Book Antiqua" w:hAnsi="Book Antiqua"/>
        </w:rPr>
        <w:t xml:space="preserve"> and in such </w:t>
      </w:r>
      <w:proofErr w:type="gramStart"/>
      <w:r>
        <w:rPr>
          <w:rFonts w:ascii="Book Antiqua" w:hAnsi="Book Antiqua"/>
        </w:rPr>
        <w:t>circumstances</w:t>
      </w:r>
      <w:proofErr w:type="gramEnd"/>
      <w:r>
        <w:rPr>
          <w:rFonts w:ascii="Book Antiqua" w:hAnsi="Book Antiqua"/>
        </w:rPr>
        <w:t xml:space="preserve"> I find that there are material errors of law and set aside the decision and give hereinafter directions for the rehearing of this matter.  </w:t>
      </w:r>
    </w:p>
    <w:p w14:paraId="2478375D" w14:textId="77777777" w:rsidR="00B42AE2" w:rsidRPr="00B42AE2" w:rsidRDefault="00B42AE2" w:rsidP="00B42AE2">
      <w:pPr>
        <w:spacing w:before="240"/>
        <w:jc w:val="both"/>
        <w:rPr>
          <w:rFonts w:ascii="Book Antiqua" w:hAnsi="Book Antiqua" w:cs="Arial"/>
          <w:i/>
        </w:rPr>
      </w:pPr>
      <w:r>
        <w:rPr>
          <w:rFonts w:ascii="Book Antiqua" w:hAnsi="Book Antiqua" w:cs="Arial"/>
          <w:b/>
        </w:rPr>
        <w:t xml:space="preserve">Notice of Decision </w:t>
      </w:r>
    </w:p>
    <w:p w14:paraId="32F0B617" w14:textId="77777777" w:rsidR="00B42AE2" w:rsidRDefault="00B42AE2" w:rsidP="00D91BD0">
      <w:pPr>
        <w:spacing w:before="240"/>
        <w:jc w:val="both"/>
        <w:rPr>
          <w:rFonts w:ascii="Book Antiqua" w:hAnsi="Book Antiqua" w:cs="Arial"/>
        </w:rPr>
      </w:pPr>
      <w:r>
        <w:rPr>
          <w:rFonts w:ascii="Book Antiqua" w:hAnsi="Book Antiqua" w:cs="Arial"/>
        </w:rPr>
        <w:t xml:space="preserve">The decision of the First-tier Tribunal Judge contains a material error of law and is set aside.  Directions are given hereinafter for the rehearing of this </w:t>
      </w:r>
      <w:proofErr w:type="gramStart"/>
      <w:r>
        <w:rPr>
          <w:rFonts w:ascii="Book Antiqua" w:hAnsi="Book Antiqua" w:cs="Arial"/>
        </w:rPr>
        <w:t>matter:-</w:t>
      </w:r>
      <w:proofErr w:type="gramEnd"/>
    </w:p>
    <w:p w14:paraId="578658E3" w14:textId="77777777" w:rsidR="00B42AE2" w:rsidRDefault="00B42AE2" w:rsidP="002C33ED">
      <w:pPr>
        <w:pStyle w:val="List"/>
        <w:numPr>
          <w:ilvl w:val="0"/>
          <w:numId w:val="0"/>
        </w:numPr>
        <w:ind w:left="1080"/>
        <w:jc w:val="both"/>
      </w:pPr>
    </w:p>
    <w:p w14:paraId="580CCFB6" w14:textId="77777777" w:rsidR="00B42AE2" w:rsidRPr="00B42AE2" w:rsidRDefault="00B42AE2" w:rsidP="00D91BD0">
      <w:pPr>
        <w:pStyle w:val="List"/>
        <w:tabs>
          <w:tab w:val="clear" w:pos="1647"/>
        </w:tabs>
        <w:spacing w:after="240"/>
        <w:ind w:left="567"/>
        <w:jc w:val="both"/>
        <w:rPr>
          <w:rFonts w:ascii="Book Antiqua" w:hAnsi="Book Antiqua"/>
        </w:rPr>
      </w:pPr>
      <w:r w:rsidRPr="00B42AE2">
        <w:rPr>
          <w:rFonts w:ascii="Book Antiqua" w:hAnsi="Book Antiqua"/>
        </w:rPr>
        <w:t>That on the finding that there are material errors of law in the decision of the First-tier Tribunal Judge the decision is set aside and remitted to the First-tier Tribunal sitting at Taylor House on the first available date 28 days hence with none o</w:t>
      </w:r>
      <w:r w:rsidR="00B22A43">
        <w:rPr>
          <w:rFonts w:ascii="Book Antiqua" w:hAnsi="Book Antiqua"/>
        </w:rPr>
        <w:t xml:space="preserve">f the findings of fact to stand with on </w:t>
      </w:r>
      <w:r w:rsidR="00E4705B">
        <w:rPr>
          <w:rFonts w:ascii="Book Antiqua" w:hAnsi="Book Antiqua"/>
        </w:rPr>
        <w:t>estimated length of hearing of 3 hours.</w:t>
      </w:r>
    </w:p>
    <w:p w14:paraId="7E894B63" w14:textId="77777777" w:rsidR="00B42AE2" w:rsidRDefault="00B42AE2" w:rsidP="00D91BD0">
      <w:pPr>
        <w:pStyle w:val="List"/>
        <w:tabs>
          <w:tab w:val="clear" w:pos="1647"/>
        </w:tabs>
        <w:spacing w:after="240"/>
        <w:ind w:left="567"/>
        <w:jc w:val="both"/>
        <w:rPr>
          <w:rFonts w:ascii="Book Antiqua" w:hAnsi="Book Antiqua"/>
        </w:rPr>
      </w:pPr>
      <w:r>
        <w:rPr>
          <w:rFonts w:ascii="Book Antiqua" w:hAnsi="Book Antiqua"/>
        </w:rPr>
        <w:t>That the rehearing of this matter is to be before any Judge of the First-tier Tribunal other than Judge of the First-tier Tribunal Metzer.</w:t>
      </w:r>
    </w:p>
    <w:p w14:paraId="741DFFBC" w14:textId="77777777" w:rsidR="00B42AE2" w:rsidRDefault="00B42AE2" w:rsidP="00D91BD0">
      <w:pPr>
        <w:pStyle w:val="List"/>
        <w:tabs>
          <w:tab w:val="clear" w:pos="1647"/>
        </w:tabs>
        <w:spacing w:after="240"/>
        <w:ind w:left="567"/>
        <w:jc w:val="both"/>
        <w:rPr>
          <w:rFonts w:ascii="Book Antiqua" w:hAnsi="Book Antiqua"/>
        </w:rPr>
      </w:pPr>
      <w:r>
        <w:rPr>
          <w:rFonts w:ascii="Book Antiqua" w:hAnsi="Book Antiqua"/>
        </w:rPr>
        <w:t>That there be leave to either party to file and/or serve a bundle of further subjective and/or objective evidence upon which they seek to rely at least 21 days prior to the restored hearing.</w:t>
      </w:r>
    </w:p>
    <w:p w14:paraId="3DE8C95B" w14:textId="77777777" w:rsidR="00B42AE2" w:rsidRPr="00B42AE2" w:rsidRDefault="00B42AE2" w:rsidP="00D91BD0">
      <w:pPr>
        <w:pStyle w:val="List"/>
        <w:tabs>
          <w:tab w:val="clear" w:pos="1647"/>
        </w:tabs>
        <w:spacing w:after="240"/>
        <w:ind w:left="567"/>
        <w:jc w:val="both"/>
        <w:rPr>
          <w:rFonts w:ascii="Book Antiqua" w:hAnsi="Book Antiqua"/>
        </w:rPr>
      </w:pPr>
      <w:r>
        <w:rPr>
          <w:rFonts w:ascii="Book Antiqua" w:hAnsi="Book Antiqua"/>
        </w:rPr>
        <w:t xml:space="preserve">That in the event of the Appellant requiring an interpreter his instructing solicitors to notify the Tribunal of the language requirement of that interpreter within seven days of receipt of this decision.  </w:t>
      </w:r>
    </w:p>
    <w:p w14:paraId="26817DDA" w14:textId="77777777" w:rsidR="00D91BD0" w:rsidRPr="00B464F8" w:rsidRDefault="00D91BD0" w:rsidP="00D91BD0">
      <w:pPr>
        <w:spacing w:before="240"/>
        <w:jc w:val="both"/>
        <w:rPr>
          <w:rFonts w:ascii="Book Antiqua" w:hAnsi="Book Antiqua"/>
        </w:rPr>
      </w:pPr>
      <w:r>
        <w:rPr>
          <w:rFonts w:ascii="Book Antiqua" w:hAnsi="Book Antiqua"/>
        </w:rPr>
        <w:t>The First-tier Tribunal did not make an order pursuant to Rule 13 of the Tribunal Procedure (First-tier Tribunal) (Immigration and Asylum Chamber) Rules 2014.  No application is made to vary that order and none is made.</w:t>
      </w:r>
    </w:p>
    <w:p w14:paraId="50C5ED36" w14:textId="77777777" w:rsidR="003405B7" w:rsidRPr="003405B7" w:rsidRDefault="003405B7" w:rsidP="003405B7">
      <w:pPr>
        <w:jc w:val="both"/>
        <w:rPr>
          <w:rFonts w:ascii="Book Antiqua" w:hAnsi="Book Antiqua" w:cs="Arial"/>
        </w:rPr>
      </w:pPr>
    </w:p>
    <w:p w14:paraId="542A025D" w14:textId="77777777" w:rsidR="003405B7" w:rsidRPr="00F5664C" w:rsidRDefault="003405B7" w:rsidP="003405B7">
      <w:pPr>
        <w:tabs>
          <w:tab w:val="left" w:pos="2520"/>
        </w:tabs>
        <w:jc w:val="both"/>
        <w:rPr>
          <w:rFonts w:ascii="Book Antiqua" w:hAnsi="Book Antiqua" w:cs="Arial"/>
        </w:rPr>
      </w:pPr>
    </w:p>
    <w:p w14:paraId="6AA98A24" w14:textId="77777777" w:rsidR="00842418" w:rsidRPr="00F5664C" w:rsidRDefault="00842418" w:rsidP="000369F5">
      <w:pPr>
        <w:tabs>
          <w:tab w:val="left" w:pos="2520"/>
        </w:tabs>
        <w:jc w:val="both"/>
        <w:rPr>
          <w:rFonts w:ascii="Book Antiqua" w:hAnsi="Book Antiqua" w:cs="Arial"/>
        </w:rPr>
      </w:pPr>
    </w:p>
    <w:p w14:paraId="0525778D" w14:textId="77777777" w:rsidR="000369F5" w:rsidRPr="00F5664C" w:rsidRDefault="000369F5" w:rsidP="000369F5">
      <w:pPr>
        <w:tabs>
          <w:tab w:val="left" w:pos="2520"/>
        </w:tabs>
        <w:jc w:val="both"/>
        <w:rPr>
          <w:rFonts w:ascii="Book Antiqua" w:hAnsi="Book Antiqua" w:cs="Arial"/>
        </w:rPr>
      </w:pPr>
    </w:p>
    <w:p w14:paraId="096801FD" w14:textId="77777777" w:rsidR="000369F5" w:rsidRPr="00F5664C" w:rsidRDefault="000369F5" w:rsidP="000369F5">
      <w:pPr>
        <w:tabs>
          <w:tab w:val="left" w:pos="2520"/>
        </w:tabs>
        <w:jc w:val="both"/>
        <w:rPr>
          <w:rFonts w:ascii="Book Antiqua" w:hAnsi="Book Antiqua" w:cs="Arial"/>
        </w:rPr>
      </w:pPr>
    </w:p>
    <w:p w14:paraId="76210F5D" w14:textId="77777777" w:rsidR="000369F5" w:rsidRPr="00F5664C" w:rsidRDefault="000369F5" w:rsidP="000369F5">
      <w:pPr>
        <w:tabs>
          <w:tab w:val="left" w:pos="2520"/>
        </w:tabs>
        <w:jc w:val="both"/>
        <w:rPr>
          <w:rFonts w:ascii="Book Antiqua" w:hAnsi="Book Antiqua" w:cs="Arial"/>
        </w:rPr>
      </w:pPr>
    </w:p>
    <w:p w14:paraId="6D57556C" w14:textId="45D6E072"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215F77">
        <w:rPr>
          <w:rFonts w:ascii="Book Antiqua" w:hAnsi="Book Antiqua" w:cs="Arial"/>
        </w:rPr>
        <w:t xml:space="preserve"> 10/07/2018</w:t>
      </w:r>
    </w:p>
    <w:p w14:paraId="4A750D24" w14:textId="77777777" w:rsidR="001F2716" w:rsidRPr="00F5664C" w:rsidRDefault="001F2716" w:rsidP="000369F5">
      <w:pPr>
        <w:tabs>
          <w:tab w:val="left" w:pos="2520"/>
        </w:tabs>
        <w:jc w:val="both"/>
        <w:rPr>
          <w:rFonts w:ascii="Book Antiqua" w:hAnsi="Book Antiqua" w:cs="Arial"/>
        </w:rPr>
      </w:pPr>
    </w:p>
    <w:p w14:paraId="0785F021" w14:textId="77777777" w:rsidR="001F2716" w:rsidRPr="00F5664C" w:rsidRDefault="001F2716" w:rsidP="000369F5">
      <w:pPr>
        <w:tabs>
          <w:tab w:val="left" w:pos="2520"/>
        </w:tabs>
        <w:jc w:val="both"/>
        <w:rPr>
          <w:rFonts w:ascii="Book Antiqua" w:hAnsi="Book Antiqua" w:cs="Arial"/>
        </w:rPr>
      </w:pPr>
    </w:p>
    <w:p w14:paraId="3859D17E" w14:textId="77777777"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14:paraId="68C6AEC1" w14:textId="77777777" w:rsidR="003405B7" w:rsidRPr="00F5664C" w:rsidRDefault="003405B7" w:rsidP="000369F5">
      <w:pPr>
        <w:tabs>
          <w:tab w:val="left" w:pos="2520"/>
        </w:tabs>
        <w:jc w:val="both"/>
        <w:rPr>
          <w:rFonts w:ascii="Book Antiqua" w:hAnsi="Book Antiqua" w:cs="Arial"/>
        </w:rPr>
      </w:pPr>
    </w:p>
    <w:p w14:paraId="292B161B" w14:textId="3F94337F" w:rsidR="00C321B5" w:rsidRDefault="00C321B5" w:rsidP="000369F5">
      <w:pPr>
        <w:tabs>
          <w:tab w:val="left" w:pos="2520"/>
        </w:tabs>
        <w:jc w:val="both"/>
        <w:rPr>
          <w:rFonts w:ascii="Book Antiqua" w:hAnsi="Book Antiqua" w:cs="Arial"/>
        </w:rPr>
      </w:pPr>
    </w:p>
    <w:p w14:paraId="3388714B" w14:textId="77777777" w:rsidR="00D55698" w:rsidRPr="00F5664C" w:rsidRDefault="00D55698" w:rsidP="000369F5">
      <w:pPr>
        <w:tabs>
          <w:tab w:val="left" w:pos="2520"/>
        </w:tabs>
        <w:jc w:val="both"/>
        <w:rPr>
          <w:rFonts w:ascii="Book Antiqua" w:hAnsi="Book Antiqua" w:cs="Arial"/>
        </w:rPr>
      </w:pPr>
    </w:p>
    <w:p w14:paraId="74FBC42D" w14:textId="77777777" w:rsidR="003405B7" w:rsidRPr="00385C3B" w:rsidRDefault="003405B7" w:rsidP="003405B7">
      <w:pPr>
        <w:jc w:val="both"/>
        <w:rPr>
          <w:rFonts w:ascii="Book Antiqua" w:hAnsi="Book Antiqua" w:cs="Arial"/>
          <w:b/>
        </w:rPr>
      </w:pPr>
      <w:r w:rsidRPr="00385C3B">
        <w:rPr>
          <w:rFonts w:ascii="Book Antiqua" w:hAnsi="Book Antiqua" w:cs="Arial"/>
          <w:b/>
        </w:rPr>
        <w:t xml:space="preserve">TO THE </w:t>
      </w:r>
      <w:r w:rsidR="00B42AE2">
        <w:rPr>
          <w:rFonts w:ascii="Book Antiqua" w:hAnsi="Book Antiqua" w:cs="Arial"/>
          <w:b/>
        </w:rPr>
        <w:t>RESPONDENT</w:t>
      </w:r>
    </w:p>
    <w:p w14:paraId="79A1DF4A" w14:textId="77777777" w:rsidR="003405B7" w:rsidRPr="00385C3B" w:rsidRDefault="003405B7" w:rsidP="003405B7">
      <w:pPr>
        <w:ind w:left="567" w:hanging="567"/>
        <w:jc w:val="both"/>
        <w:rPr>
          <w:rFonts w:ascii="Book Antiqua" w:hAnsi="Book Antiqua" w:cs="Arial"/>
        </w:rPr>
      </w:pPr>
      <w:r w:rsidRPr="00385C3B">
        <w:rPr>
          <w:rFonts w:ascii="Book Antiqua" w:hAnsi="Book Antiqua" w:cs="Arial"/>
          <w:b/>
        </w:rPr>
        <w:t>FEE AWARD</w:t>
      </w:r>
    </w:p>
    <w:p w14:paraId="52001E48" w14:textId="77777777" w:rsidR="003405B7" w:rsidRPr="00385C3B" w:rsidRDefault="003405B7" w:rsidP="003405B7">
      <w:pPr>
        <w:ind w:left="567" w:hanging="567"/>
        <w:jc w:val="both"/>
        <w:rPr>
          <w:rFonts w:ascii="Book Antiqua" w:hAnsi="Book Antiqua" w:cs="Arial"/>
        </w:rPr>
      </w:pPr>
    </w:p>
    <w:p w14:paraId="6996887F" w14:textId="77777777" w:rsidR="003405B7" w:rsidRDefault="00B42AE2" w:rsidP="003405B7">
      <w:pPr>
        <w:jc w:val="both"/>
        <w:rPr>
          <w:rFonts w:ascii="Book Antiqua" w:hAnsi="Book Antiqua" w:cs="Arial"/>
        </w:rPr>
      </w:pPr>
      <w:r>
        <w:rPr>
          <w:rFonts w:ascii="Book Antiqua" w:hAnsi="Book Antiqua" w:cs="Arial"/>
        </w:rPr>
        <w:t>No application is made for a fee award and none is made</w:t>
      </w:r>
      <w:r w:rsidR="003405B7" w:rsidRPr="003405B7">
        <w:rPr>
          <w:rFonts w:ascii="Book Antiqua" w:hAnsi="Book Antiqua" w:cs="Arial"/>
        </w:rPr>
        <w:t>.</w:t>
      </w:r>
    </w:p>
    <w:p w14:paraId="4EFF4FE5" w14:textId="77777777" w:rsidR="003405B7" w:rsidRDefault="003405B7" w:rsidP="003405B7">
      <w:pPr>
        <w:tabs>
          <w:tab w:val="left" w:pos="2520"/>
        </w:tabs>
        <w:jc w:val="both"/>
        <w:rPr>
          <w:rFonts w:ascii="Book Antiqua" w:hAnsi="Book Antiqua" w:cs="Arial"/>
        </w:rPr>
      </w:pPr>
    </w:p>
    <w:p w14:paraId="33A8E347" w14:textId="77777777" w:rsidR="003405B7" w:rsidRDefault="003405B7" w:rsidP="003405B7">
      <w:pPr>
        <w:tabs>
          <w:tab w:val="left" w:pos="2520"/>
        </w:tabs>
        <w:jc w:val="both"/>
        <w:rPr>
          <w:rFonts w:ascii="Book Antiqua" w:hAnsi="Book Antiqua" w:cs="Arial"/>
        </w:rPr>
      </w:pPr>
    </w:p>
    <w:p w14:paraId="7123E186" w14:textId="77777777" w:rsidR="003405B7" w:rsidRDefault="003405B7" w:rsidP="003405B7">
      <w:pPr>
        <w:tabs>
          <w:tab w:val="left" w:pos="2520"/>
        </w:tabs>
        <w:jc w:val="both"/>
        <w:rPr>
          <w:rFonts w:ascii="Book Antiqua" w:hAnsi="Book Antiqua" w:cs="Arial"/>
        </w:rPr>
      </w:pPr>
    </w:p>
    <w:p w14:paraId="088FBD81" w14:textId="77777777" w:rsidR="003405B7" w:rsidRDefault="003405B7" w:rsidP="003405B7">
      <w:pPr>
        <w:tabs>
          <w:tab w:val="left" w:pos="2520"/>
        </w:tabs>
        <w:jc w:val="both"/>
        <w:rPr>
          <w:rFonts w:ascii="Book Antiqua" w:hAnsi="Book Antiqua" w:cs="Arial"/>
        </w:rPr>
      </w:pPr>
    </w:p>
    <w:p w14:paraId="0D65C007" w14:textId="77777777" w:rsidR="003405B7" w:rsidRDefault="003405B7" w:rsidP="003405B7">
      <w:pPr>
        <w:tabs>
          <w:tab w:val="left" w:pos="2520"/>
        </w:tabs>
        <w:jc w:val="both"/>
        <w:rPr>
          <w:rFonts w:ascii="Book Antiqua" w:hAnsi="Book Antiqua" w:cs="Arial"/>
        </w:rPr>
      </w:pPr>
    </w:p>
    <w:p w14:paraId="13848EEF" w14:textId="77777777" w:rsidR="003405B7" w:rsidRDefault="003405B7" w:rsidP="003405B7">
      <w:pPr>
        <w:tabs>
          <w:tab w:val="left" w:pos="2520"/>
        </w:tabs>
        <w:jc w:val="both"/>
        <w:rPr>
          <w:rFonts w:ascii="Book Antiqua" w:hAnsi="Book Antiqua" w:cs="Arial"/>
        </w:rPr>
      </w:pPr>
    </w:p>
    <w:p w14:paraId="5F6C17C0" w14:textId="71BFAC6C"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215F77">
        <w:rPr>
          <w:rFonts w:ascii="Book Antiqua" w:hAnsi="Book Antiqua" w:cs="Arial"/>
        </w:rPr>
        <w:t xml:space="preserve"> 10/07/2018</w:t>
      </w:r>
    </w:p>
    <w:p w14:paraId="50D8120A" w14:textId="77777777" w:rsidR="003405B7" w:rsidRPr="00F5664C" w:rsidRDefault="003405B7" w:rsidP="003405B7">
      <w:pPr>
        <w:tabs>
          <w:tab w:val="left" w:pos="2520"/>
        </w:tabs>
        <w:jc w:val="both"/>
        <w:rPr>
          <w:rFonts w:ascii="Book Antiqua" w:hAnsi="Book Antiqua" w:cs="Arial"/>
        </w:rPr>
      </w:pPr>
    </w:p>
    <w:p w14:paraId="0C38FC0D" w14:textId="77777777" w:rsidR="003405B7" w:rsidRPr="00F5664C" w:rsidRDefault="003405B7" w:rsidP="003405B7">
      <w:pPr>
        <w:tabs>
          <w:tab w:val="left" w:pos="2520"/>
        </w:tabs>
        <w:jc w:val="both"/>
        <w:rPr>
          <w:rFonts w:ascii="Book Antiqua" w:hAnsi="Book Antiqua" w:cs="Arial"/>
        </w:rPr>
      </w:pPr>
    </w:p>
    <w:p w14:paraId="012A4037" w14:textId="77777777" w:rsidR="003405B7" w:rsidRDefault="003405B7" w:rsidP="003405B7">
      <w:pPr>
        <w:tabs>
          <w:tab w:val="left" w:pos="2520"/>
        </w:tabs>
        <w:jc w:val="both"/>
        <w:rPr>
          <w:rFonts w:ascii="Book Antiqua" w:hAnsi="Book Antiqua" w:cs="Arial"/>
        </w:rPr>
      </w:pPr>
      <w:r>
        <w:rPr>
          <w:rFonts w:ascii="Book Antiqua" w:hAnsi="Book Antiqua" w:cs="Arial"/>
        </w:rPr>
        <w:t>Deputy Upper Tribunal Judge D N Harris</w:t>
      </w:r>
    </w:p>
    <w:sectPr w:rsidR="003405B7"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FD404" w14:textId="77777777" w:rsidR="009444AD" w:rsidRDefault="009444AD">
      <w:r>
        <w:separator/>
      </w:r>
    </w:p>
  </w:endnote>
  <w:endnote w:type="continuationSeparator" w:id="0">
    <w:p w14:paraId="4DB72598" w14:textId="77777777" w:rsidR="009444AD" w:rsidRDefault="00944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F88E04" w14:textId="40687D3D" w:rsidR="002C33ED" w:rsidRPr="00F5664C" w:rsidRDefault="002C33ED"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F34CBF">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218B4" w14:textId="77777777" w:rsidR="002C33ED" w:rsidRPr="00F5664C" w:rsidRDefault="002C33ED"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77567" w14:textId="77777777" w:rsidR="009444AD" w:rsidRDefault="009444AD">
      <w:r>
        <w:separator/>
      </w:r>
    </w:p>
  </w:footnote>
  <w:footnote w:type="continuationSeparator" w:id="0">
    <w:p w14:paraId="327035C4" w14:textId="77777777" w:rsidR="009444AD" w:rsidRDefault="00944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E48B76" w14:textId="77777777" w:rsidR="002C33ED" w:rsidRPr="00EE364F" w:rsidRDefault="002C33ED"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EE364F">
      <w:rPr>
        <w:rFonts w:ascii="Book Antiqua" w:hAnsi="Book Antiqua" w:cs="Arial"/>
        <w:sz w:val="16"/>
        <w:szCs w:val="16"/>
      </w:rPr>
      <w:t>PA/02766/2018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FEE4D" w14:textId="77777777" w:rsidR="002C33ED" w:rsidRPr="00F5664C" w:rsidRDefault="002C33ED">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B54E1074"/>
    <w:lvl w:ilvl="0">
      <w:start w:val="1"/>
      <w:numFmt w:val="decimal"/>
      <w:lvlText w:val="%1."/>
      <w:lvlJc w:val="left"/>
      <w:pPr>
        <w:tabs>
          <w:tab w:val="num" w:pos="567"/>
        </w:tabs>
        <w:ind w:left="567" w:hanging="567"/>
      </w:pPr>
      <w:rPr>
        <w:rFonts w:hint="default"/>
        <w:i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55A45D7"/>
    <w:multiLevelType w:val="hybridMultilevel"/>
    <w:tmpl w:val="E6D292A0"/>
    <w:lvl w:ilvl="0" w:tplc="0809000F">
      <w:start w:val="1"/>
      <w:numFmt w:val="decimal"/>
      <w:lvlText w:val="%1."/>
      <w:lvlJc w:val="left"/>
      <w:pPr>
        <w:tabs>
          <w:tab w:val="num" w:pos="720"/>
        </w:tabs>
        <w:ind w:left="720" w:hanging="360"/>
      </w:pPr>
    </w:lvl>
    <w:lvl w:ilvl="1" w:tplc="6ECAD2D6">
      <w:start w:val="1"/>
      <w:numFmt w:val="decimal"/>
      <w:pStyle w:val="List"/>
      <w:lvlText w:val="(%2)"/>
      <w:lvlJc w:val="left"/>
      <w:pPr>
        <w:tabs>
          <w:tab w:val="num" w:pos="1647"/>
        </w:tabs>
        <w:ind w:left="1647" w:hanging="567"/>
      </w:pPr>
      <w:rPr>
        <w:rFonts w:hint="default"/>
        <w:b w:val="0"/>
        <w:color w:val="auto"/>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6281EA3"/>
    <w:multiLevelType w:val="multilevel"/>
    <w:tmpl w:val="2D14BE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2"/>
  </w:num>
  <w:num w:numId="5">
    <w:abstractNumId w:val="23"/>
  </w:num>
  <w:num w:numId="6">
    <w:abstractNumId w:val="14"/>
  </w:num>
  <w:num w:numId="7">
    <w:abstractNumId w:val="21"/>
  </w:num>
  <w:num w:numId="8">
    <w:abstractNumId w:val="10"/>
  </w:num>
  <w:num w:numId="9">
    <w:abstractNumId w:val="6"/>
  </w:num>
  <w:num w:numId="10">
    <w:abstractNumId w:val="19"/>
  </w:num>
  <w:num w:numId="11">
    <w:abstractNumId w:val="18"/>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1"/>
  </w:num>
  <w:num w:numId="19">
    <w:abstractNumId w:val="7"/>
  </w:num>
  <w:num w:numId="20">
    <w:abstractNumId w:val="9"/>
  </w:num>
  <w:num w:numId="21">
    <w:abstractNumId w:val="22"/>
  </w:num>
  <w:num w:numId="22">
    <w:abstractNumId w:val="13"/>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D2"/>
    <w:rsid w:val="00000621"/>
    <w:rsid w:val="000036C2"/>
    <w:rsid w:val="00021665"/>
    <w:rsid w:val="00033D3D"/>
    <w:rsid w:val="000369F5"/>
    <w:rsid w:val="0003746D"/>
    <w:rsid w:val="00071A7E"/>
    <w:rsid w:val="000746C0"/>
    <w:rsid w:val="00074D1D"/>
    <w:rsid w:val="00092580"/>
    <w:rsid w:val="000C5A1A"/>
    <w:rsid w:val="000D01C9"/>
    <w:rsid w:val="000D5D94"/>
    <w:rsid w:val="000E0CD7"/>
    <w:rsid w:val="00114F8B"/>
    <w:rsid w:val="001165A7"/>
    <w:rsid w:val="00151BB7"/>
    <w:rsid w:val="00167D3A"/>
    <w:rsid w:val="001A1E2C"/>
    <w:rsid w:val="001E2C99"/>
    <w:rsid w:val="001F2716"/>
    <w:rsid w:val="0020133A"/>
    <w:rsid w:val="00207617"/>
    <w:rsid w:val="00213BD2"/>
    <w:rsid w:val="00214E5F"/>
    <w:rsid w:val="00215F77"/>
    <w:rsid w:val="00255071"/>
    <w:rsid w:val="002558DE"/>
    <w:rsid w:val="00283659"/>
    <w:rsid w:val="002C33ED"/>
    <w:rsid w:val="002C4E73"/>
    <w:rsid w:val="002D68BF"/>
    <w:rsid w:val="00336CBF"/>
    <w:rsid w:val="003405B7"/>
    <w:rsid w:val="00353469"/>
    <w:rsid w:val="003546C8"/>
    <w:rsid w:val="00372706"/>
    <w:rsid w:val="00385C3B"/>
    <w:rsid w:val="003A7CF2"/>
    <w:rsid w:val="003C5CE5"/>
    <w:rsid w:val="003E267B"/>
    <w:rsid w:val="003E7CD1"/>
    <w:rsid w:val="003F6C5E"/>
    <w:rsid w:val="00402B9E"/>
    <w:rsid w:val="00423932"/>
    <w:rsid w:val="004249CB"/>
    <w:rsid w:val="0044127D"/>
    <w:rsid w:val="004448DB"/>
    <w:rsid w:val="00446C9A"/>
    <w:rsid w:val="004721FD"/>
    <w:rsid w:val="00477193"/>
    <w:rsid w:val="004A1848"/>
    <w:rsid w:val="004E5A76"/>
    <w:rsid w:val="00507FEC"/>
    <w:rsid w:val="00510F0E"/>
    <w:rsid w:val="005479E1"/>
    <w:rsid w:val="005570FD"/>
    <w:rsid w:val="005575EA"/>
    <w:rsid w:val="0057790C"/>
    <w:rsid w:val="005858B7"/>
    <w:rsid w:val="00593795"/>
    <w:rsid w:val="005A75FF"/>
    <w:rsid w:val="005B7789"/>
    <w:rsid w:val="005C1A42"/>
    <w:rsid w:val="005D63E8"/>
    <w:rsid w:val="005E49A7"/>
    <w:rsid w:val="0064508C"/>
    <w:rsid w:val="0065791C"/>
    <w:rsid w:val="00690B8A"/>
    <w:rsid w:val="0069218B"/>
    <w:rsid w:val="006A23F8"/>
    <w:rsid w:val="006C1571"/>
    <w:rsid w:val="006D1DFA"/>
    <w:rsid w:val="006D506B"/>
    <w:rsid w:val="006E3C90"/>
    <w:rsid w:val="00704B61"/>
    <w:rsid w:val="00707DB1"/>
    <w:rsid w:val="007353BB"/>
    <w:rsid w:val="00742A8D"/>
    <w:rsid w:val="00752359"/>
    <w:rsid w:val="007552A9"/>
    <w:rsid w:val="00761858"/>
    <w:rsid w:val="00762329"/>
    <w:rsid w:val="00767D59"/>
    <w:rsid w:val="00776E97"/>
    <w:rsid w:val="00780FD7"/>
    <w:rsid w:val="007912AD"/>
    <w:rsid w:val="007A1F28"/>
    <w:rsid w:val="007B0824"/>
    <w:rsid w:val="007C0CD9"/>
    <w:rsid w:val="007D189A"/>
    <w:rsid w:val="007F61AD"/>
    <w:rsid w:val="008303B8"/>
    <w:rsid w:val="00833DCE"/>
    <w:rsid w:val="00842418"/>
    <w:rsid w:val="008579D7"/>
    <w:rsid w:val="008634DB"/>
    <w:rsid w:val="00871D34"/>
    <w:rsid w:val="008B270C"/>
    <w:rsid w:val="008B3A83"/>
    <w:rsid w:val="008C3D3D"/>
    <w:rsid w:val="008D4131"/>
    <w:rsid w:val="008F1932"/>
    <w:rsid w:val="008F294D"/>
    <w:rsid w:val="00905C1E"/>
    <w:rsid w:val="00921062"/>
    <w:rsid w:val="0092618D"/>
    <w:rsid w:val="009306CD"/>
    <w:rsid w:val="0093083E"/>
    <w:rsid w:val="009444AD"/>
    <w:rsid w:val="00950303"/>
    <w:rsid w:val="00956C24"/>
    <w:rsid w:val="00960C72"/>
    <w:rsid w:val="00966ECF"/>
    <w:rsid w:val="009727A3"/>
    <w:rsid w:val="00987774"/>
    <w:rsid w:val="009A11E8"/>
    <w:rsid w:val="009B0571"/>
    <w:rsid w:val="009E4E62"/>
    <w:rsid w:val="009F5220"/>
    <w:rsid w:val="009F7C4D"/>
    <w:rsid w:val="00A15234"/>
    <w:rsid w:val="00A201AB"/>
    <w:rsid w:val="00A31C8B"/>
    <w:rsid w:val="00A75965"/>
    <w:rsid w:val="00A845DC"/>
    <w:rsid w:val="00A97AEE"/>
    <w:rsid w:val="00AC5CF6"/>
    <w:rsid w:val="00AF533C"/>
    <w:rsid w:val="00B07A53"/>
    <w:rsid w:val="00B144FA"/>
    <w:rsid w:val="00B16F58"/>
    <w:rsid w:val="00B22A43"/>
    <w:rsid w:val="00B24F3B"/>
    <w:rsid w:val="00B30648"/>
    <w:rsid w:val="00B337AA"/>
    <w:rsid w:val="00B3524D"/>
    <w:rsid w:val="00B40F69"/>
    <w:rsid w:val="00B42AE2"/>
    <w:rsid w:val="00B4659E"/>
    <w:rsid w:val="00B46616"/>
    <w:rsid w:val="00B610E3"/>
    <w:rsid w:val="00B61205"/>
    <w:rsid w:val="00B617C4"/>
    <w:rsid w:val="00B626FA"/>
    <w:rsid w:val="00B7040A"/>
    <w:rsid w:val="00B81BDF"/>
    <w:rsid w:val="00B96FA0"/>
    <w:rsid w:val="00BC6C97"/>
    <w:rsid w:val="00BD4196"/>
    <w:rsid w:val="00BE31CE"/>
    <w:rsid w:val="00BF22CA"/>
    <w:rsid w:val="00C027BB"/>
    <w:rsid w:val="00C26032"/>
    <w:rsid w:val="00C265B0"/>
    <w:rsid w:val="00C321B5"/>
    <w:rsid w:val="00C345E1"/>
    <w:rsid w:val="00C977BA"/>
    <w:rsid w:val="00CB6E35"/>
    <w:rsid w:val="00CE1A46"/>
    <w:rsid w:val="00CE26B2"/>
    <w:rsid w:val="00CF253F"/>
    <w:rsid w:val="00CF56B4"/>
    <w:rsid w:val="00D20F09"/>
    <w:rsid w:val="00D22636"/>
    <w:rsid w:val="00D40FD9"/>
    <w:rsid w:val="00D45764"/>
    <w:rsid w:val="00D53769"/>
    <w:rsid w:val="00D552F6"/>
    <w:rsid w:val="00D55698"/>
    <w:rsid w:val="00D65912"/>
    <w:rsid w:val="00D85C13"/>
    <w:rsid w:val="00D91BD0"/>
    <w:rsid w:val="00D91BE3"/>
    <w:rsid w:val="00D94AFC"/>
    <w:rsid w:val="00DB3E91"/>
    <w:rsid w:val="00DB70AE"/>
    <w:rsid w:val="00DB7231"/>
    <w:rsid w:val="00DD5071"/>
    <w:rsid w:val="00DD5C39"/>
    <w:rsid w:val="00DE26AF"/>
    <w:rsid w:val="00DE7DB7"/>
    <w:rsid w:val="00E00A0A"/>
    <w:rsid w:val="00E07F57"/>
    <w:rsid w:val="00E1040E"/>
    <w:rsid w:val="00E249AA"/>
    <w:rsid w:val="00E4705B"/>
    <w:rsid w:val="00E50BCE"/>
    <w:rsid w:val="00E5154F"/>
    <w:rsid w:val="00E61292"/>
    <w:rsid w:val="00E76309"/>
    <w:rsid w:val="00E77C4D"/>
    <w:rsid w:val="00E81D01"/>
    <w:rsid w:val="00EE364F"/>
    <w:rsid w:val="00EE45D8"/>
    <w:rsid w:val="00F004CD"/>
    <w:rsid w:val="00F155EC"/>
    <w:rsid w:val="00F22A22"/>
    <w:rsid w:val="00F22EDA"/>
    <w:rsid w:val="00F3224D"/>
    <w:rsid w:val="00F33E0E"/>
    <w:rsid w:val="00F34CBF"/>
    <w:rsid w:val="00F5664C"/>
    <w:rsid w:val="00F67DD0"/>
    <w:rsid w:val="00F95317"/>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7169"/>
    <o:shapelayout v:ext="edit">
      <o:idmap v:ext="edit" data="1"/>
    </o:shapelayout>
  </w:shapeDefaults>
  <w:decimalSymbol w:val="."/>
  <w:listSeparator w:val=","/>
  <w14:docId w14:val="49C808F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 w:type="paragraph" w:styleId="List">
    <w:name w:val="List"/>
    <w:basedOn w:val="Normal"/>
    <w:rsid w:val="00B42AE2"/>
    <w:pPr>
      <w:numPr>
        <w:ilvl w:val="1"/>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2238</Words>
  <Characters>10805</Characters>
  <Application>Microsoft Office Word</Application>
  <DocSecurity>0</DocSecurity>
  <Lines>90</Lines>
  <Paragraphs>26</Paragraphs>
  <ScaleCrop>false</ScaleCrop>
  <Company/>
  <LinksUpToDate>false</LinksUpToDate>
  <CharactersWithSpaces>13017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2018-07-30T10:24:00Z</dcterms:created>
  <dcterms:modified xsi:type="dcterms:W3CDTF">2018-07-30T10:24:00Z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