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B57D66" w:rsidRDefault="00382520" w:rsidP="00E500B2">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072641">
        <w:rPr>
          <w:rFonts w:ascii="Book Antiqua" w:hAnsi="Book Antiqua" w:cs="Arial"/>
          <w:b/>
          <w:color w:val="000000"/>
        </w:rPr>
        <w:t xml:space="preserve">   </w:t>
      </w:r>
      <w:proofErr w:type="gramEnd"/>
      <w:r w:rsidR="00072641">
        <w:rPr>
          <w:rFonts w:ascii="Book Antiqua" w:hAnsi="Book Antiqua" w:cs="Arial"/>
          <w:b/>
          <w:color w:val="000000"/>
        </w:rPr>
        <w:t xml:space="preserve">                     </w:t>
      </w:r>
      <w:r w:rsidR="00B3524D" w:rsidRPr="00072641">
        <w:rPr>
          <w:rFonts w:ascii="Book Antiqua" w:hAnsi="Book Antiqua" w:cs="Arial"/>
          <w:b/>
          <w:color w:val="000000"/>
        </w:rPr>
        <w:t>Appeal Number</w:t>
      </w:r>
      <w:r w:rsidR="00D53769" w:rsidRPr="00072641">
        <w:rPr>
          <w:rFonts w:ascii="Book Antiqua" w:hAnsi="Book Antiqua" w:cs="Arial"/>
          <w:b/>
          <w:color w:val="000000"/>
        </w:rPr>
        <w:t>:</w:t>
      </w:r>
      <w:r w:rsidR="00B3524D" w:rsidRPr="00072641">
        <w:rPr>
          <w:rFonts w:ascii="Book Antiqua" w:hAnsi="Book Antiqua" w:cs="Arial"/>
          <w:b/>
          <w:color w:val="000000"/>
        </w:rPr>
        <w:t xml:space="preserve"> </w:t>
      </w:r>
      <w:r w:rsidR="00290B42" w:rsidRPr="00072641">
        <w:rPr>
          <w:rFonts w:ascii="Book Antiqua" w:hAnsi="Book Antiqua" w:cs="Arial"/>
          <w:b/>
          <w:caps/>
          <w:color w:val="000000"/>
        </w:rPr>
        <w:t>PA/03322/2015</w:t>
      </w: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78205A" w:rsidTr="00072641">
        <w:tc>
          <w:tcPr>
            <w:tcW w:w="5387" w:type="dxa"/>
            <w:shd w:val="clear" w:color="auto" w:fill="auto"/>
          </w:tcPr>
          <w:p w:rsidR="00D22636" w:rsidRPr="0078205A" w:rsidRDefault="00D22636" w:rsidP="0078205A">
            <w:pPr>
              <w:jc w:val="both"/>
              <w:rPr>
                <w:rFonts w:ascii="Book Antiqua" w:hAnsi="Book Antiqua" w:cs="Arial"/>
                <w:b/>
              </w:rPr>
            </w:pPr>
            <w:r w:rsidRPr="0078205A">
              <w:rPr>
                <w:rFonts w:ascii="Book Antiqua" w:hAnsi="Book Antiqua" w:cs="Arial"/>
                <w:b/>
              </w:rPr>
              <w:t>Heard at</w:t>
            </w:r>
            <w:r w:rsidR="00290B42" w:rsidRPr="0078205A">
              <w:rPr>
                <w:rFonts w:ascii="Book Antiqua" w:hAnsi="Book Antiqua" w:cs="Arial"/>
                <w:b/>
              </w:rPr>
              <w:t xml:space="preserve"> Manchester</w:t>
            </w:r>
          </w:p>
        </w:tc>
        <w:tc>
          <w:tcPr>
            <w:tcW w:w="4621" w:type="dxa"/>
            <w:shd w:val="clear" w:color="auto" w:fill="auto"/>
          </w:tcPr>
          <w:p w:rsidR="00D22636" w:rsidRPr="0078205A" w:rsidRDefault="00173CC6" w:rsidP="0078205A">
            <w:pPr>
              <w:jc w:val="both"/>
              <w:rPr>
                <w:rFonts w:ascii="Book Antiqua" w:hAnsi="Book Antiqua" w:cs="Arial"/>
                <w:b/>
                <w:color w:val="000000"/>
              </w:rPr>
            </w:pPr>
            <w:r w:rsidRPr="0078205A">
              <w:rPr>
                <w:rFonts w:ascii="Book Antiqua" w:hAnsi="Book Antiqua" w:cs="Arial"/>
                <w:b/>
                <w:color w:val="000000"/>
              </w:rPr>
              <w:t>Decision &amp; Reasons</w:t>
            </w:r>
            <w:r w:rsidR="00283659" w:rsidRPr="0078205A">
              <w:rPr>
                <w:rFonts w:ascii="Book Antiqua" w:hAnsi="Book Antiqua" w:cs="Arial"/>
                <w:b/>
                <w:color w:val="000000"/>
              </w:rPr>
              <w:t xml:space="preserve"> Promulgated</w:t>
            </w:r>
          </w:p>
        </w:tc>
      </w:tr>
      <w:tr w:rsidR="00D22636" w:rsidRPr="0078205A" w:rsidTr="00072641">
        <w:tc>
          <w:tcPr>
            <w:tcW w:w="5387" w:type="dxa"/>
            <w:shd w:val="clear" w:color="auto" w:fill="auto"/>
          </w:tcPr>
          <w:p w:rsidR="00D22636" w:rsidRPr="0078205A" w:rsidRDefault="00D22636" w:rsidP="0078205A">
            <w:pPr>
              <w:jc w:val="both"/>
              <w:rPr>
                <w:rFonts w:ascii="Book Antiqua" w:hAnsi="Book Antiqua" w:cs="Arial"/>
                <w:b/>
              </w:rPr>
            </w:pPr>
            <w:r w:rsidRPr="0078205A">
              <w:rPr>
                <w:rFonts w:ascii="Book Antiqua" w:hAnsi="Book Antiqua" w:cs="Arial"/>
                <w:b/>
              </w:rPr>
              <w:t xml:space="preserve">On </w:t>
            </w:r>
            <w:r w:rsidR="00290B42" w:rsidRPr="0078205A">
              <w:rPr>
                <w:rFonts w:ascii="Book Antiqua" w:hAnsi="Book Antiqua" w:cs="Arial"/>
                <w:b/>
              </w:rPr>
              <w:t>17 April 2018</w:t>
            </w:r>
          </w:p>
        </w:tc>
        <w:tc>
          <w:tcPr>
            <w:tcW w:w="4621" w:type="dxa"/>
            <w:shd w:val="clear" w:color="auto" w:fill="auto"/>
          </w:tcPr>
          <w:p w:rsidR="00D22636" w:rsidRPr="0078205A" w:rsidRDefault="00382520" w:rsidP="0078205A">
            <w:pPr>
              <w:jc w:val="both"/>
              <w:rPr>
                <w:rFonts w:ascii="Book Antiqua" w:hAnsi="Book Antiqua" w:cs="Arial"/>
                <w:b/>
              </w:rPr>
            </w:pPr>
            <w:r>
              <w:rPr>
                <w:rFonts w:ascii="Book Antiqua" w:hAnsi="Book Antiqua" w:cs="Arial"/>
                <w:b/>
              </w:rPr>
              <w:t>On 8 June 2018</w:t>
            </w:r>
          </w:p>
        </w:tc>
      </w:tr>
      <w:tr w:rsidR="00D22636" w:rsidRPr="0078205A" w:rsidTr="00072641">
        <w:tc>
          <w:tcPr>
            <w:tcW w:w="5387" w:type="dxa"/>
            <w:shd w:val="clear" w:color="auto" w:fill="auto"/>
          </w:tcPr>
          <w:p w:rsidR="00D22636" w:rsidRPr="0078205A" w:rsidRDefault="00D22636" w:rsidP="0078205A">
            <w:pPr>
              <w:jc w:val="both"/>
              <w:rPr>
                <w:rFonts w:ascii="Book Antiqua" w:hAnsi="Book Antiqua" w:cs="Arial"/>
                <w:b/>
              </w:rPr>
            </w:pPr>
          </w:p>
        </w:tc>
        <w:tc>
          <w:tcPr>
            <w:tcW w:w="4621" w:type="dxa"/>
            <w:shd w:val="clear" w:color="auto" w:fill="auto"/>
          </w:tcPr>
          <w:p w:rsidR="00D22636" w:rsidRPr="0078205A" w:rsidRDefault="00D22636" w:rsidP="0078205A">
            <w:pPr>
              <w:jc w:val="both"/>
              <w:rPr>
                <w:rFonts w:ascii="Book Antiqua" w:hAnsi="Book Antiqua" w:cs="Arial"/>
                <w:b/>
              </w:rPr>
            </w:pPr>
          </w:p>
        </w:tc>
      </w:tr>
    </w:tbl>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D20757" w:rsidRPr="00B57D66" w:rsidRDefault="00D20757"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Default="00290B42" w:rsidP="00A15234">
      <w:pPr>
        <w:jc w:val="center"/>
        <w:rPr>
          <w:rFonts w:ascii="Book Antiqua" w:hAnsi="Book Antiqua" w:cs="Arial"/>
          <w:b/>
          <w:caps/>
        </w:rPr>
      </w:pPr>
      <w:r>
        <w:rPr>
          <w:rFonts w:ascii="Book Antiqua" w:hAnsi="Book Antiqua" w:cs="Arial"/>
          <w:b/>
          <w:caps/>
        </w:rPr>
        <w:t>mr ahmed hussein salim</w:t>
      </w:r>
    </w:p>
    <w:p w:rsidR="00173CC6" w:rsidRPr="00072641" w:rsidRDefault="00173CC6" w:rsidP="00173CC6">
      <w:pPr>
        <w:jc w:val="center"/>
        <w:rPr>
          <w:rFonts w:ascii="Book Antiqua" w:hAnsi="Book Antiqua" w:cs="Arial"/>
          <w:caps/>
        </w:rPr>
      </w:pPr>
      <w:r w:rsidRPr="00072641">
        <w:rPr>
          <w:rFonts w:ascii="Book Antiqua" w:hAnsi="Book Antiqua" w:cs="Arial"/>
          <w:caps/>
        </w:rPr>
        <w:t xml:space="preserve">(ANONYMITY DIRECTION </w:t>
      </w:r>
      <w:r w:rsidR="00255B04" w:rsidRPr="00072641">
        <w:rPr>
          <w:rFonts w:ascii="Book Antiqua" w:hAnsi="Book Antiqua" w:cs="Arial"/>
          <w:caps/>
        </w:rPr>
        <w:t>NOT MADE</w:t>
      </w:r>
      <w:r w:rsidRPr="00072641">
        <w:rPr>
          <w:rFonts w:ascii="Book Antiqua" w:hAnsi="Book Antiqua" w:cs="Arial"/>
          <w:caps/>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072641" w:rsidRDefault="00072641" w:rsidP="00704B61">
      <w:pPr>
        <w:jc w:val="center"/>
        <w:rPr>
          <w:rFonts w:ascii="Book Antiqua" w:hAnsi="Book Antiqua" w:cs="Arial"/>
          <w:b/>
        </w:rPr>
      </w:pP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Default="00DD5071" w:rsidP="00704B61">
      <w:pPr>
        <w:jc w:val="center"/>
        <w:rPr>
          <w:rFonts w:ascii="Book Antiqua" w:hAnsi="Book Antiqua" w:cs="Arial"/>
          <w:b/>
        </w:rPr>
      </w:pPr>
    </w:p>
    <w:p w:rsidR="00072641" w:rsidRPr="00B57D66" w:rsidRDefault="00072641" w:rsidP="00704B61">
      <w:pPr>
        <w:jc w:val="center"/>
        <w:rPr>
          <w:rFonts w:ascii="Book Antiqua" w:hAnsi="Book Antiqua" w:cs="Arial"/>
          <w:b/>
        </w:rPr>
      </w:pPr>
      <w:r>
        <w:rPr>
          <w:rFonts w:ascii="Book Antiqua" w:hAnsi="Book Antiqua" w:cs="Arial"/>
          <w:b/>
        </w:rPr>
        <w:t>THE SECRETARY OF STATE FOR THE HOME DEPARTMENT</w:t>
      </w:r>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D5071">
      <w:pPr>
        <w:rPr>
          <w:rFonts w:ascii="Book Antiqua" w:hAnsi="Book Antiqua" w:cs="Arial"/>
        </w:rPr>
      </w:pP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290B42">
        <w:rPr>
          <w:rFonts w:ascii="Book Antiqua" w:hAnsi="Book Antiqua" w:cs="Arial"/>
        </w:rPr>
        <w:t>Ms S Khan, Counsel instructed by Broudie Jackson Canter (Manc)</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290B42">
        <w:rPr>
          <w:rFonts w:ascii="Book Antiqua" w:hAnsi="Book Antiqua" w:cs="Arial"/>
        </w:rPr>
        <w:t xml:space="preserve">Mr A McVeety, Home Office Presenting Officer </w:t>
      </w:r>
    </w:p>
    <w:p w:rsidR="00DE7DB7" w:rsidRPr="00B57D66" w:rsidRDefault="00DE7DB7" w:rsidP="00402B9E">
      <w:pPr>
        <w:tabs>
          <w:tab w:val="left" w:pos="2520"/>
        </w:tabs>
        <w:jc w:val="center"/>
        <w:rPr>
          <w:rFonts w:ascii="Book Antiqua" w:hAnsi="Book Antiqua" w:cs="Arial"/>
        </w:rPr>
      </w:pP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rsidR="00402B9E" w:rsidRPr="00B57D66" w:rsidRDefault="00402B9E" w:rsidP="00402B9E">
      <w:pPr>
        <w:tabs>
          <w:tab w:val="left" w:pos="2520"/>
        </w:tabs>
        <w:jc w:val="both"/>
        <w:rPr>
          <w:rFonts w:ascii="Book Antiqua" w:hAnsi="Book Antiqua" w:cs="Arial"/>
        </w:rPr>
      </w:pPr>
    </w:p>
    <w:p w:rsidR="004B5AEF" w:rsidRDefault="004B5AEF" w:rsidP="00BF23BB">
      <w:pPr>
        <w:tabs>
          <w:tab w:val="left" w:pos="567"/>
        </w:tabs>
        <w:ind w:left="567" w:hanging="567"/>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290B42">
        <w:rPr>
          <w:rFonts w:ascii="Book Antiqua" w:hAnsi="Book Antiqua" w:cs="Arial"/>
        </w:rPr>
        <w:t>Under challenge in this case is the decision of Judge Birrell of the First-tier Tribunal (FtT) posted on 7 August 2017 dismissing the appeal of the appellant, a national of Iraq, against the decision made by the respondent on 18 November 2015 refusing his protection claim.</w:t>
      </w:r>
    </w:p>
    <w:p w:rsidR="00290B42" w:rsidRDefault="00290B42" w:rsidP="00BF23BB">
      <w:pPr>
        <w:tabs>
          <w:tab w:val="left" w:pos="567"/>
        </w:tabs>
        <w:ind w:left="567" w:hanging="567"/>
        <w:jc w:val="both"/>
        <w:rPr>
          <w:rFonts w:ascii="Book Antiqua" w:hAnsi="Book Antiqua" w:cs="Arial"/>
        </w:rPr>
      </w:pPr>
    </w:p>
    <w:p w:rsidR="00290B42" w:rsidRDefault="00290B42"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appellant’s written grounds advanced two </w:t>
      </w:r>
      <w:r w:rsidR="0054116B">
        <w:rPr>
          <w:rFonts w:ascii="Book Antiqua" w:hAnsi="Book Antiqua" w:cs="Arial"/>
        </w:rPr>
        <w:t>main points</w:t>
      </w:r>
      <w:r>
        <w:rPr>
          <w:rFonts w:ascii="Book Antiqua" w:hAnsi="Book Antiqua" w:cs="Arial"/>
        </w:rPr>
        <w:t>, it being argue</w:t>
      </w:r>
      <w:r w:rsidR="003D68C0">
        <w:rPr>
          <w:rFonts w:ascii="Book Antiqua" w:hAnsi="Book Antiqua" w:cs="Arial"/>
        </w:rPr>
        <w:t>d that the judge erred in law (i</w:t>
      </w:r>
      <w:r>
        <w:rPr>
          <w:rFonts w:ascii="Book Antiqua" w:hAnsi="Book Antiqua" w:cs="Arial"/>
        </w:rPr>
        <w:t>) by seeking corroboration of the appellant’s accoun</w:t>
      </w:r>
      <w:r w:rsidR="003D68C0">
        <w:rPr>
          <w:rFonts w:ascii="Book Antiqua" w:hAnsi="Book Antiqua" w:cs="Arial"/>
        </w:rPr>
        <w:t>t before she accepted it; and (ii</w:t>
      </w:r>
      <w:r>
        <w:rPr>
          <w:rFonts w:ascii="Book Antiqua" w:hAnsi="Book Antiqua" w:cs="Arial"/>
        </w:rPr>
        <w:t xml:space="preserve">) in her assessment of the background evidence.  Permission to </w:t>
      </w:r>
      <w:r>
        <w:rPr>
          <w:rFonts w:ascii="Book Antiqua" w:hAnsi="Book Antiqua" w:cs="Arial"/>
        </w:rPr>
        <w:lastRenderedPageBreak/>
        <w:t>ap</w:t>
      </w:r>
      <w:r w:rsidR="003D68C0">
        <w:rPr>
          <w:rFonts w:ascii="Book Antiqua" w:hAnsi="Book Antiqua" w:cs="Arial"/>
        </w:rPr>
        <w:t>peal was not granted on ground (i) but in respect of ground (ii</w:t>
      </w:r>
      <w:r>
        <w:rPr>
          <w:rFonts w:ascii="Book Antiqua" w:hAnsi="Book Antiqua" w:cs="Arial"/>
        </w:rPr>
        <w:t>) the judge wrote t</w:t>
      </w:r>
      <w:bookmarkStart w:id="0" w:name="_GoBack"/>
      <w:bookmarkEnd w:id="0"/>
      <w:r>
        <w:rPr>
          <w:rFonts w:ascii="Book Antiqua" w:hAnsi="Book Antiqua" w:cs="Arial"/>
        </w:rPr>
        <w:t xml:space="preserve">hat “[i]t is arguable that the judge may have misunderstood the view expressed in </w:t>
      </w:r>
      <w:r>
        <w:rPr>
          <w:rFonts w:ascii="Book Antiqua" w:hAnsi="Book Antiqua" w:cs="Arial"/>
          <w:b/>
          <w:u w:val="single"/>
        </w:rPr>
        <w:t>AA</w:t>
      </w:r>
      <w:r>
        <w:rPr>
          <w:rFonts w:ascii="Book Antiqua" w:hAnsi="Book Antiqua" w:cs="Arial"/>
          <w:b/>
        </w:rPr>
        <w:t xml:space="preserve"> (Iraq) [2015] UKUT 544 (IAC)</w:t>
      </w:r>
      <w:r>
        <w:rPr>
          <w:rFonts w:ascii="Book Antiqua" w:hAnsi="Book Antiqua" w:cs="Arial"/>
        </w:rPr>
        <w:t xml:space="preserve"> on what was required to enable a person from Mosul to safely relocate to Baghdad.</w:t>
      </w:r>
      <w:r w:rsidR="0054116B">
        <w:rPr>
          <w:rFonts w:ascii="Book Antiqua" w:hAnsi="Book Antiqua" w:cs="Arial"/>
        </w:rPr>
        <w:t>”</w:t>
      </w:r>
      <w:r>
        <w:rPr>
          <w:rFonts w:ascii="Book Antiqua" w:hAnsi="Book Antiqua" w:cs="Arial"/>
        </w:rPr>
        <w:t xml:space="preserve">  </w:t>
      </w:r>
    </w:p>
    <w:p w:rsidR="00290B42" w:rsidRDefault="00290B42" w:rsidP="00BF23BB">
      <w:pPr>
        <w:tabs>
          <w:tab w:val="left" w:pos="567"/>
        </w:tabs>
        <w:ind w:left="567" w:hanging="567"/>
        <w:jc w:val="both"/>
        <w:rPr>
          <w:rFonts w:ascii="Book Antiqua" w:hAnsi="Book Antiqua" w:cs="Arial"/>
        </w:rPr>
      </w:pPr>
    </w:p>
    <w:p w:rsidR="00290B42" w:rsidRDefault="00290B42"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 am grateful to Ms Khan and Mr McVeety for their </w:t>
      </w:r>
      <w:r w:rsidR="0054116B">
        <w:rPr>
          <w:rFonts w:ascii="Book Antiqua" w:hAnsi="Book Antiqua" w:cs="Arial"/>
        </w:rPr>
        <w:t xml:space="preserve">succinct </w:t>
      </w:r>
      <w:r>
        <w:rPr>
          <w:rFonts w:ascii="Book Antiqua" w:hAnsi="Book Antiqua" w:cs="Arial"/>
        </w:rPr>
        <w:t>submissions.</w:t>
      </w:r>
    </w:p>
    <w:p w:rsidR="00290B42" w:rsidRDefault="00290B42" w:rsidP="00BF23BB">
      <w:pPr>
        <w:tabs>
          <w:tab w:val="left" w:pos="567"/>
        </w:tabs>
        <w:ind w:left="567" w:hanging="567"/>
        <w:jc w:val="both"/>
        <w:rPr>
          <w:rFonts w:ascii="Book Antiqua" w:hAnsi="Book Antiqua" w:cs="Arial"/>
        </w:rPr>
      </w:pPr>
    </w:p>
    <w:p w:rsidR="00290B42" w:rsidRDefault="00290B42"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I am not persuaded that the FtT judge erred in law.</w:t>
      </w:r>
    </w:p>
    <w:p w:rsidR="00290B42" w:rsidRDefault="00290B42" w:rsidP="00BF23BB">
      <w:pPr>
        <w:tabs>
          <w:tab w:val="left" w:pos="567"/>
        </w:tabs>
        <w:ind w:left="567" w:hanging="567"/>
        <w:jc w:val="both"/>
        <w:rPr>
          <w:rFonts w:ascii="Book Antiqua" w:hAnsi="Book Antiqua" w:cs="Arial"/>
        </w:rPr>
      </w:pPr>
    </w:p>
    <w:p w:rsidR="00290B42" w:rsidRDefault="00290B42"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The appellant does not have permission to challenge the judge’s adverse credibility findings and Ms Khan did not seek to reargue ground (</w:t>
      </w:r>
      <w:r w:rsidR="003D68C0">
        <w:rPr>
          <w:rFonts w:ascii="Book Antiqua" w:hAnsi="Book Antiqua" w:cs="Arial"/>
        </w:rPr>
        <w:t>i</w:t>
      </w:r>
      <w:r>
        <w:rPr>
          <w:rFonts w:ascii="Book Antiqua" w:hAnsi="Book Antiqua" w:cs="Arial"/>
        </w:rPr>
        <w:t>) before me.  That was in my view a sensible approach, as the judge did not require corroboration.</w:t>
      </w:r>
    </w:p>
    <w:p w:rsidR="00290B42" w:rsidRDefault="00290B42" w:rsidP="00BF23BB">
      <w:pPr>
        <w:tabs>
          <w:tab w:val="left" w:pos="567"/>
        </w:tabs>
        <w:ind w:left="567" w:hanging="567"/>
        <w:jc w:val="both"/>
        <w:rPr>
          <w:rFonts w:ascii="Book Antiqua" w:hAnsi="Book Antiqua" w:cs="Arial"/>
        </w:rPr>
      </w:pPr>
    </w:p>
    <w:p w:rsidR="00290B42" w:rsidRDefault="003D68C0"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r>
      <w:proofErr w:type="gramStart"/>
      <w:r>
        <w:rPr>
          <w:rFonts w:ascii="Book Antiqua" w:hAnsi="Book Antiqua" w:cs="Arial"/>
        </w:rPr>
        <w:t>As regards</w:t>
      </w:r>
      <w:proofErr w:type="gramEnd"/>
      <w:r>
        <w:rPr>
          <w:rFonts w:ascii="Book Antiqua" w:hAnsi="Book Antiqua" w:cs="Arial"/>
        </w:rPr>
        <w:t xml:space="preserve"> ground (ii</w:t>
      </w:r>
      <w:r w:rsidR="00290B42">
        <w:rPr>
          <w:rFonts w:ascii="Book Antiqua" w:hAnsi="Book Antiqua" w:cs="Arial"/>
        </w:rPr>
        <w:t>), the only characteristics of the appellant that were accepted by the judge were that he was a Sunni Arab from Mosul</w:t>
      </w:r>
      <w:r w:rsidR="00C15330">
        <w:rPr>
          <w:rFonts w:ascii="Book Antiqua" w:hAnsi="Book Antiqua" w:cs="Arial"/>
        </w:rPr>
        <w:t>.  The judge also accepted that Mosul was a contested area and so the only issue was whether it would be unduly harsh for the appellant to relocate to Baghdad.</w:t>
      </w:r>
    </w:p>
    <w:p w:rsidR="00C15330" w:rsidRDefault="00C15330" w:rsidP="00BF23BB">
      <w:pPr>
        <w:tabs>
          <w:tab w:val="left" w:pos="567"/>
        </w:tabs>
        <w:ind w:left="567" w:hanging="567"/>
        <w:jc w:val="both"/>
        <w:rPr>
          <w:rFonts w:ascii="Book Antiqua" w:hAnsi="Book Antiqua" w:cs="Arial"/>
        </w:rPr>
      </w:pPr>
    </w:p>
    <w:p w:rsidR="00C15330" w:rsidRDefault="00C15330"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My first observation is that the judge made lengthy reference to the relevant country guidance.  At para 23 she cited the headnote to </w:t>
      </w:r>
      <w:r>
        <w:rPr>
          <w:rFonts w:ascii="Book Antiqua" w:hAnsi="Book Antiqua" w:cs="Arial"/>
          <w:b/>
          <w:u w:val="single"/>
        </w:rPr>
        <w:t>AA</w:t>
      </w:r>
      <w:r>
        <w:rPr>
          <w:rFonts w:ascii="Book Antiqua" w:hAnsi="Book Antiqua" w:cs="Arial"/>
        </w:rPr>
        <w:t xml:space="preserve"> as follows:</w:t>
      </w:r>
    </w:p>
    <w:p w:rsidR="00C15330" w:rsidRDefault="00C15330" w:rsidP="00BF23BB">
      <w:pPr>
        <w:tabs>
          <w:tab w:val="left" w:pos="567"/>
        </w:tabs>
        <w:ind w:left="567" w:hanging="567"/>
        <w:jc w:val="both"/>
        <w:rPr>
          <w:rFonts w:ascii="Book Antiqua" w:hAnsi="Book Antiqua" w:cs="Arial"/>
        </w:rPr>
      </w:pPr>
    </w:p>
    <w:p w:rsidR="00C15330" w:rsidRPr="00571B31" w:rsidRDefault="00C15330" w:rsidP="00C15330">
      <w:pPr>
        <w:ind w:left="1701" w:hanging="567"/>
        <w:jc w:val="both"/>
        <w:rPr>
          <w:iCs/>
        </w:rPr>
      </w:pPr>
      <w:r w:rsidRPr="00571B31">
        <w:rPr>
          <w:rFonts w:ascii="Book Antiqua" w:hAnsi="Book Antiqua" w:cs="Arial"/>
        </w:rPr>
        <w:t>“</w:t>
      </w:r>
      <w:r w:rsidR="00971446" w:rsidRPr="00571B31">
        <w:rPr>
          <w:rFonts w:ascii="Book Antiqua" w:hAnsi="Book Antiqua" w:cs="Arial"/>
        </w:rPr>
        <w:t>(i)</w:t>
      </w:r>
      <w:r w:rsidRPr="00571B31">
        <w:rPr>
          <w:rFonts w:ascii="Book Antiqua" w:hAnsi="Book Antiqua" w:cs="Arial"/>
        </w:rPr>
        <w:tab/>
        <w:t xml:space="preserve">As </w:t>
      </w:r>
      <w:r w:rsidRPr="00571B31">
        <w:rPr>
          <w:iCs/>
        </w:rPr>
        <w:t>a general matter, it will not be unreasonable or unduly harsh for a person from a contested area to relocate to Baghdad City or (subject to paragraph 2 above) the Baghdad Belts;</w:t>
      </w:r>
    </w:p>
    <w:p w:rsidR="00C15330" w:rsidRPr="00571B31" w:rsidRDefault="00C15330" w:rsidP="00C15330">
      <w:pPr>
        <w:ind w:left="1701" w:hanging="567"/>
        <w:jc w:val="both"/>
        <w:rPr>
          <w:iCs/>
        </w:rPr>
      </w:pPr>
    </w:p>
    <w:p w:rsidR="00C15330" w:rsidRPr="00571B31" w:rsidRDefault="00C15330" w:rsidP="00C15330">
      <w:pPr>
        <w:ind w:left="1701" w:hanging="567"/>
        <w:jc w:val="both"/>
        <w:rPr>
          <w:iCs/>
        </w:rPr>
      </w:pPr>
      <w:r w:rsidRPr="00571B31">
        <w:rPr>
          <w:iCs/>
        </w:rPr>
        <w:t>(ii)</w:t>
      </w:r>
      <w:r w:rsidRPr="00571B31">
        <w:rPr>
          <w:iCs/>
        </w:rPr>
        <w:tab/>
        <w:t>In assessing whether it would be unreasonable/unduly harsh for P to relocate to Baghdad, the following factors are, however, likely to be relevant:</w:t>
      </w:r>
    </w:p>
    <w:p w:rsidR="00C15330" w:rsidRPr="00571B31" w:rsidRDefault="00C15330" w:rsidP="00C15330">
      <w:pPr>
        <w:ind w:left="2268" w:hanging="567"/>
        <w:jc w:val="both"/>
        <w:rPr>
          <w:iCs/>
        </w:rPr>
      </w:pPr>
    </w:p>
    <w:p w:rsidR="00C15330" w:rsidRPr="00571B31" w:rsidRDefault="003D68C0" w:rsidP="00C15330">
      <w:pPr>
        <w:ind w:left="2268" w:hanging="567"/>
        <w:jc w:val="both"/>
        <w:rPr>
          <w:iCs/>
        </w:rPr>
      </w:pPr>
      <w:r w:rsidRPr="00571B31">
        <w:rPr>
          <w:iCs/>
        </w:rPr>
        <w:t>(a)</w:t>
      </w:r>
      <w:r w:rsidRPr="00571B31">
        <w:rPr>
          <w:iCs/>
        </w:rPr>
        <w:tab/>
      </w:r>
      <w:r w:rsidR="00C15330" w:rsidRPr="00571B31">
        <w:rPr>
          <w:iCs/>
        </w:rPr>
        <w:t>whether P has a CSID or will be able to obtain one;</w:t>
      </w:r>
    </w:p>
    <w:p w:rsidR="00C15330" w:rsidRPr="00571B31" w:rsidRDefault="00C15330" w:rsidP="00C15330">
      <w:pPr>
        <w:ind w:left="2268" w:hanging="567"/>
        <w:jc w:val="both"/>
        <w:rPr>
          <w:iCs/>
        </w:rPr>
      </w:pPr>
    </w:p>
    <w:p w:rsidR="00C15330" w:rsidRPr="00571B31" w:rsidRDefault="00C15330" w:rsidP="00C15330">
      <w:pPr>
        <w:ind w:left="2268" w:hanging="567"/>
        <w:jc w:val="both"/>
        <w:rPr>
          <w:iCs/>
        </w:rPr>
      </w:pPr>
      <w:r w:rsidRPr="00571B31">
        <w:rPr>
          <w:iCs/>
        </w:rPr>
        <w:t>(b)</w:t>
      </w:r>
      <w:r w:rsidRPr="00571B31">
        <w:rPr>
          <w:iCs/>
        </w:rPr>
        <w:tab/>
        <w:t>whether P can speak Arabic (those who cannot are less likely to find employment);</w:t>
      </w:r>
    </w:p>
    <w:p w:rsidR="00C15330" w:rsidRPr="00571B31" w:rsidRDefault="00C15330" w:rsidP="00C15330">
      <w:pPr>
        <w:ind w:left="2268" w:hanging="567"/>
        <w:jc w:val="both"/>
        <w:rPr>
          <w:iCs/>
        </w:rPr>
      </w:pPr>
    </w:p>
    <w:p w:rsidR="00C15330" w:rsidRPr="00571B31" w:rsidRDefault="00C15330" w:rsidP="00C15330">
      <w:pPr>
        <w:ind w:left="2268" w:hanging="567"/>
        <w:jc w:val="both"/>
        <w:rPr>
          <w:iCs/>
        </w:rPr>
      </w:pPr>
      <w:r w:rsidRPr="00571B31">
        <w:rPr>
          <w:iCs/>
        </w:rPr>
        <w:t>(c)</w:t>
      </w:r>
      <w:r w:rsidRPr="00571B31">
        <w:rPr>
          <w:iCs/>
        </w:rPr>
        <w:tab/>
        <w:t>whether P has family members or friends in Baghdad able to accommodate him;</w:t>
      </w:r>
    </w:p>
    <w:p w:rsidR="00971446" w:rsidRPr="00571B31" w:rsidRDefault="00971446" w:rsidP="00C15330">
      <w:pPr>
        <w:ind w:left="2268" w:hanging="567"/>
        <w:jc w:val="both"/>
        <w:rPr>
          <w:iCs/>
        </w:rPr>
      </w:pPr>
    </w:p>
    <w:p w:rsidR="00C15330" w:rsidRPr="00571B31" w:rsidRDefault="00971446" w:rsidP="00971446">
      <w:pPr>
        <w:ind w:left="2268" w:hanging="567"/>
        <w:jc w:val="both"/>
        <w:rPr>
          <w:iCs/>
        </w:rPr>
      </w:pPr>
      <w:r w:rsidRPr="00571B31">
        <w:rPr>
          <w:iCs/>
        </w:rPr>
        <w:t>(d)</w:t>
      </w:r>
      <w:r w:rsidRPr="00571B31">
        <w:rPr>
          <w:iCs/>
        </w:rPr>
        <w:tab/>
        <w:t>w</w:t>
      </w:r>
      <w:r w:rsidR="00C15330" w:rsidRPr="00571B31">
        <w:rPr>
          <w:iCs/>
        </w:rPr>
        <w:t>hether P is a lone female (women face greater difficulties than men in</w:t>
      </w:r>
      <w:r w:rsidRPr="00571B31">
        <w:rPr>
          <w:iCs/>
        </w:rPr>
        <w:t xml:space="preserve"> </w:t>
      </w:r>
      <w:r w:rsidR="00C15330" w:rsidRPr="00571B31">
        <w:rPr>
          <w:iCs/>
        </w:rPr>
        <w:t>finding employment);</w:t>
      </w:r>
    </w:p>
    <w:p w:rsidR="00971446" w:rsidRPr="00571B31" w:rsidRDefault="00971446" w:rsidP="00971446">
      <w:pPr>
        <w:ind w:left="2268" w:hanging="567"/>
        <w:jc w:val="both"/>
        <w:rPr>
          <w:iCs/>
        </w:rPr>
      </w:pPr>
    </w:p>
    <w:p w:rsidR="00C15330" w:rsidRPr="00571B31" w:rsidRDefault="00971446" w:rsidP="00971446">
      <w:pPr>
        <w:ind w:left="2268" w:hanging="567"/>
        <w:jc w:val="both"/>
        <w:rPr>
          <w:iCs/>
        </w:rPr>
      </w:pPr>
      <w:r w:rsidRPr="00571B31">
        <w:rPr>
          <w:iCs/>
        </w:rPr>
        <w:t>(e)</w:t>
      </w:r>
      <w:r w:rsidRPr="00571B31">
        <w:rPr>
          <w:iCs/>
        </w:rPr>
        <w:tab/>
        <w:t>w</w:t>
      </w:r>
      <w:r w:rsidR="00C15330" w:rsidRPr="00571B31">
        <w:rPr>
          <w:iCs/>
        </w:rPr>
        <w:t>hether P can find a sponsor to access a hotel room or rent</w:t>
      </w:r>
      <w:r w:rsidRPr="00571B31">
        <w:rPr>
          <w:iCs/>
        </w:rPr>
        <w:t xml:space="preserve"> </w:t>
      </w:r>
      <w:r w:rsidR="00C15330" w:rsidRPr="00571B31">
        <w:rPr>
          <w:iCs/>
        </w:rPr>
        <w:t>accommodation;</w:t>
      </w:r>
    </w:p>
    <w:p w:rsidR="00971446" w:rsidRPr="00571B31" w:rsidRDefault="00971446" w:rsidP="00971446">
      <w:pPr>
        <w:ind w:left="2268" w:hanging="567"/>
        <w:jc w:val="both"/>
        <w:rPr>
          <w:iCs/>
        </w:rPr>
      </w:pPr>
    </w:p>
    <w:p w:rsidR="00C15330" w:rsidRPr="00571B31" w:rsidRDefault="00971446" w:rsidP="00971446">
      <w:pPr>
        <w:ind w:left="2268" w:hanging="567"/>
        <w:jc w:val="both"/>
        <w:rPr>
          <w:iCs/>
        </w:rPr>
      </w:pPr>
      <w:r w:rsidRPr="00571B31">
        <w:rPr>
          <w:iCs/>
        </w:rPr>
        <w:t>(f)</w:t>
      </w:r>
      <w:r w:rsidRPr="00571B31">
        <w:rPr>
          <w:iCs/>
        </w:rPr>
        <w:tab/>
        <w:t>w</w:t>
      </w:r>
      <w:r w:rsidR="00C15330" w:rsidRPr="00571B31">
        <w:rPr>
          <w:iCs/>
        </w:rPr>
        <w:t>hether P is from a minority community;</w:t>
      </w:r>
    </w:p>
    <w:p w:rsidR="00971446" w:rsidRPr="00571B31" w:rsidRDefault="00971446" w:rsidP="00971446">
      <w:pPr>
        <w:ind w:left="2268" w:hanging="567"/>
        <w:jc w:val="both"/>
        <w:rPr>
          <w:iCs/>
        </w:rPr>
      </w:pPr>
    </w:p>
    <w:p w:rsidR="00C15330" w:rsidRPr="00571B31" w:rsidRDefault="00971446" w:rsidP="00971446">
      <w:pPr>
        <w:ind w:left="2268" w:hanging="567"/>
        <w:jc w:val="both"/>
        <w:rPr>
          <w:iCs/>
        </w:rPr>
      </w:pPr>
      <w:r w:rsidRPr="00571B31">
        <w:rPr>
          <w:iCs/>
        </w:rPr>
        <w:t>(g)</w:t>
      </w:r>
      <w:r w:rsidRPr="00571B31">
        <w:rPr>
          <w:iCs/>
        </w:rPr>
        <w:tab/>
        <w:t>w</w:t>
      </w:r>
      <w:r w:rsidR="00C15330" w:rsidRPr="00571B31">
        <w:rPr>
          <w:iCs/>
        </w:rPr>
        <w:t>hether there is support available for P bearing in mind there is some</w:t>
      </w:r>
      <w:r w:rsidRPr="00571B31">
        <w:rPr>
          <w:iCs/>
        </w:rPr>
        <w:t xml:space="preserve"> </w:t>
      </w:r>
      <w:r w:rsidR="00C15330" w:rsidRPr="00571B31">
        <w:rPr>
          <w:iCs/>
        </w:rPr>
        <w:t>evidence that returned failed asylum seekers are provided with the support</w:t>
      </w:r>
      <w:r w:rsidRPr="00571B31">
        <w:rPr>
          <w:iCs/>
        </w:rPr>
        <w:t xml:space="preserve"> </w:t>
      </w:r>
      <w:r w:rsidR="00C15330" w:rsidRPr="00571B31">
        <w:rPr>
          <w:iCs/>
        </w:rPr>
        <w:t>generally given to IDPs.</w:t>
      </w:r>
      <w:r w:rsidRPr="00571B31">
        <w:rPr>
          <w:iCs/>
        </w:rPr>
        <w:t>”</w:t>
      </w:r>
    </w:p>
    <w:p w:rsidR="00173CC6" w:rsidRDefault="00173CC6" w:rsidP="00BF23BB">
      <w:pPr>
        <w:tabs>
          <w:tab w:val="left" w:pos="567"/>
        </w:tabs>
        <w:ind w:left="567" w:hanging="567"/>
        <w:jc w:val="both"/>
        <w:rPr>
          <w:rFonts w:ascii="Book Antiqua" w:hAnsi="Book Antiqua" w:cs="Arial"/>
        </w:rPr>
      </w:pPr>
    </w:p>
    <w:p w:rsidR="00971446" w:rsidRDefault="00971446" w:rsidP="00BF23BB">
      <w:pPr>
        <w:tabs>
          <w:tab w:val="left" w:pos="567"/>
        </w:tabs>
        <w:ind w:left="567" w:hanging="567"/>
        <w:jc w:val="both"/>
        <w:rPr>
          <w:rFonts w:ascii="Book Antiqua" w:hAnsi="Book Antiqua" w:cs="Arial"/>
        </w:rPr>
      </w:pPr>
      <w:r>
        <w:rPr>
          <w:rFonts w:ascii="Book Antiqua" w:hAnsi="Book Antiqua" w:cs="Arial"/>
        </w:rPr>
        <w:lastRenderedPageBreak/>
        <w:t>8.</w:t>
      </w:r>
      <w:r>
        <w:rPr>
          <w:rFonts w:ascii="Book Antiqua" w:hAnsi="Book Antiqua" w:cs="Arial"/>
        </w:rPr>
        <w:tab/>
        <w:t xml:space="preserve">At paras 24 and 25 she set out the revision of the </w:t>
      </w:r>
      <w:r>
        <w:rPr>
          <w:rFonts w:ascii="Book Antiqua" w:hAnsi="Book Antiqua" w:cs="Arial"/>
          <w:b/>
          <w:u w:val="single"/>
        </w:rPr>
        <w:t>AA</w:t>
      </w:r>
      <w:r>
        <w:rPr>
          <w:rFonts w:ascii="Book Antiqua" w:hAnsi="Book Antiqua" w:cs="Arial"/>
        </w:rPr>
        <w:t xml:space="preserve"> guidance made by the Court of Appeal in </w:t>
      </w:r>
      <w:r>
        <w:rPr>
          <w:rFonts w:ascii="Book Antiqua" w:hAnsi="Book Antiqua" w:cs="Arial"/>
          <w:b/>
          <w:u w:val="single"/>
        </w:rPr>
        <w:t>AA (Iraq) v SSHD</w:t>
      </w:r>
      <w:r>
        <w:rPr>
          <w:rFonts w:ascii="Book Antiqua" w:hAnsi="Book Antiqua" w:cs="Arial"/>
          <w:b/>
        </w:rPr>
        <w:t xml:space="preserve"> [2017] EWCA Civ 944</w:t>
      </w:r>
      <w:r>
        <w:rPr>
          <w:rFonts w:ascii="Book Antiqua" w:hAnsi="Book Antiqua" w:cs="Arial"/>
        </w:rPr>
        <w:t xml:space="preserve">.  At para 26 she also referred in detail to </w:t>
      </w:r>
      <w:r>
        <w:rPr>
          <w:rFonts w:ascii="Book Antiqua" w:hAnsi="Book Antiqua" w:cs="Arial"/>
          <w:b/>
          <w:u w:val="single"/>
        </w:rPr>
        <w:t>BA</w:t>
      </w:r>
      <w:r>
        <w:rPr>
          <w:rFonts w:ascii="Book Antiqua" w:hAnsi="Book Antiqua" w:cs="Arial"/>
          <w:b/>
        </w:rPr>
        <w:t xml:space="preserve"> (Returns to Baghdad) Iraq CG [2017] UKUT 18 (IAC)</w:t>
      </w:r>
      <w:r>
        <w:rPr>
          <w:rFonts w:ascii="Book Antiqua" w:hAnsi="Book Antiqua" w:cs="Arial"/>
        </w:rPr>
        <w:t xml:space="preserve">.  </w:t>
      </w:r>
    </w:p>
    <w:p w:rsidR="00971446" w:rsidRDefault="00971446" w:rsidP="00BF23BB">
      <w:pPr>
        <w:tabs>
          <w:tab w:val="left" w:pos="567"/>
        </w:tabs>
        <w:ind w:left="567" w:hanging="567"/>
        <w:jc w:val="both"/>
        <w:rPr>
          <w:rFonts w:ascii="Book Antiqua" w:hAnsi="Book Antiqua" w:cs="Arial"/>
        </w:rPr>
      </w:pPr>
    </w:p>
    <w:p w:rsidR="00971446" w:rsidRDefault="00971446"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At para 32 the judge also made clear that she had considered the country guidance together with the background material provided in </w:t>
      </w:r>
      <w:r w:rsidR="00571B31">
        <w:rPr>
          <w:rFonts w:ascii="Book Antiqua" w:hAnsi="Book Antiqua" w:cs="Arial"/>
        </w:rPr>
        <w:t>COIS R</w:t>
      </w:r>
      <w:r>
        <w:rPr>
          <w:rFonts w:ascii="Book Antiqua" w:hAnsi="Book Antiqua" w:cs="Arial"/>
        </w:rPr>
        <w:t>eports as well as the background material provided by the appellant together with the oral evidence of the appellant.</w:t>
      </w:r>
    </w:p>
    <w:p w:rsidR="00971446" w:rsidRDefault="00971446" w:rsidP="00BF23BB">
      <w:pPr>
        <w:tabs>
          <w:tab w:val="left" w:pos="567"/>
        </w:tabs>
        <w:ind w:left="567" w:hanging="567"/>
        <w:jc w:val="both"/>
        <w:rPr>
          <w:rFonts w:ascii="Book Antiqua" w:hAnsi="Book Antiqua" w:cs="Arial"/>
        </w:rPr>
      </w:pPr>
    </w:p>
    <w:p w:rsidR="00971446" w:rsidRDefault="00971446"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Th</w:t>
      </w:r>
      <w:r w:rsidR="00813974">
        <w:rPr>
          <w:rFonts w:ascii="Book Antiqua" w:hAnsi="Book Antiqua" w:cs="Arial"/>
        </w:rPr>
        <w:t xml:space="preserve">e grounds do not challenge </w:t>
      </w:r>
      <w:r>
        <w:rPr>
          <w:rFonts w:ascii="Book Antiqua" w:hAnsi="Book Antiqua" w:cs="Arial"/>
        </w:rPr>
        <w:t>the judge</w:t>
      </w:r>
      <w:r w:rsidR="00813974">
        <w:rPr>
          <w:rFonts w:ascii="Book Antiqua" w:hAnsi="Book Antiqua" w:cs="Arial"/>
        </w:rPr>
        <w:t xml:space="preserve">’s </w:t>
      </w:r>
      <w:r>
        <w:rPr>
          <w:rFonts w:ascii="Book Antiqua" w:hAnsi="Book Antiqua" w:cs="Arial"/>
        </w:rPr>
        <w:t>consider</w:t>
      </w:r>
      <w:r w:rsidR="00813974">
        <w:rPr>
          <w:rFonts w:ascii="Book Antiqua" w:hAnsi="Book Antiqua" w:cs="Arial"/>
        </w:rPr>
        <w:t>ation of</w:t>
      </w:r>
      <w:r>
        <w:rPr>
          <w:rFonts w:ascii="Book Antiqua" w:hAnsi="Book Antiqua" w:cs="Arial"/>
        </w:rPr>
        <w:t xml:space="preserve"> the appellant’s individual circumstances</w:t>
      </w:r>
      <w:r w:rsidR="00813974">
        <w:rPr>
          <w:rFonts w:ascii="Book Antiqua" w:hAnsi="Book Antiqua" w:cs="Arial"/>
        </w:rPr>
        <w:t xml:space="preserve">. </w:t>
      </w:r>
      <w:r w:rsidR="00620157">
        <w:rPr>
          <w:rFonts w:ascii="Book Antiqua" w:hAnsi="Book Antiqua" w:cs="Arial"/>
        </w:rPr>
        <w:t>They confine</w:t>
      </w:r>
      <w:r>
        <w:rPr>
          <w:rFonts w:ascii="Book Antiqua" w:hAnsi="Book Antiqua" w:cs="Arial"/>
        </w:rPr>
        <w:t xml:space="preserve"> themselves to submitting that the judge failed to take a holistic view of the background evidence </w:t>
      </w:r>
      <w:proofErr w:type="gramStart"/>
      <w:r w:rsidR="00813974">
        <w:rPr>
          <w:rFonts w:ascii="Book Antiqua" w:hAnsi="Book Antiqua" w:cs="Arial"/>
        </w:rPr>
        <w:t>in particular that</w:t>
      </w:r>
      <w:proofErr w:type="gramEnd"/>
      <w:r w:rsidR="00813974">
        <w:rPr>
          <w:rFonts w:ascii="Book Antiqua" w:hAnsi="Book Antiqua" w:cs="Arial"/>
        </w:rPr>
        <w:t xml:space="preserve"> </w:t>
      </w:r>
      <w:r>
        <w:rPr>
          <w:rFonts w:ascii="Book Antiqua" w:hAnsi="Book Antiqua" w:cs="Arial"/>
        </w:rPr>
        <w:t>she failed to properly engage with the UNHCR guidance in its publication: Iraq: Relevant COI for Assessments on the Availability of an Intern</w:t>
      </w:r>
      <w:r w:rsidR="00571B31">
        <w:rPr>
          <w:rFonts w:ascii="Book Antiqua" w:hAnsi="Book Antiqua" w:cs="Arial"/>
        </w:rPr>
        <w:t xml:space="preserve">al Flight Alternative (IFA/IRA): </w:t>
      </w:r>
      <w:r>
        <w:rPr>
          <w:rFonts w:ascii="Book Antiqua" w:hAnsi="Book Antiqua" w:cs="Arial"/>
        </w:rPr>
        <w:t xml:space="preserve">Ability of Persons Originating from (previously or currently) ISIS-held or Conflict Areas to Legally Access and Remain in Proposed Areas of Relocation, dated 12 April 2017.  The grounds maintain that in para 39 the judge referred to the background evidence and </w:t>
      </w:r>
      <w:r w:rsidR="00813974">
        <w:rPr>
          <w:rFonts w:ascii="Book Antiqua" w:hAnsi="Book Antiqua" w:cs="Arial"/>
        </w:rPr>
        <w:t>wrongly stated</w:t>
      </w:r>
      <w:r>
        <w:rPr>
          <w:rFonts w:ascii="Book Antiqua" w:hAnsi="Book Antiqua" w:cs="Arial"/>
        </w:rPr>
        <w:t xml:space="preserve"> that it did not post-date the decision in </w:t>
      </w:r>
      <w:r>
        <w:rPr>
          <w:rFonts w:ascii="Book Antiqua" w:hAnsi="Book Antiqua" w:cs="Arial"/>
          <w:b/>
          <w:u w:val="single"/>
        </w:rPr>
        <w:t>AA</w:t>
      </w:r>
      <w:r>
        <w:rPr>
          <w:rFonts w:ascii="Book Antiqua" w:hAnsi="Book Antiqua" w:cs="Arial"/>
          <w:b/>
        </w:rPr>
        <w:t xml:space="preserve"> (Iraq)</w:t>
      </w:r>
      <w:r>
        <w:rPr>
          <w:rFonts w:ascii="Book Antiqua" w:hAnsi="Book Antiqua" w:cs="Arial"/>
        </w:rPr>
        <w:t xml:space="preserve"> in the Court of Appeal.  That overlooked, it was submitted, that the Court of Appeal in </w:t>
      </w:r>
      <w:r w:rsidRPr="00971446">
        <w:rPr>
          <w:rFonts w:ascii="Book Antiqua" w:hAnsi="Book Antiqua" w:cs="Arial"/>
          <w:b/>
          <w:u w:val="single"/>
        </w:rPr>
        <w:t>AA</w:t>
      </w:r>
      <w:r w:rsidRPr="00971446">
        <w:rPr>
          <w:rFonts w:ascii="Book Antiqua" w:hAnsi="Book Antiqua" w:cs="Arial"/>
          <w:b/>
        </w:rPr>
        <w:t xml:space="preserve"> (Iraq)</w:t>
      </w:r>
      <w:r w:rsidRPr="00971446">
        <w:rPr>
          <w:rFonts w:ascii="Book Antiqua" w:hAnsi="Book Antiqua" w:cs="Arial"/>
        </w:rPr>
        <w:t xml:space="preserve"> did not assess new evidence.  I wo</w:t>
      </w:r>
      <w:r w:rsidR="00D8575C">
        <w:rPr>
          <w:rFonts w:ascii="Book Antiqua" w:hAnsi="Book Antiqua" w:cs="Arial"/>
        </w:rPr>
        <w:t xml:space="preserve">uld accept that what the judge says in para 39 is not entirely clear.  On the one hand it begins by noting that the appellant </w:t>
      </w:r>
      <w:r w:rsidR="00813974">
        <w:rPr>
          <w:rFonts w:ascii="Book Antiqua" w:hAnsi="Book Antiqua" w:cs="Arial"/>
        </w:rPr>
        <w:t xml:space="preserve">“relies largely on a number of documents </w:t>
      </w:r>
      <w:r w:rsidR="00D8575C">
        <w:rPr>
          <w:rFonts w:ascii="Book Antiqua" w:hAnsi="Book Antiqua" w:cs="Arial"/>
        </w:rPr>
        <w:t xml:space="preserve">post-dating </w:t>
      </w:r>
      <w:r w:rsidR="00D8575C">
        <w:rPr>
          <w:rFonts w:ascii="Book Antiqua" w:hAnsi="Book Antiqua" w:cs="Arial"/>
          <w:b/>
          <w:u w:val="single"/>
        </w:rPr>
        <w:t>BA</w:t>
      </w:r>
      <w:r w:rsidR="00D8575C">
        <w:rPr>
          <w:rFonts w:ascii="Book Antiqua" w:hAnsi="Book Antiqua" w:cs="Arial"/>
        </w:rPr>
        <w:t xml:space="preserve"> and </w:t>
      </w:r>
      <w:r w:rsidR="00D8575C">
        <w:rPr>
          <w:rFonts w:ascii="Book Antiqua" w:hAnsi="Book Antiqua" w:cs="Arial"/>
          <w:b/>
          <w:u w:val="single"/>
        </w:rPr>
        <w:t>AA</w:t>
      </w:r>
      <w:r w:rsidR="00D8575C">
        <w:rPr>
          <w:rFonts w:ascii="Book Antiqua" w:hAnsi="Book Antiqua" w:cs="Arial"/>
        </w:rPr>
        <w:t xml:space="preserve"> 2015 to suggest that relocation [to Baghdad] would be unduly harsh and then states that “the documents do not post-date the promulgation of </w:t>
      </w:r>
      <w:r w:rsidR="00D8575C">
        <w:rPr>
          <w:rFonts w:ascii="Book Antiqua" w:hAnsi="Book Antiqua" w:cs="Arial"/>
          <w:b/>
          <w:u w:val="single"/>
        </w:rPr>
        <w:t>AA</w:t>
      </w:r>
      <w:r w:rsidR="00D8575C">
        <w:rPr>
          <w:rFonts w:ascii="Book Antiqua" w:hAnsi="Book Antiqua" w:cs="Arial"/>
          <w:b/>
        </w:rPr>
        <w:t xml:space="preserve"> [</w:t>
      </w:r>
      <w:proofErr w:type="gramStart"/>
      <w:r w:rsidR="00D8575C">
        <w:rPr>
          <w:rFonts w:ascii="Book Antiqua" w:hAnsi="Book Antiqua" w:cs="Arial"/>
          <w:b/>
        </w:rPr>
        <w:t>2017]...</w:t>
      </w:r>
      <w:proofErr w:type="gramEnd"/>
      <w:r w:rsidR="00D8575C">
        <w:rPr>
          <w:rFonts w:ascii="Book Antiqua" w:hAnsi="Book Antiqua" w:cs="Arial"/>
          <w:b/>
        </w:rPr>
        <w:t>”</w:t>
      </w:r>
      <w:r w:rsidR="00A83201">
        <w:rPr>
          <w:rFonts w:ascii="Book Antiqua" w:hAnsi="Book Antiqua" w:cs="Arial"/>
          <w:b/>
        </w:rPr>
        <w:t xml:space="preserve">.  </w:t>
      </w:r>
      <w:r w:rsidR="00A83201">
        <w:rPr>
          <w:rFonts w:ascii="Book Antiqua" w:hAnsi="Book Antiqua" w:cs="Arial"/>
        </w:rPr>
        <w:t>That is technically correct: the judge does not state here that the Court of Appeal considered more recent materials; only that none post-dated its promulgation.  That said, I would accept that the implication appears to be that the Court of Appeal had these more recent documents in contemplation.</w:t>
      </w:r>
    </w:p>
    <w:p w:rsidR="00A83201" w:rsidRDefault="00A83201" w:rsidP="00BF23BB">
      <w:pPr>
        <w:tabs>
          <w:tab w:val="left" w:pos="567"/>
        </w:tabs>
        <w:ind w:left="567" w:hanging="567"/>
        <w:jc w:val="both"/>
        <w:rPr>
          <w:rFonts w:ascii="Book Antiqua" w:hAnsi="Book Antiqua" w:cs="Arial"/>
        </w:rPr>
      </w:pPr>
    </w:p>
    <w:p w:rsidR="00A83201" w:rsidRDefault="00A83201"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However, I do not consider that any error or misunderstanding on the part of the judge regarding this matte</w:t>
      </w:r>
      <w:r w:rsidR="00813974">
        <w:rPr>
          <w:rFonts w:ascii="Book Antiqua" w:hAnsi="Book Antiqua" w:cs="Arial"/>
        </w:rPr>
        <w:t>r was</w:t>
      </w:r>
      <w:r>
        <w:rPr>
          <w:rFonts w:ascii="Book Antiqua" w:hAnsi="Book Antiqua" w:cs="Arial"/>
        </w:rPr>
        <w:t xml:space="preserve"> material since it is entirely clear that she went on in the </w:t>
      </w:r>
      <w:r w:rsidR="003D68C0">
        <w:rPr>
          <w:rFonts w:ascii="Book Antiqua" w:hAnsi="Book Antiqua" w:cs="Arial"/>
        </w:rPr>
        <w:t xml:space="preserve">same </w:t>
      </w:r>
      <w:r>
        <w:rPr>
          <w:rFonts w:ascii="Book Antiqua" w:hAnsi="Book Antiqua" w:cs="Arial"/>
        </w:rPr>
        <w:t xml:space="preserve">and succeeding paragraphs to consider the new material, the UNHCR document dated </w:t>
      </w:r>
      <w:proofErr w:type="gramStart"/>
      <w:r>
        <w:rPr>
          <w:rFonts w:ascii="Book Antiqua" w:hAnsi="Book Antiqua" w:cs="Arial"/>
        </w:rPr>
        <w:t>12 April 2017 in particular</w:t>
      </w:r>
      <w:proofErr w:type="gramEnd"/>
      <w:r>
        <w:rPr>
          <w:rFonts w:ascii="Book Antiqua" w:hAnsi="Book Antiqua" w:cs="Arial"/>
        </w:rPr>
        <w:t>.  At para 40 the judge stated:</w:t>
      </w:r>
    </w:p>
    <w:p w:rsidR="00A83201" w:rsidRDefault="00A83201" w:rsidP="00BF23BB">
      <w:pPr>
        <w:tabs>
          <w:tab w:val="left" w:pos="567"/>
        </w:tabs>
        <w:ind w:left="567" w:hanging="567"/>
        <w:jc w:val="both"/>
        <w:rPr>
          <w:rFonts w:ascii="Book Antiqua" w:hAnsi="Book Antiqua" w:cs="Arial"/>
        </w:rPr>
      </w:pPr>
    </w:p>
    <w:p w:rsidR="00A83201" w:rsidRPr="00A83201" w:rsidRDefault="00A83201" w:rsidP="00A83201">
      <w:pPr>
        <w:ind w:left="1134"/>
        <w:jc w:val="both"/>
        <w:rPr>
          <w:rFonts w:ascii="Book Antiqua" w:hAnsi="Book Antiqua" w:cs="Arial"/>
        </w:rPr>
      </w:pPr>
      <w:r>
        <w:rPr>
          <w:rFonts w:ascii="Book Antiqua" w:hAnsi="Book Antiqua" w:cs="Arial"/>
        </w:rPr>
        <w:t xml:space="preserve">“In relation to the reliance on the UNHCR document dated 12 April 2017 asserting that the residency requirements for Baghdad now include a requirement for a sponsor which those with no </w:t>
      </w:r>
      <w:proofErr w:type="gramStart"/>
      <w:r>
        <w:rPr>
          <w:rFonts w:ascii="Book Antiqua" w:hAnsi="Book Antiqua" w:cs="Arial"/>
        </w:rPr>
        <w:t>pre existing</w:t>
      </w:r>
      <w:proofErr w:type="gramEnd"/>
      <w:r>
        <w:rPr>
          <w:rFonts w:ascii="Book Antiqua" w:hAnsi="Book Antiqua" w:cs="Arial"/>
        </w:rPr>
        <w:t xml:space="preserve"> family links with Baghdad would find difficult to meet I remind myself that before the Tribunal in AA 2015 UNHCR had taken the view that there was no possibility of internal relocation in Iraq (paragraph 66) but the Tribunal rejected that view.  That would still appear to be the position of UNHCR although the more recent version of </w:t>
      </w:r>
      <w:r>
        <w:rPr>
          <w:rFonts w:ascii="Book Antiqua" w:hAnsi="Book Antiqua" w:cs="Arial"/>
          <w:u w:val="single"/>
        </w:rPr>
        <w:t>AA</w:t>
      </w:r>
      <w:r>
        <w:rPr>
          <w:rFonts w:ascii="Book Antiqua" w:hAnsi="Book Antiqua" w:cs="Arial"/>
        </w:rPr>
        <w:t xml:space="preserve"> disagrees.  I note that the document acknowledges at page 36 that the system varies from neighbourhood to neighbourhood and states that ‘in general’ the listed requirements prevail.  This means there are areas and </w:t>
      </w:r>
      <w:r w:rsidR="003D68C0">
        <w:rPr>
          <w:rFonts w:ascii="Book Antiqua" w:hAnsi="Book Antiqua" w:cs="Arial"/>
        </w:rPr>
        <w:t xml:space="preserve">neighbourhoods where such conditions do not necessarily apply.  I do not find it unreasonable for the Appellant, who has proved to be a reasonably intelligent resilient and resourceful young man and will be assisted by funds provided to facilitate his return, to find out where he can live as a Sunni in Baghdad.  The fact that the </w:t>
      </w:r>
      <w:r w:rsidR="003D68C0">
        <w:rPr>
          <w:rFonts w:ascii="Book Antiqua" w:hAnsi="Book Antiqua" w:cs="Arial"/>
        </w:rPr>
        <w:lastRenderedPageBreak/>
        <w:t>processes are bureaucratic and challenging is not enough I find to make it unreasonable to conclude that no Sunni can relocate to Baghdad unless he has family there.”</w:t>
      </w:r>
    </w:p>
    <w:p w:rsidR="00A83201" w:rsidRDefault="00A83201" w:rsidP="00BF23BB">
      <w:pPr>
        <w:tabs>
          <w:tab w:val="left" w:pos="567"/>
        </w:tabs>
        <w:ind w:left="567" w:hanging="567"/>
        <w:jc w:val="both"/>
        <w:rPr>
          <w:rFonts w:ascii="Book Antiqua" w:hAnsi="Book Antiqua" w:cs="Arial"/>
        </w:rPr>
      </w:pPr>
    </w:p>
    <w:p w:rsidR="00A83201" w:rsidRDefault="00A83201" w:rsidP="00BF23BB">
      <w:pPr>
        <w:tabs>
          <w:tab w:val="left" w:pos="567"/>
        </w:tabs>
        <w:ind w:left="567" w:hanging="567"/>
        <w:jc w:val="both"/>
        <w:rPr>
          <w:rFonts w:ascii="Book Antiqua" w:hAnsi="Book Antiqua" w:cs="Arial"/>
        </w:rPr>
      </w:pPr>
      <w:r>
        <w:rPr>
          <w:rFonts w:ascii="Book Antiqua" w:hAnsi="Book Antiqua" w:cs="Arial"/>
        </w:rPr>
        <w:t>12.</w:t>
      </w:r>
      <w:r w:rsidR="003D68C0">
        <w:rPr>
          <w:rFonts w:ascii="Book Antiqua" w:hAnsi="Book Antiqua" w:cs="Arial"/>
        </w:rPr>
        <w:tab/>
        <w:t xml:space="preserve">In this paragraph the judge both considers this document and gives a reason for concluding that the evidence identified in this document is insufficient to justify a conclusion that the appellant would be at risk in Baghdad.  Clearly, as well, the judge was considering not just whether Baghdad would be safe but also whether it would be reasonably/unduly harsh.  I consider that this assessment was </w:t>
      </w:r>
      <w:r w:rsidR="00813974">
        <w:rPr>
          <w:rFonts w:ascii="Book Antiqua" w:hAnsi="Book Antiqua" w:cs="Arial"/>
        </w:rPr>
        <w:t xml:space="preserve">both consistent with Tribunal country guidance and more recent materials </w:t>
      </w:r>
      <w:r w:rsidR="00620157">
        <w:rPr>
          <w:rFonts w:ascii="Book Antiqua" w:hAnsi="Book Antiqua" w:cs="Arial"/>
        </w:rPr>
        <w:t>considered</w:t>
      </w:r>
      <w:r w:rsidR="00813974">
        <w:rPr>
          <w:rFonts w:ascii="Book Antiqua" w:hAnsi="Book Antiqua" w:cs="Arial"/>
        </w:rPr>
        <w:t xml:space="preserve"> </w:t>
      </w:r>
      <w:proofErr w:type="gramStart"/>
      <w:r w:rsidR="00813974">
        <w:rPr>
          <w:rFonts w:ascii="Book Antiqua" w:hAnsi="Book Antiqua" w:cs="Arial"/>
        </w:rPr>
        <w:t xml:space="preserve">as a </w:t>
      </w:r>
      <w:r w:rsidR="00620157">
        <w:rPr>
          <w:rFonts w:ascii="Book Antiqua" w:hAnsi="Book Antiqua" w:cs="Arial"/>
        </w:rPr>
        <w:t>whole</w:t>
      </w:r>
      <w:r w:rsidR="00813974">
        <w:rPr>
          <w:rFonts w:ascii="Book Antiqua" w:hAnsi="Book Antiqua" w:cs="Arial"/>
        </w:rPr>
        <w:t xml:space="preserve"> and</w:t>
      </w:r>
      <w:proofErr w:type="gramEnd"/>
      <w:r w:rsidR="00813974">
        <w:rPr>
          <w:rFonts w:ascii="Book Antiqua" w:hAnsi="Book Antiqua" w:cs="Arial"/>
        </w:rPr>
        <w:t xml:space="preserve"> was </w:t>
      </w:r>
      <w:r w:rsidR="003D68C0">
        <w:rPr>
          <w:rFonts w:ascii="Book Antiqua" w:hAnsi="Book Antiqua" w:cs="Arial"/>
        </w:rPr>
        <w:t xml:space="preserve">entirely within the range of reasonable responses.  Not only did this document give a somewhat mixed picture but the judge would have been well aware that she was only entitled to depart from Tribunal country guidance if satisfied there was cogent new evidence and in that </w:t>
      </w:r>
      <w:proofErr w:type="gramStart"/>
      <w:r w:rsidR="003D68C0">
        <w:rPr>
          <w:rFonts w:ascii="Book Antiqua" w:hAnsi="Book Antiqua" w:cs="Arial"/>
        </w:rPr>
        <w:t>context</w:t>
      </w:r>
      <w:proofErr w:type="gramEnd"/>
      <w:r w:rsidR="003D68C0">
        <w:rPr>
          <w:rFonts w:ascii="Book Antiqua" w:hAnsi="Book Antiqua" w:cs="Arial"/>
        </w:rPr>
        <w:t xml:space="preserve"> she could not consider the UNHCR document in isolation from the other evidence (which included reports from the Swedish Migration Agency, the Australian Department of Internal Affairs and Trade and the Home Office).</w:t>
      </w:r>
    </w:p>
    <w:p w:rsidR="003D68C0" w:rsidRDefault="003D68C0" w:rsidP="00BF23BB">
      <w:pPr>
        <w:tabs>
          <w:tab w:val="left" w:pos="567"/>
        </w:tabs>
        <w:ind w:left="567" w:hanging="567"/>
        <w:jc w:val="both"/>
        <w:rPr>
          <w:rFonts w:ascii="Book Antiqua" w:hAnsi="Book Antiqua" w:cs="Arial"/>
        </w:rPr>
      </w:pPr>
    </w:p>
    <w:p w:rsidR="00A83201" w:rsidRPr="00A83201" w:rsidRDefault="00A83201" w:rsidP="00BF23BB">
      <w:pPr>
        <w:tabs>
          <w:tab w:val="left" w:pos="567"/>
        </w:tabs>
        <w:ind w:left="567" w:hanging="567"/>
        <w:jc w:val="both"/>
        <w:rPr>
          <w:rFonts w:ascii="Book Antiqua" w:hAnsi="Book Antiqua" w:cs="Arial"/>
        </w:rPr>
      </w:pPr>
      <w:r>
        <w:rPr>
          <w:rFonts w:ascii="Book Antiqua" w:hAnsi="Book Antiqua" w:cs="Arial"/>
        </w:rPr>
        <w:t>13.</w:t>
      </w:r>
      <w:r w:rsidR="003D68C0">
        <w:rPr>
          <w:rFonts w:ascii="Book Antiqua" w:hAnsi="Book Antiqua" w:cs="Arial"/>
        </w:rPr>
        <w:tab/>
        <w:t>For the above reasons I conclude that the judge did not materially err in law and accordingly her decision must stand.</w:t>
      </w:r>
    </w:p>
    <w:p w:rsidR="00971446" w:rsidRDefault="00971446" w:rsidP="00BF23BB">
      <w:pPr>
        <w:tabs>
          <w:tab w:val="left" w:pos="567"/>
        </w:tabs>
        <w:ind w:left="567" w:hanging="567"/>
        <w:jc w:val="both"/>
        <w:rPr>
          <w:rFonts w:ascii="Book Antiqua" w:hAnsi="Book Antiqua" w:cs="Arial"/>
        </w:rPr>
      </w:pPr>
    </w:p>
    <w:p w:rsidR="00173CC6" w:rsidRPr="00173CC6" w:rsidRDefault="00173CC6" w:rsidP="00173CC6">
      <w:pPr>
        <w:jc w:val="both"/>
        <w:rPr>
          <w:rFonts w:ascii="Book Antiqua" w:hAnsi="Book Antiqua" w:cs="Arial"/>
        </w:rPr>
      </w:pPr>
    </w:p>
    <w:p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rsidR="00173CC6" w:rsidRPr="00173CC6" w:rsidRDefault="00173CC6" w:rsidP="00173CC6">
      <w:pPr>
        <w:jc w:val="both"/>
        <w:rPr>
          <w:rFonts w:ascii="Book Antiqua" w:hAnsi="Book Antiqua" w:cs="Arial"/>
        </w:rPr>
      </w:pPr>
    </w:p>
    <w:p w:rsidR="00A509FA" w:rsidRDefault="00A509FA" w:rsidP="00780F86">
      <w:pPr>
        <w:ind w:left="540" w:hanging="540"/>
        <w:jc w:val="both"/>
        <w:rPr>
          <w:rFonts w:ascii="Book Antiqua" w:hAnsi="Book Antiqua" w:cs="Arial"/>
        </w:rPr>
      </w:pPr>
    </w:p>
    <w:p w:rsidR="00255B04" w:rsidRPr="00B57D66" w:rsidRDefault="00255B04" w:rsidP="00780F86">
      <w:pPr>
        <w:ind w:left="540" w:hanging="540"/>
        <w:jc w:val="both"/>
        <w:rPr>
          <w:rFonts w:ascii="Book Antiqua" w:hAnsi="Book Antiqua" w:cs="Arial"/>
        </w:rPr>
      </w:pPr>
    </w:p>
    <w:p w:rsidR="00255B04" w:rsidRDefault="00255B04"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382520" w:rsidRPr="00B35E85">
        <w:rPr>
          <w:noProof/>
        </w:rPr>
        <w:drawing>
          <wp:inline distT="0" distB="0" distL="0" distR="0">
            <wp:extent cx="171450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10540"/>
                    </a:xfrm>
                    <a:prstGeom prst="rect">
                      <a:avLst/>
                    </a:prstGeom>
                    <a:noFill/>
                    <a:ln>
                      <a:noFill/>
                    </a:ln>
                  </pic:spPr>
                </pic:pic>
              </a:graphicData>
            </a:graphic>
          </wp:inline>
        </w:drawing>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813974">
        <w:rPr>
          <w:rFonts w:ascii="Book Antiqua" w:hAnsi="Book Antiqua" w:cs="Arial"/>
        </w:rPr>
        <w:t>: 11 April 2018</w:t>
      </w:r>
    </w:p>
    <w:p w:rsidR="00255B04" w:rsidRDefault="00620157"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            </w:t>
      </w:r>
    </w:p>
    <w:p w:rsidR="00255B04" w:rsidRDefault="00255B04" w:rsidP="007702DD">
      <w:pPr>
        <w:tabs>
          <w:tab w:val="left" w:pos="2520"/>
        </w:tabs>
        <w:ind w:left="540" w:hanging="540"/>
        <w:jc w:val="both"/>
        <w:rPr>
          <w:rFonts w:ascii="Book Antiqua" w:hAnsi="Book Antiqua" w:cs="Arial"/>
          <w:color w:val="000000"/>
        </w:rPr>
      </w:pPr>
    </w:p>
    <w:p w:rsidR="00A9409A" w:rsidRDefault="00255B04" w:rsidP="007702DD">
      <w:pPr>
        <w:tabs>
          <w:tab w:val="left" w:pos="2520"/>
        </w:tabs>
        <w:ind w:left="540" w:hanging="540"/>
        <w:jc w:val="both"/>
        <w:rPr>
          <w:rFonts w:ascii="Book Antiqua" w:hAnsi="Book Antiqua" w:cs="Arial"/>
          <w:color w:val="000000"/>
        </w:rPr>
      </w:pPr>
      <w:r>
        <w:rPr>
          <w:rFonts w:ascii="Book Antiqua" w:hAnsi="Book Antiqua" w:cs="Arial"/>
          <w:color w:val="000000"/>
        </w:rPr>
        <w:t>D</w:t>
      </w:r>
      <w:r w:rsidR="00A9409A">
        <w:rPr>
          <w:rFonts w:ascii="Book Antiqua" w:hAnsi="Book Antiqua" w:cs="Arial"/>
          <w:color w:val="000000"/>
        </w:rPr>
        <w:t>r H H Storey</w:t>
      </w:r>
    </w:p>
    <w:p w:rsidR="00255B04" w:rsidRDefault="00255B04" w:rsidP="007702DD">
      <w:pPr>
        <w:tabs>
          <w:tab w:val="left" w:pos="2520"/>
        </w:tabs>
        <w:ind w:left="540" w:hanging="540"/>
        <w:jc w:val="both"/>
        <w:rPr>
          <w:rFonts w:ascii="Book Antiqua" w:hAnsi="Book Antiqua" w:cs="Arial"/>
          <w:color w:val="000000"/>
        </w:rPr>
      </w:pPr>
    </w:p>
    <w:p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rsidR="00173CC6" w:rsidRDefault="00173CC6" w:rsidP="007702DD">
      <w:pPr>
        <w:tabs>
          <w:tab w:val="left" w:pos="2520"/>
        </w:tabs>
        <w:ind w:left="540" w:hanging="540"/>
        <w:jc w:val="both"/>
        <w:rPr>
          <w:rFonts w:ascii="Book Antiqua" w:hAnsi="Book Antiqua" w:cs="Arial"/>
          <w:color w:val="000000"/>
        </w:rPr>
      </w:pPr>
    </w:p>
    <w:p w:rsidR="00173CC6" w:rsidRDefault="00173CC6" w:rsidP="007702DD">
      <w:pPr>
        <w:tabs>
          <w:tab w:val="left" w:pos="2520"/>
        </w:tabs>
        <w:ind w:left="540" w:hanging="540"/>
        <w:jc w:val="both"/>
        <w:rPr>
          <w:rFonts w:ascii="Book Antiqua" w:hAnsi="Book Antiqua" w:cs="Arial"/>
          <w:color w:val="000000"/>
        </w:rPr>
      </w:pPr>
    </w:p>
    <w:p w:rsidR="00255B04" w:rsidRDefault="00255B04" w:rsidP="00173CC6">
      <w:pPr>
        <w:jc w:val="both"/>
        <w:rPr>
          <w:rFonts w:ascii="Book Antiqua" w:hAnsi="Book Antiqua" w:cs="Arial"/>
          <w:b/>
          <w:u w:val="single"/>
        </w:rPr>
      </w:pPr>
    </w:p>
    <w:p w:rsidR="00255B04" w:rsidRDefault="00255B04" w:rsidP="00173CC6">
      <w:pPr>
        <w:jc w:val="both"/>
        <w:rPr>
          <w:rFonts w:ascii="Book Antiqua" w:hAnsi="Book Antiqua" w:cs="Arial"/>
          <w:b/>
          <w:u w:val="single"/>
        </w:rPr>
      </w:pPr>
    </w:p>
    <w:p w:rsidR="00255B04" w:rsidRDefault="00255B04" w:rsidP="00173CC6">
      <w:pPr>
        <w:jc w:val="both"/>
        <w:rPr>
          <w:rFonts w:ascii="Book Antiqua" w:hAnsi="Book Antiqua" w:cs="Arial"/>
          <w:b/>
          <w:u w:val="single"/>
        </w:rPr>
      </w:pPr>
    </w:p>
    <w:p w:rsidR="00B95326" w:rsidRPr="00B57D66" w:rsidRDefault="00B95326" w:rsidP="00B95326">
      <w:pPr>
        <w:rPr>
          <w:rFonts w:ascii="Book Antiqua" w:hAnsi="Book Antiqua"/>
        </w:rPr>
      </w:pPr>
    </w:p>
    <w:p w:rsidR="00B95326" w:rsidRPr="00B57D66" w:rsidRDefault="00B95326" w:rsidP="00B95326">
      <w:pPr>
        <w:rPr>
          <w:rFonts w:ascii="Book Antiqua" w:hAnsi="Book Antiqua"/>
        </w:rPr>
      </w:pPr>
    </w:p>
    <w:sectPr w:rsidR="00B95326" w:rsidRPr="00B57D66" w:rsidSect="00072641">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3D6" w:rsidRDefault="007923D6">
      <w:r>
        <w:separator/>
      </w:r>
    </w:p>
  </w:endnote>
  <w:endnote w:type="continuationSeparator" w:id="0">
    <w:p w:rsidR="007923D6" w:rsidRDefault="0079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7FE" w:rsidRPr="00072641" w:rsidRDefault="00C137FE" w:rsidP="00593795">
    <w:pPr>
      <w:pStyle w:val="Footer"/>
      <w:jc w:val="center"/>
      <w:rPr>
        <w:rFonts w:ascii="Book Antiqua" w:hAnsi="Book Antiqua" w:cs="Arial"/>
      </w:rPr>
    </w:pPr>
    <w:r w:rsidRPr="00072641">
      <w:rPr>
        <w:rStyle w:val="PageNumber"/>
        <w:rFonts w:ascii="Book Antiqua" w:hAnsi="Book Antiqua" w:cs="Arial"/>
      </w:rPr>
      <w:fldChar w:fldCharType="begin"/>
    </w:r>
    <w:r w:rsidRPr="00072641">
      <w:rPr>
        <w:rStyle w:val="PageNumber"/>
        <w:rFonts w:ascii="Book Antiqua" w:hAnsi="Book Antiqua" w:cs="Arial"/>
      </w:rPr>
      <w:instrText xml:space="preserve"> PAGE </w:instrText>
    </w:r>
    <w:r w:rsidRPr="00072641">
      <w:rPr>
        <w:rStyle w:val="PageNumber"/>
        <w:rFonts w:ascii="Book Antiqua" w:hAnsi="Book Antiqua" w:cs="Arial"/>
      </w:rPr>
      <w:fldChar w:fldCharType="separate"/>
    </w:r>
    <w:r w:rsidR="00657D43">
      <w:rPr>
        <w:rStyle w:val="PageNumber"/>
        <w:rFonts w:ascii="Book Antiqua" w:hAnsi="Book Antiqua" w:cs="Arial"/>
        <w:noProof/>
      </w:rPr>
      <w:t>4</w:t>
    </w:r>
    <w:r w:rsidRPr="0007264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7FE" w:rsidRPr="00B57D66" w:rsidRDefault="00C137FE"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3D6" w:rsidRDefault="007923D6">
      <w:r>
        <w:separator/>
      </w:r>
    </w:p>
  </w:footnote>
  <w:footnote w:type="continuationSeparator" w:id="0">
    <w:p w:rsidR="007923D6" w:rsidRDefault="00792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7FE" w:rsidRDefault="00C137F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Pr>
        <w:rFonts w:ascii="Book Antiqua" w:hAnsi="Book Antiqua" w:cs="Arial"/>
        <w:sz w:val="16"/>
        <w:szCs w:val="16"/>
      </w:rPr>
      <w:t xml:space="preserve"> PA/03322/2015</w:t>
    </w:r>
    <w:r w:rsidRPr="00B57D66">
      <w:rPr>
        <w:rFonts w:ascii="Book Antiqua" w:hAnsi="Book Antiqua" w:cs="Arial"/>
        <w:sz w:val="16"/>
        <w:szCs w:val="16"/>
      </w:rPr>
      <w:t xml:space="preserve"> </w:t>
    </w:r>
  </w:p>
  <w:p w:rsidR="00072641" w:rsidRPr="00B57D66" w:rsidRDefault="0007264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7FE" w:rsidRPr="00B57D66" w:rsidRDefault="00C137FE">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A3"/>
    <w:rsid w:val="00000621"/>
    <w:rsid w:val="000036C2"/>
    <w:rsid w:val="00033D3D"/>
    <w:rsid w:val="00041A05"/>
    <w:rsid w:val="00062F02"/>
    <w:rsid w:val="00071A7E"/>
    <w:rsid w:val="00072641"/>
    <w:rsid w:val="000746C0"/>
    <w:rsid w:val="00074D1D"/>
    <w:rsid w:val="00082E32"/>
    <w:rsid w:val="00092580"/>
    <w:rsid w:val="00093D4D"/>
    <w:rsid w:val="000A2820"/>
    <w:rsid w:val="000A383D"/>
    <w:rsid w:val="000D326A"/>
    <w:rsid w:val="000D5D94"/>
    <w:rsid w:val="000F1A0E"/>
    <w:rsid w:val="001165A7"/>
    <w:rsid w:val="00152059"/>
    <w:rsid w:val="00167D3A"/>
    <w:rsid w:val="00173CC6"/>
    <w:rsid w:val="001A3082"/>
    <w:rsid w:val="001B186A"/>
    <w:rsid w:val="001B2F75"/>
    <w:rsid w:val="001D4DD2"/>
    <w:rsid w:val="001F2716"/>
    <w:rsid w:val="00200F1B"/>
    <w:rsid w:val="00207617"/>
    <w:rsid w:val="002179A3"/>
    <w:rsid w:val="0023134B"/>
    <w:rsid w:val="00255B04"/>
    <w:rsid w:val="00277CB5"/>
    <w:rsid w:val="00283659"/>
    <w:rsid w:val="00290B42"/>
    <w:rsid w:val="002C6BD4"/>
    <w:rsid w:val="002D68BF"/>
    <w:rsid w:val="002E44F9"/>
    <w:rsid w:val="002E476B"/>
    <w:rsid w:val="002F6B98"/>
    <w:rsid w:val="00307FF9"/>
    <w:rsid w:val="00327658"/>
    <w:rsid w:val="00336CBF"/>
    <w:rsid w:val="00343FE3"/>
    <w:rsid w:val="003546C8"/>
    <w:rsid w:val="00382520"/>
    <w:rsid w:val="003A7CF2"/>
    <w:rsid w:val="003C5CE5"/>
    <w:rsid w:val="003D68C0"/>
    <w:rsid w:val="003E15D0"/>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76C0"/>
    <w:rsid w:val="00507FEC"/>
    <w:rsid w:val="00510F0E"/>
    <w:rsid w:val="00531ADC"/>
    <w:rsid w:val="005339AD"/>
    <w:rsid w:val="0054116B"/>
    <w:rsid w:val="005479E1"/>
    <w:rsid w:val="00553E0A"/>
    <w:rsid w:val="005570FD"/>
    <w:rsid w:val="005575EA"/>
    <w:rsid w:val="005665A9"/>
    <w:rsid w:val="005672D1"/>
    <w:rsid w:val="00571B31"/>
    <w:rsid w:val="0057790C"/>
    <w:rsid w:val="00593795"/>
    <w:rsid w:val="005A13AD"/>
    <w:rsid w:val="005A487B"/>
    <w:rsid w:val="005A75FF"/>
    <w:rsid w:val="005D10AB"/>
    <w:rsid w:val="005F7FA2"/>
    <w:rsid w:val="00601D8F"/>
    <w:rsid w:val="00620157"/>
    <w:rsid w:val="006215B3"/>
    <w:rsid w:val="00653E97"/>
    <w:rsid w:val="00657D43"/>
    <w:rsid w:val="00684A74"/>
    <w:rsid w:val="00690B8A"/>
    <w:rsid w:val="006B2B73"/>
    <w:rsid w:val="006C5560"/>
    <w:rsid w:val="006F2CF1"/>
    <w:rsid w:val="00700CB3"/>
    <w:rsid w:val="007038ED"/>
    <w:rsid w:val="00703BC3"/>
    <w:rsid w:val="00704B61"/>
    <w:rsid w:val="00720D28"/>
    <w:rsid w:val="0074439E"/>
    <w:rsid w:val="007552A9"/>
    <w:rsid w:val="00761858"/>
    <w:rsid w:val="00761DDA"/>
    <w:rsid w:val="00767D59"/>
    <w:rsid w:val="007702DD"/>
    <w:rsid w:val="007741C1"/>
    <w:rsid w:val="00776E97"/>
    <w:rsid w:val="00780F86"/>
    <w:rsid w:val="0078205A"/>
    <w:rsid w:val="007912AD"/>
    <w:rsid w:val="007923D6"/>
    <w:rsid w:val="007A4FEE"/>
    <w:rsid w:val="007B0824"/>
    <w:rsid w:val="007B5D3C"/>
    <w:rsid w:val="007C1919"/>
    <w:rsid w:val="00813974"/>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71446"/>
    <w:rsid w:val="009722BC"/>
    <w:rsid w:val="009727A3"/>
    <w:rsid w:val="00975893"/>
    <w:rsid w:val="00987774"/>
    <w:rsid w:val="009A11E8"/>
    <w:rsid w:val="009B4673"/>
    <w:rsid w:val="009F5220"/>
    <w:rsid w:val="00A15234"/>
    <w:rsid w:val="00A201AB"/>
    <w:rsid w:val="00A2306E"/>
    <w:rsid w:val="00A31C8B"/>
    <w:rsid w:val="00A50368"/>
    <w:rsid w:val="00A509FA"/>
    <w:rsid w:val="00A83201"/>
    <w:rsid w:val="00A845DC"/>
    <w:rsid w:val="00A9409A"/>
    <w:rsid w:val="00AD17CF"/>
    <w:rsid w:val="00AE16A3"/>
    <w:rsid w:val="00B26AA2"/>
    <w:rsid w:val="00B3524D"/>
    <w:rsid w:val="00B40F69"/>
    <w:rsid w:val="00B448D5"/>
    <w:rsid w:val="00B46616"/>
    <w:rsid w:val="00B57D66"/>
    <w:rsid w:val="00B7040A"/>
    <w:rsid w:val="00B83391"/>
    <w:rsid w:val="00B95326"/>
    <w:rsid w:val="00BB45A9"/>
    <w:rsid w:val="00BD4196"/>
    <w:rsid w:val="00BE2F3A"/>
    <w:rsid w:val="00BF22CA"/>
    <w:rsid w:val="00BF23BB"/>
    <w:rsid w:val="00C137FE"/>
    <w:rsid w:val="00C15330"/>
    <w:rsid w:val="00C26032"/>
    <w:rsid w:val="00C345E1"/>
    <w:rsid w:val="00C43BFD"/>
    <w:rsid w:val="00C5783B"/>
    <w:rsid w:val="00C651C8"/>
    <w:rsid w:val="00C816AD"/>
    <w:rsid w:val="00CB6E35"/>
    <w:rsid w:val="00CC26E8"/>
    <w:rsid w:val="00CD4CBE"/>
    <w:rsid w:val="00CE1A46"/>
    <w:rsid w:val="00CE7550"/>
    <w:rsid w:val="00D015C1"/>
    <w:rsid w:val="00D20757"/>
    <w:rsid w:val="00D22636"/>
    <w:rsid w:val="00D40FD9"/>
    <w:rsid w:val="00D53769"/>
    <w:rsid w:val="00D7040C"/>
    <w:rsid w:val="00D711BA"/>
    <w:rsid w:val="00D8575C"/>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D6E0E"/>
    <w:rsid w:val="00EE45D8"/>
    <w:rsid w:val="00F17123"/>
    <w:rsid w:val="00F22EDA"/>
    <w:rsid w:val="00F35C16"/>
    <w:rsid w:val="00F465D5"/>
    <w:rsid w:val="00F47952"/>
    <w:rsid w:val="00F93ABB"/>
    <w:rsid w:val="00F95BB7"/>
    <w:rsid w:val="00FA6FCD"/>
    <w:rsid w:val="00FC45FD"/>
    <w:rsid w:val="00FD4944"/>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D3CA3F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1349</Words>
  <Characters>6700</Characters>
  <Application>Microsoft Office Word</Application>
  <DocSecurity>0</DocSecurity>
  <Lines>55</Lines>
  <Paragraphs>16</Paragraphs>
  <ScaleCrop>false</ScaleCrop>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2018-07-03T12:14:00Z</dcterms:created>
  <dcterms:modified xsi:type="dcterms:W3CDTF">2018-07-03T12:14:00Z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