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945E61" w:rsidRDefault="00F317A3" w:rsidP="00A842AA">
      <w:pPr>
        <w:jc w:val="center"/>
        <w:rPr>
          <w:rFonts w:ascii="Book Antiqua" w:hAnsi="Book Antiqua" w:cs="Arial"/>
          <w:caps/>
          <w:color w:val="000000"/>
          <w:sz w:val="16"/>
          <w:szCs w:val="16"/>
        </w:rPr>
      </w:pPr>
      <w:r w:rsidRPr="00945E61">
        <w:rPr>
          <w:rFonts w:ascii="Book Antiqua" w:hAnsi="Book Antiqua"/>
          <w:noProof/>
          <w:sz w:val="16"/>
          <w:szCs w:val="16"/>
        </w:rPr>
        <w:drawing>
          <wp:inline distT="0" distB="0" distL="0" distR="0" wp14:anchorId="24A44E60" wp14:editId="4E5F78A3">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945E61" w:rsidRPr="00945E61" w:rsidRDefault="00945E61" w:rsidP="00A842AA">
      <w:pPr>
        <w:jc w:val="center"/>
        <w:rPr>
          <w:rFonts w:ascii="Book Antiqua" w:hAnsi="Book Antiqua" w:cs="Arial"/>
          <w:caps/>
          <w:color w:val="000000"/>
          <w:sz w:val="16"/>
          <w:szCs w:val="16"/>
        </w:rPr>
      </w:pPr>
    </w:p>
    <w:p w:rsidR="00A842AA" w:rsidRPr="00945E61" w:rsidRDefault="00A842AA" w:rsidP="00780F86">
      <w:pPr>
        <w:tabs>
          <w:tab w:val="right" w:pos="9720"/>
        </w:tabs>
        <w:ind w:right="-82"/>
        <w:rPr>
          <w:rFonts w:ascii="Book Antiqua" w:hAnsi="Book Antiqua" w:cs="Arial"/>
          <w:b/>
          <w:color w:val="000000"/>
        </w:rPr>
      </w:pPr>
      <w:r w:rsidRPr="00945E61">
        <w:rPr>
          <w:rFonts w:ascii="Book Antiqua" w:hAnsi="Book Antiqua" w:cs="Arial"/>
          <w:b/>
          <w:color w:val="000000"/>
        </w:rPr>
        <w:t xml:space="preserve">Upper Tribunal </w:t>
      </w:r>
    </w:p>
    <w:p w:rsidR="007B0824" w:rsidRPr="00945E61" w:rsidRDefault="00A842AA" w:rsidP="00780F86">
      <w:pPr>
        <w:tabs>
          <w:tab w:val="right" w:pos="9720"/>
        </w:tabs>
        <w:ind w:right="-82"/>
        <w:rPr>
          <w:rFonts w:ascii="Book Antiqua" w:hAnsi="Book Antiqua" w:cs="Arial"/>
          <w:color w:val="000000"/>
        </w:rPr>
      </w:pPr>
      <w:r w:rsidRPr="00945E61">
        <w:rPr>
          <w:rFonts w:ascii="Book Antiqua" w:hAnsi="Book Antiqua" w:cs="Arial"/>
          <w:b/>
          <w:color w:val="000000"/>
        </w:rPr>
        <w:t>(Immigration and Asylum Chamber)</w:t>
      </w:r>
      <w:r w:rsidR="00DB70AE" w:rsidRPr="00945E61">
        <w:rPr>
          <w:rFonts w:ascii="Book Antiqua" w:hAnsi="Book Antiqua" w:cs="Arial"/>
          <w:b/>
          <w:color w:val="000000"/>
        </w:rPr>
        <w:tab/>
      </w:r>
      <w:r w:rsidR="00B3524D" w:rsidRPr="00945E61">
        <w:rPr>
          <w:rFonts w:ascii="Book Antiqua" w:hAnsi="Book Antiqua" w:cs="Arial"/>
          <w:color w:val="000000"/>
        </w:rPr>
        <w:t>Appeal Number</w:t>
      </w:r>
      <w:r w:rsidR="00D53769" w:rsidRPr="00945E61">
        <w:rPr>
          <w:rFonts w:ascii="Book Antiqua" w:hAnsi="Book Antiqua" w:cs="Arial"/>
          <w:color w:val="000000"/>
        </w:rPr>
        <w:t>:</w:t>
      </w:r>
      <w:r w:rsidR="00B3524D" w:rsidRPr="00945E61">
        <w:rPr>
          <w:rFonts w:ascii="Book Antiqua" w:hAnsi="Book Antiqua" w:cs="Arial"/>
          <w:color w:val="000000"/>
        </w:rPr>
        <w:t xml:space="preserve"> </w:t>
      </w:r>
      <w:bookmarkStart w:id="0" w:name="_GoBack"/>
      <w:r w:rsidR="0010203D" w:rsidRPr="00945E61">
        <w:rPr>
          <w:rFonts w:ascii="Book Antiqua" w:hAnsi="Book Antiqua" w:cs="Arial"/>
          <w:caps/>
          <w:color w:val="000000"/>
        </w:rPr>
        <w:t>PA</w:t>
      </w:r>
      <w:r w:rsidR="00945E61">
        <w:rPr>
          <w:rFonts w:ascii="Book Antiqua" w:hAnsi="Book Antiqua" w:cs="Arial"/>
          <w:caps/>
          <w:color w:val="000000"/>
        </w:rPr>
        <w:t>/</w:t>
      </w:r>
      <w:r w:rsidR="0010203D" w:rsidRPr="00945E61">
        <w:rPr>
          <w:rFonts w:ascii="Book Antiqua" w:hAnsi="Book Antiqua" w:cs="Arial"/>
          <w:caps/>
          <w:color w:val="000000"/>
        </w:rPr>
        <w:t>03426</w:t>
      </w:r>
      <w:r w:rsidR="00945E61">
        <w:rPr>
          <w:rFonts w:ascii="Book Antiqua" w:hAnsi="Book Antiqua" w:cs="Arial"/>
          <w:caps/>
          <w:color w:val="000000"/>
        </w:rPr>
        <w:t>/</w:t>
      </w:r>
      <w:r w:rsidR="0010203D" w:rsidRPr="00945E61">
        <w:rPr>
          <w:rFonts w:ascii="Book Antiqua" w:hAnsi="Book Antiqua" w:cs="Arial"/>
          <w:caps/>
          <w:color w:val="000000"/>
        </w:rPr>
        <w:t>2017</w:t>
      </w:r>
      <w:bookmarkEnd w:id="0"/>
    </w:p>
    <w:p w:rsidR="00C345E1" w:rsidRPr="00945E61" w:rsidRDefault="00C345E1" w:rsidP="00C345E1">
      <w:pPr>
        <w:jc w:val="center"/>
        <w:rPr>
          <w:rFonts w:ascii="Book Antiqua" w:hAnsi="Book Antiqua" w:cs="Arial"/>
          <w:color w:val="000000"/>
        </w:rPr>
      </w:pPr>
    </w:p>
    <w:p w:rsidR="00945E61" w:rsidRPr="00945E61" w:rsidRDefault="00945E61" w:rsidP="00C345E1">
      <w:pPr>
        <w:jc w:val="center"/>
        <w:rPr>
          <w:rFonts w:ascii="Book Antiqua" w:hAnsi="Book Antiqua" w:cs="Arial"/>
          <w:b/>
          <w:color w:val="000000"/>
          <w:u w:val="single"/>
        </w:rPr>
      </w:pPr>
    </w:p>
    <w:p w:rsidR="00C345E1" w:rsidRPr="00945E61" w:rsidRDefault="00C345E1" w:rsidP="00C345E1">
      <w:pPr>
        <w:jc w:val="center"/>
        <w:rPr>
          <w:rFonts w:ascii="Book Antiqua" w:hAnsi="Book Antiqua" w:cs="Arial"/>
          <w:b/>
          <w:color w:val="000000"/>
          <w:u w:val="single"/>
        </w:rPr>
      </w:pPr>
      <w:r w:rsidRPr="00945E61">
        <w:rPr>
          <w:rFonts w:ascii="Book Antiqua" w:hAnsi="Book Antiqua" w:cs="Arial"/>
          <w:b/>
          <w:color w:val="000000"/>
          <w:u w:val="single"/>
        </w:rPr>
        <w:t>THE IMMIGRATION ACTS</w:t>
      </w:r>
    </w:p>
    <w:p w:rsidR="00945E61" w:rsidRPr="00945E61" w:rsidRDefault="00945E61" w:rsidP="00C345E1">
      <w:pPr>
        <w:jc w:val="center"/>
        <w:rPr>
          <w:rFonts w:ascii="Book Antiqua" w:hAnsi="Book Antiqua" w:cs="Arial"/>
          <w:b/>
          <w:color w:val="000000"/>
          <w:u w:val="single"/>
        </w:rPr>
      </w:pPr>
    </w:p>
    <w:p w:rsidR="00C345E1" w:rsidRPr="00945E61"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45E61" w:rsidTr="009F14B8">
        <w:tc>
          <w:tcPr>
            <w:tcW w:w="6048" w:type="dxa"/>
          </w:tcPr>
          <w:p w:rsidR="00D22636" w:rsidRPr="00945E61" w:rsidRDefault="00D22636" w:rsidP="004A1848">
            <w:pPr>
              <w:jc w:val="both"/>
              <w:rPr>
                <w:rFonts w:ascii="Book Antiqua" w:hAnsi="Book Antiqua" w:cs="Arial"/>
                <w:b/>
              </w:rPr>
            </w:pPr>
            <w:r w:rsidRPr="00945E61">
              <w:rPr>
                <w:rFonts w:ascii="Book Antiqua" w:hAnsi="Book Antiqua" w:cs="Arial"/>
                <w:b/>
              </w:rPr>
              <w:t xml:space="preserve">Heard at </w:t>
            </w:r>
            <w:r w:rsidR="0010203D" w:rsidRPr="00945E61">
              <w:rPr>
                <w:rFonts w:ascii="Book Antiqua" w:hAnsi="Book Antiqua" w:cs="Arial"/>
                <w:b/>
              </w:rPr>
              <w:t>Field House</w:t>
            </w:r>
          </w:p>
        </w:tc>
        <w:tc>
          <w:tcPr>
            <w:tcW w:w="3960" w:type="dxa"/>
          </w:tcPr>
          <w:p w:rsidR="00D22636" w:rsidRPr="00945E61" w:rsidRDefault="009F14B8" w:rsidP="00093D4D">
            <w:pPr>
              <w:jc w:val="both"/>
              <w:rPr>
                <w:rFonts w:ascii="Book Antiqua" w:hAnsi="Book Antiqua" w:cs="Arial"/>
                <w:b/>
                <w:color w:val="000000"/>
              </w:rPr>
            </w:pPr>
            <w:r w:rsidRPr="00945E61">
              <w:rPr>
                <w:rFonts w:ascii="Book Antiqua" w:hAnsi="Book Antiqua" w:cs="Arial"/>
                <w:b/>
                <w:color w:val="000000"/>
              </w:rPr>
              <w:t>Decision &amp; Reasons</w:t>
            </w:r>
            <w:r w:rsidR="00283659" w:rsidRPr="00945E61">
              <w:rPr>
                <w:rFonts w:ascii="Book Antiqua" w:hAnsi="Book Antiqua" w:cs="Arial"/>
                <w:b/>
                <w:color w:val="000000"/>
              </w:rPr>
              <w:t xml:space="preserve"> Promulgated</w:t>
            </w:r>
          </w:p>
        </w:tc>
      </w:tr>
      <w:tr w:rsidR="00D22636" w:rsidRPr="00945E61" w:rsidTr="009F14B8">
        <w:tc>
          <w:tcPr>
            <w:tcW w:w="6048" w:type="dxa"/>
          </w:tcPr>
          <w:p w:rsidR="00D22636" w:rsidRPr="00945E61" w:rsidRDefault="00D22636" w:rsidP="004A1848">
            <w:pPr>
              <w:jc w:val="both"/>
              <w:rPr>
                <w:rFonts w:ascii="Book Antiqua" w:hAnsi="Book Antiqua" w:cs="Arial"/>
                <w:b/>
              </w:rPr>
            </w:pPr>
            <w:r w:rsidRPr="00945E61">
              <w:rPr>
                <w:rFonts w:ascii="Book Antiqua" w:hAnsi="Book Antiqua" w:cs="Arial"/>
                <w:b/>
              </w:rPr>
              <w:t xml:space="preserve">On </w:t>
            </w:r>
            <w:r w:rsidR="0010203D" w:rsidRPr="00945E61">
              <w:rPr>
                <w:rFonts w:ascii="Book Antiqua" w:hAnsi="Book Antiqua" w:cs="Arial"/>
                <w:b/>
              </w:rPr>
              <w:t>26 April 2018</w:t>
            </w:r>
          </w:p>
        </w:tc>
        <w:tc>
          <w:tcPr>
            <w:tcW w:w="3960" w:type="dxa"/>
          </w:tcPr>
          <w:p w:rsidR="00D22636" w:rsidRPr="00945E61" w:rsidRDefault="001E7D94" w:rsidP="004A1848">
            <w:pPr>
              <w:jc w:val="both"/>
              <w:rPr>
                <w:rFonts w:ascii="Book Antiqua" w:hAnsi="Book Antiqua" w:cs="Arial"/>
                <w:b/>
              </w:rPr>
            </w:pPr>
            <w:r w:rsidRPr="00945E61">
              <w:rPr>
                <w:rFonts w:ascii="Book Antiqua" w:hAnsi="Book Antiqua" w:cs="Arial"/>
                <w:b/>
              </w:rPr>
              <w:t>On 15 May 2018</w:t>
            </w:r>
          </w:p>
        </w:tc>
      </w:tr>
      <w:tr w:rsidR="00D22636" w:rsidRPr="00945E61" w:rsidTr="009F14B8">
        <w:tc>
          <w:tcPr>
            <w:tcW w:w="6048" w:type="dxa"/>
          </w:tcPr>
          <w:p w:rsidR="00D22636" w:rsidRPr="00945E61" w:rsidRDefault="00D22636" w:rsidP="004A1848">
            <w:pPr>
              <w:jc w:val="both"/>
              <w:rPr>
                <w:rFonts w:ascii="Book Antiqua" w:hAnsi="Book Antiqua" w:cs="Arial"/>
                <w:b/>
              </w:rPr>
            </w:pPr>
          </w:p>
        </w:tc>
        <w:tc>
          <w:tcPr>
            <w:tcW w:w="3960" w:type="dxa"/>
          </w:tcPr>
          <w:p w:rsidR="00D22636" w:rsidRPr="00945E61" w:rsidRDefault="00D22636" w:rsidP="004A1848">
            <w:pPr>
              <w:jc w:val="both"/>
              <w:rPr>
                <w:rFonts w:ascii="Book Antiqua" w:hAnsi="Book Antiqua" w:cs="Arial"/>
                <w:b/>
              </w:rPr>
            </w:pPr>
          </w:p>
        </w:tc>
      </w:tr>
    </w:tbl>
    <w:p w:rsidR="00A15234" w:rsidRPr="00945E61" w:rsidRDefault="00A15234" w:rsidP="00A15234">
      <w:pPr>
        <w:jc w:val="center"/>
        <w:rPr>
          <w:rFonts w:ascii="Book Antiqua" w:hAnsi="Book Antiqua" w:cs="Arial"/>
        </w:rPr>
      </w:pPr>
    </w:p>
    <w:p w:rsidR="00A15234" w:rsidRPr="00945E61" w:rsidRDefault="00207617" w:rsidP="00A15234">
      <w:pPr>
        <w:jc w:val="center"/>
        <w:rPr>
          <w:rFonts w:ascii="Book Antiqua" w:hAnsi="Book Antiqua" w:cs="Arial"/>
          <w:b/>
        </w:rPr>
      </w:pPr>
      <w:r w:rsidRPr="00945E61">
        <w:rPr>
          <w:rFonts w:ascii="Book Antiqua" w:hAnsi="Book Antiqua" w:cs="Arial"/>
          <w:b/>
        </w:rPr>
        <w:t>Befo</w:t>
      </w:r>
      <w:r w:rsidR="00A15234" w:rsidRPr="00945E61">
        <w:rPr>
          <w:rFonts w:ascii="Book Antiqua" w:hAnsi="Book Antiqua" w:cs="Arial"/>
          <w:b/>
        </w:rPr>
        <w:t>re</w:t>
      </w:r>
    </w:p>
    <w:p w:rsidR="00A15234" w:rsidRPr="00945E61" w:rsidRDefault="00A15234" w:rsidP="00A15234">
      <w:pPr>
        <w:jc w:val="center"/>
        <w:rPr>
          <w:rFonts w:ascii="Book Antiqua" w:hAnsi="Book Antiqua" w:cs="Arial"/>
          <w:b/>
        </w:rPr>
      </w:pPr>
    </w:p>
    <w:p w:rsidR="00D20757" w:rsidRPr="00945E61" w:rsidRDefault="00265840" w:rsidP="00A15234">
      <w:pPr>
        <w:jc w:val="center"/>
        <w:rPr>
          <w:rFonts w:ascii="Book Antiqua" w:hAnsi="Book Antiqua" w:cs="Arial"/>
          <w:b/>
          <w:color w:val="000000"/>
        </w:rPr>
      </w:pPr>
      <w:r w:rsidRPr="00945E61">
        <w:rPr>
          <w:rFonts w:ascii="Book Antiqua" w:hAnsi="Book Antiqua" w:cs="Arial"/>
          <w:b/>
          <w:color w:val="000000"/>
        </w:rPr>
        <w:t>UPPER TRIBUNAL</w:t>
      </w:r>
      <w:r w:rsidR="001B2F75" w:rsidRPr="00945E61">
        <w:rPr>
          <w:rFonts w:ascii="Book Antiqua" w:hAnsi="Book Antiqua" w:cs="Arial"/>
          <w:b/>
          <w:color w:val="000000"/>
        </w:rPr>
        <w:t xml:space="preserve"> JUDGE </w:t>
      </w:r>
      <w:r w:rsidR="00CD3D3A" w:rsidRPr="00945E61">
        <w:rPr>
          <w:rFonts w:ascii="Book Antiqua" w:hAnsi="Book Antiqua" w:cs="Arial"/>
          <w:b/>
          <w:color w:val="000000"/>
        </w:rPr>
        <w:t>PERKINS</w:t>
      </w:r>
    </w:p>
    <w:p w:rsidR="001B186A" w:rsidRPr="00945E61" w:rsidRDefault="001B186A" w:rsidP="00A15234">
      <w:pPr>
        <w:jc w:val="center"/>
        <w:rPr>
          <w:rFonts w:ascii="Book Antiqua" w:hAnsi="Book Antiqua" w:cs="Arial"/>
          <w:b/>
          <w:color w:val="000000"/>
        </w:rPr>
      </w:pPr>
    </w:p>
    <w:p w:rsidR="00D20757" w:rsidRPr="00945E61" w:rsidRDefault="00D20757" w:rsidP="00A15234">
      <w:pPr>
        <w:jc w:val="center"/>
        <w:rPr>
          <w:rFonts w:ascii="Book Antiqua" w:hAnsi="Book Antiqua" w:cs="Arial"/>
          <w:b/>
        </w:rPr>
      </w:pPr>
    </w:p>
    <w:p w:rsidR="00A845DC" w:rsidRPr="00945E61" w:rsidRDefault="00A845DC" w:rsidP="00A15234">
      <w:pPr>
        <w:jc w:val="center"/>
        <w:rPr>
          <w:rFonts w:ascii="Book Antiqua" w:hAnsi="Book Antiqua" w:cs="Arial"/>
          <w:b/>
        </w:rPr>
      </w:pPr>
      <w:r w:rsidRPr="00945E61">
        <w:rPr>
          <w:rFonts w:ascii="Book Antiqua" w:hAnsi="Book Antiqua" w:cs="Arial"/>
          <w:b/>
        </w:rPr>
        <w:t>Between</w:t>
      </w:r>
    </w:p>
    <w:p w:rsidR="00A845DC" w:rsidRPr="00945E61" w:rsidRDefault="00A845DC" w:rsidP="00A15234">
      <w:pPr>
        <w:jc w:val="center"/>
        <w:rPr>
          <w:rFonts w:ascii="Book Antiqua" w:hAnsi="Book Antiqua" w:cs="Arial"/>
          <w:b/>
        </w:rPr>
      </w:pPr>
    </w:p>
    <w:p w:rsidR="00704B61" w:rsidRPr="00945E61" w:rsidRDefault="0010203D" w:rsidP="0010203D">
      <w:pPr>
        <w:jc w:val="center"/>
        <w:rPr>
          <w:rFonts w:ascii="Book Antiqua" w:hAnsi="Book Antiqua" w:cs="Arial"/>
          <w:b/>
          <w:caps/>
        </w:rPr>
      </w:pPr>
      <w:r w:rsidRPr="00945E61">
        <w:rPr>
          <w:rFonts w:ascii="Book Antiqua" w:hAnsi="Book Antiqua" w:cs="Arial"/>
          <w:b/>
          <w:caps/>
        </w:rPr>
        <w:t xml:space="preserve">THE Secretary of State FOR THE Home Department </w:t>
      </w:r>
    </w:p>
    <w:p w:rsidR="00704B61" w:rsidRPr="00945E61" w:rsidRDefault="00704B61" w:rsidP="00704B61">
      <w:pPr>
        <w:jc w:val="right"/>
        <w:rPr>
          <w:rFonts w:ascii="Book Antiqua" w:hAnsi="Book Antiqua" w:cs="Arial"/>
          <w:u w:val="single"/>
        </w:rPr>
      </w:pPr>
      <w:r w:rsidRPr="00945E61">
        <w:rPr>
          <w:rFonts w:ascii="Book Antiqua" w:hAnsi="Book Antiqua" w:cs="Arial"/>
          <w:u w:val="single"/>
        </w:rPr>
        <w:t>Appellant</w:t>
      </w:r>
    </w:p>
    <w:p w:rsidR="00704B61" w:rsidRPr="00945E61" w:rsidRDefault="00DD5071" w:rsidP="00704B61">
      <w:pPr>
        <w:jc w:val="center"/>
        <w:rPr>
          <w:rFonts w:ascii="Book Antiqua" w:hAnsi="Book Antiqua" w:cs="Arial"/>
          <w:b/>
        </w:rPr>
      </w:pPr>
      <w:r w:rsidRPr="00945E61">
        <w:rPr>
          <w:rFonts w:ascii="Book Antiqua" w:hAnsi="Book Antiqua" w:cs="Arial"/>
          <w:b/>
        </w:rPr>
        <w:t>and</w:t>
      </w:r>
    </w:p>
    <w:p w:rsidR="00DD5071" w:rsidRPr="00945E61" w:rsidRDefault="00DD5071" w:rsidP="00704B61">
      <w:pPr>
        <w:jc w:val="center"/>
        <w:rPr>
          <w:rFonts w:ascii="Book Antiqua" w:hAnsi="Book Antiqua" w:cs="Arial"/>
          <w:b/>
        </w:rPr>
      </w:pPr>
    </w:p>
    <w:p w:rsidR="00DD5071" w:rsidRPr="00945E61" w:rsidRDefault="0010203D" w:rsidP="00704B61">
      <w:pPr>
        <w:jc w:val="center"/>
        <w:rPr>
          <w:rFonts w:ascii="Book Antiqua" w:hAnsi="Book Antiqua" w:cs="Arial"/>
          <w:b/>
        </w:rPr>
      </w:pPr>
      <w:r w:rsidRPr="00945E61">
        <w:rPr>
          <w:rFonts w:ascii="Book Antiqua" w:hAnsi="Book Antiqua" w:cs="Arial"/>
          <w:b/>
        </w:rPr>
        <w:t>S K P</w:t>
      </w:r>
    </w:p>
    <w:p w:rsidR="00DD5071" w:rsidRPr="00945E61" w:rsidRDefault="0010203D" w:rsidP="0010203D">
      <w:pPr>
        <w:jc w:val="center"/>
        <w:rPr>
          <w:rFonts w:ascii="Book Antiqua" w:hAnsi="Book Antiqua" w:cs="Arial"/>
          <w:b/>
          <w:caps/>
        </w:rPr>
      </w:pPr>
      <w:r w:rsidRPr="00945E61">
        <w:rPr>
          <w:rFonts w:ascii="Book Antiqua" w:hAnsi="Book Antiqua" w:cs="Arial"/>
          <w:b/>
          <w:caps/>
        </w:rPr>
        <w:t xml:space="preserve">(ANONYMITY DIRECTION </w:t>
      </w:r>
      <w:r w:rsidR="00A00212" w:rsidRPr="00945E61">
        <w:rPr>
          <w:rFonts w:ascii="Book Antiqua" w:hAnsi="Book Antiqua" w:cs="Arial"/>
          <w:b/>
          <w:caps/>
        </w:rPr>
        <w:t>made</w:t>
      </w:r>
      <w:r w:rsidRPr="00945E61">
        <w:rPr>
          <w:rFonts w:ascii="Book Antiqua" w:hAnsi="Book Antiqua" w:cs="Arial"/>
          <w:b/>
          <w:caps/>
        </w:rPr>
        <w:t>)</w:t>
      </w:r>
    </w:p>
    <w:p w:rsidR="00DD5071" w:rsidRPr="00945E61" w:rsidRDefault="00DD5071" w:rsidP="00DD5071">
      <w:pPr>
        <w:jc w:val="right"/>
        <w:rPr>
          <w:rFonts w:ascii="Book Antiqua" w:hAnsi="Book Antiqua" w:cs="Arial"/>
          <w:u w:val="single"/>
        </w:rPr>
      </w:pPr>
      <w:r w:rsidRPr="00945E61">
        <w:rPr>
          <w:rFonts w:ascii="Book Antiqua" w:hAnsi="Book Antiqua" w:cs="Arial"/>
          <w:u w:val="single"/>
        </w:rPr>
        <w:t>Respondent</w:t>
      </w:r>
    </w:p>
    <w:p w:rsidR="00945E61" w:rsidRPr="00945E61" w:rsidRDefault="00945E61" w:rsidP="00DD5071">
      <w:pPr>
        <w:rPr>
          <w:rFonts w:ascii="Book Antiqua" w:hAnsi="Book Antiqua" w:cs="Arial"/>
          <w:b/>
          <w:u w:val="single"/>
        </w:rPr>
      </w:pPr>
    </w:p>
    <w:p w:rsidR="00945E61" w:rsidRPr="00945E61" w:rsidRDefault="00945E61" w:rsidP="00DD5071">
      <w:pPr>
        <w:rPr>
          <w:rFonts w:ascii="Book Antiqua" w:hAnsi="Book Antiqua" w:cs="Arial"/>
          <w:b/>
          <w:u w:val="single"/>
        </w:rPr>
      </w:pPr>
    </w:p>
    <w:p w:rsidR="00DD5071" w:rsidRPr="00945E61" w:rsidRDefault="00DE7DB7" w:rsidP="00DD5071">
      <w:pPr>
        <w:rPr>
          <w:rFonts w:ascii="Book Antiqua" w:hAnsi="Book Antiqua" w:cs="Arial"/>
        </w:rPr>
      </w:pPr>
      <w:r w:rsidRPr="00945E61">
        <w:rPr>
          <w:rFonts w:ascii="Book Antiqua" w:hAnsi="Book Antiqua" w:cs="Arial"/>
          <w:b/>
          <w:u w:val="single"/>
        </w:rPr>
        <w:t>Representation</w:t>
      </w:r>
      <w:r w:rsidRPr="00945E61">
        <w:rPr>
          <w:rFonts w:ascii="Book Antiqua" w:hAnsi="Book Antiqua" w:cs="Arial"/>
          <w:b/>
        </w:rPr>
        <w:t>:</w:t>
      </w:r>
    </w:p>
    <w:p w:rsidR="00DE7DB7" w:rsidRPr="00945E61" w:rsidRDefault="00DE7DB7" w:rsidP="00DE7DB7">
      <w:pPr>
        <w:tabs>
          <w:tab w:val="left" w:pos="2520"/>
        </w:tabs>
        <w:rPr>
          <w:rFonts w:ascii="Book Antiqua" w:hAnsi="Book Antiqua" w:cs="Arial"/>
        </w:rPr>
      </w:pPr>
      <w:r w:rsidRPr="00945E61">
        <w:rPr>
          <w:rFonts w:ascii="Book Antiqua" w:hAnsi="Book Antiqua" w:cs="Arial"/>
        </w:rPr>
        <w:t>For the Appellant:</w:t>
      </w:r>
      <w:r w:rsidRPr="00945E61">
        <w:rPr>
          <w:rFonts w:ascii="Book Antiqua" w:hAnsi="Book Antiqua" w:cs="Arial"/>
        </w:rPr>
        <w:tab/>
      </w:r>
      <w:r w:rsidR="0010203D" w:rsidRPr="00945E61">
        <w:rPr>
          <w:rFonts w:ascii="Book Antiqua" w:hAnsi="Book Antiqua" w:cs="Arial"/>
        </w:rPr>
        <w:t xml:space="preserve">Mr I Jarvis, Home Office Presenting Officer </w:t>
      </w:r>
    </w:p>
    <w:p w:rsidR="00DE7DB7" w:rsidRPr="00945E61" w:rsidRDefault="00DE7DB7" w:rsidP="00DE7DB7">
      <w:pPr>
        <w:tabs>
          <w:tab w:val="left" w:pos="2520"/>
        </w:tabs>
        <w:rPr>
          <w:rFonts w:ascii="Book Antiqua" w:hAnsi="Book Antiqua" w:cs="Arial"/>
        </w:rPr>
      </w:pPr>
      <w:r w:rsidRPr="00945E61">
        <w:rPr>
          <w:rFonts w:ascii="Book Antiqua" w:hAnsi="Book Antiqua" w:cs="Arial"/>
        </w:rPr>
        <w:t>For the Respondent:</w:t>
      </w:r>
      <w:r w:rsidRPr="00945E61">
        <w:rPr>
          <w:rFonts w:ascii="Book Antiqua" w:hAnsi="Book Antiqua" w:cs="Arial"/>
        </w:rPr>
        <w:tab/>
      </w:r>
      <w:r w:rsidR="00A00212" w:rsidRPr="00945E61">
        <w:rPr>
          <w:rFonts w:ascii="Book Antiqua" w:hAnsi="Book Antiqua" w:cs="Arial"/>
        </w:rPr>
        <w:t xml:space="preserve">The Respondent appeared in </w:t>
      </w:r>
      <w:r w:rsidR="0010203D" w:rsidRPr="00945E61">
        <w:rPr>
          <w:rFonts w:ascii="Book Antiqua" w:hAnsi="Book Antiqua" w:cs="Arial"/>
        </w:rPr>
        <w:t>person</w:t>
      </w:r>
    </w:p>
    <w:p w:rsidR="00DE7DB7" w:rsidRPr="00945E61" w:rsidRDefault="009F14B8" w:rsidP="00A00212">
      <w:pPr>
        <w:tabs>
          <w:tab w:val="left" w:pos="2520"/>
        </w:tabs>
        <w:spacing w:before="100" w:beforeAutospacing="1" w:after="100" w:afterAutospacing="1"/>
        <w:jc w:val="center"/>
        <w:rPr>
          <w:rFonts w:ascii="Book Antiqua" w:hAnsi="Book Antiqua" w:cs="Arial"/>
          <w:sz w:val="28"/>
          <w:szCs w:val="28"/>
        </w:rPr>
      </w:pPr>
      <w:r w:rsidRPr="00945E61">
        <w:rPr>
          <w:rFonts w:ascii="Book Antiqua" w:hAnsi="Book Antiqua" w:cs="Arial"/>
          <w:b/>
          <w:sz w:val="28"/>
          <w:szCs w:val="28"/>
          <w:u w:val="single"/>
        </w:rPr>
        <w:t xml:space="preserve">DECISION </w:t>
      </w:r>
      <w:r w:rsidR="00402B9E" w:rsidRPr="00945E61">
        <w:rPr>
          <w:rFonts w:ascii="Book Antiqua" w:hAnsi="Book Antiqua" w:cs="Arial"/>
          <w:b/>
          <w:sz w:val="28"/>
          <w:szCs w:val="28"/>
          <w:u w:val="single"/>
        </w:rPr>
        <w:t>AND REASONS</w:t>
      </w:r>
    </w:p>
    <w:p w:rsidR="00A00212" w:rsidRPr="00945E61" w:rsidRDefault="00A00212" w:rsidP="00A00212">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Pursuant to rule 14 of the Tribunal Procedure (Upper Tribunal) Rules 2008 I make an order prohibiting the disclosure or publication of any matter likely to lead members of the public to identify the </w:t>
      </w:r>
      <w:r w:rsidR="00C2447F" w:rsidRPr="00945E61">
        <w:rPr>
          <w:rFonts w:ascii="Book Antiqua" w:hAnsi="Book Antiqua" w:cs="Arial"/>
        </w:rPr>
        <w:t>R</w:t>
      </w:r>
      <w:r w:rsidRPr="00945E61">
        <w:rPr>
          <w:rFonts w:ascii="Book Antiqua" w:hAnsi="Book Antiqua" w:cs="Arial"/>
        </w:rPr>
        <w:t>espondent. Breach of this order can be punished as a contempt of court. I make this order because</w:t>
      </w:r>
      <w:r w:rsidR="00C2447F" w:rsidRPr="00945E61">
        <w:rPr>
          <w:rFonts w:ascii="Book Antiqua" w:hAnsi="Book Antiqua" w:cs="Arial"/>
        </w:rPr>
        <w:t>, although not apparent from this Decision,</w:t>
      </w:r>
      <w:r w:rsidRPr="00945E61">
        <w:rPr>
          <w:rFonts w:ascii="Book Antiqua" w:hAnsi="Book Antiqua" w:cs="Arial"/>
        </w:rPr>
        <w:t xml:space="preserve"> this is a protection case and there is invariably a risk in cases of this kind that publicity will itself create a risk.</w:t>
      </w:r>
    </w:p>
    <w:p w:rsidR="00B407CF" w:rsidRPr="00945E61" w:rsidRDefault="0010203D" w:rsidP="00B407CF">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This is an appeal by the Secretary of State against </w:t>
      </w:r>
      <w:r w:rsidR="00537B53" w:rsidRPr="00945E61">
        <w:rPr>
          <w:rFonts w:ascii="Book Antiqua" w:hAnsi="Book Antiqua" w:cs="Arial"/>
        </w:rPr>
        <w:t>a</w:t>
      </w:r>
      <w:r w:rsidRPr="00945E61">
        <w:rPr>
          <w:rFonts w:ascii="Book Antiqua" w:hAnsi="Book Antiqua" w:cs="Arial"/>
        </w:rPr>
        <w:t xml:space="preserve"> decision of the First-tier Tribunal allowing on human rights grounds the appeal of the </w:t>
      </w:r>
      <w:r w:rsidR="00A00212" w:rsidRPr="00945E61">
        <w:rPr>
          <w:rFonts w:ascii="Book Antiqua" w:hAnsi="Book Antiqua" w:cs="Arial"/>
        </w:rPr>
        <w:t>R</w:t>
      </w:r>
      <w:r w:rsidRPr="00945E61">
        <w:rPr>
          <w:rFonts w:ascii="Book Antiqua" w:hAnsi="Book Antiqua" w:cs="Arial"/>
        </w:rPr>
        <w:t xml:space="preserve">espondent, hereinafter </w:t>
      </w:r>
      <w:r w:rsidR="00A00212" w:rsidRPr="00945E61">
        <w:rPr>
          <w:rFonts w:ascii="Book Antiqua" w:hAnsi="Book Antiqua" w:cs="Arial"/>
        </w:rPr>
        <w:t>“</w:t>
      </w:r>
      <w:r w:rsidRPr="00945E61">
        <w:rPr>
          <w:rFonts w:ascii="Book Antiqua" w:hAnsi="Book Antiqua" w:cs="Arial"/>
        </w:rPr>
        <w:t xml:space="preserve">the </w:t>
      </w:r>
      <w:r w:rsidR="00F431A7" w:rsidRPr="00945E61">
        <w:rPr>
          <w:rFonts w:ascii="Book Antiqua" w:hAnsi="Book Antiqua" w:cs="Arial"/>
        </w:rPr>
        <w:lastRenderedPageBreak/>
        <w:t>C</w:t>
      </w:r>
      <w:r w:rsidRPr="00945E61">
        <w:rPr>
          <w:rFonts w:ascii="Book Antiqua" w:hAnsi="Book Antiqua" w:cs="Arial"/>
        </w:rPr>
        <w:t>laimant</w:t>
      </w:r>
      <w:r w:rsidR="00A00212" w:rsidRPr="00945E61">
        <w:rPr>
          <w:rFonts w:ascii="Book Antiqua" w:hAnsi="Book Antiqua" w:cs="Arial"/>
        </w:rPr>
        <w:t>”</w:t>
      </w:r>
      <w:r w:rsidRPr="00945E61">
        <w:rPr>
          <w:rFonts w:ascii="Book Antiqua" w:hAnsi="Book Antiqua" w:cs="Arial"/>
        </w:rPr>
        <w:t>, against the decision of the Secretary of State refusing him leave to remain on asylum and human rights grounds.</w:t>
      </w:r>
    </w:p>
    <w:p w:rsidR="00B407CF" w:rsidRPr="00945E61" w:rsidRDefault="0010203D" w:rsidP="00B407CF">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I do not think it is necessary to go into the details of the decision.  The problem is that the decision to allow the appeal under Article 2 and Article 3 of the European Convention on Human Rights seems to </w:t>
      </w:r>
      <w:r w:rsidR="00537B53" w:rsidRPr="00945E61">
        <w:rPr>
          <w:rFonts w:ascii="Book Antiqua" w:hAnsi="Book Antiqua" w:cs="Arial"/>
        </w:rPr>
        <w:t>b</w:t>
      </w:r>
      <w:r w:rsidRPr="00945E61">
        <w:rPr>
          <w:rFonts w:ascii="Book Antiqua" w:hAnsi="Book Antiqua" w:cs="Arial"/>
        </w:rPr>
        <w:t xml:space="preserve">e wholly anachronistic and contrary to the clear indication given by the judge when he dismissed the appeal on asylum grounds.  I can see no </w:t>
      </w:r>
      <w:r w:rsidR="000B1635" w:rsidRPr="00945E61">
        <w:rPr>
          <w:rFonts w:ascii="Book Antiqua" w:hAnsi="Book Antiqua" w:cs="Arial"/>
        </w:rPr>
        <w:t xml:space="preserve">possible </w:t>
      </w:r>
      <w:r w:rsidRPr="00945E61">
        <w:rPr>
          <w:rFonts w:ascii="Book Antiqua" w:hAnsi="Book Antiqua" w:cs="Arial"/>
        </w:rPr>
        <w:t xml:space="preserve">basis whatsoever on which the judge could have intended the allow </w:t>
      </w:r>
      <w:r w:rsidR="00A00212" w:rsidRPr="00945E61">
        <w:rPr>
          <w:rFonts w:ascii="Book Antiqua" w:hAnsi="Book Antiqua" w:cs="Arial"/>
        </w:rPr>
        <w:t xml:space="preserve">the appeal with reference to </w:t>
      </w:r>
      <w:r w:rsidRPr="00945E61">
        <w:rPr>
          <w:rFonts w:ascii="Book Antiqua" w:hAnsi="Book Antiqua" w:cs="Arial"/>
        </w:rPr>
        <w:t>Article 2 and Article 3.</w:t>
      </w:r>
    </w:p>
    <w:p w:rsidR="003E3507" w:rsidRPr="00945E61" w:rsidRDefault="003E3507" w:rsidP="003E3507">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The </w:t>
      </w:r>
      <w:r w:rsidR="00AA7D62" w:rsidRPr="00945E61">
        <w:rPr>
          <w:rFonts w:ascii="Book Antiqua" w:hAnsi="Book Antiqua" w:cs="Arial"/>
        </w:rPr>
        <w:t>C</w:t>
      </w:r>
      <w:r w:rsidRPr="00945E61">
        <w:rPr>
          <w:rFonts w:ascii="Book Antiqua" w:hAnsi="Book Antiqua" w:cs="Arial"/>
        </w:rPr>
        <w:t xml:space="preserve">laimant </w:t>
      </w:r>
      <w:r w:rsidR="0010203D" w:rsidRPr="00945E61">
        <w:rPr>
          <w:rFonts w:ascii="Book Antiqua" w:hAnsi="Book Antiqua" w:cs="Arial"/>
        </w:rPr>
        <w:t>has conducted himself throughout these proceedings with considerable thought and dignity and he made no effort to persuade me that the judge meant to allow t</w:t>
      </w:r>
      <w:r w:rsidRPr="00945E61">
        <w:rPr>
          <w:rFonts w:ascii="Book Antiqua" w:hAnsi="Book Antiqua" w:cs="Arial"/>
        </w:rPr>
        <w:t>he appeal</w:t>
      </w:r>
      <w:r w:rsidR="0010203D" w:rsidRPr="00945E61">
        <w:rPr>
          <w:rFonts w:ascii="Book Antiqua" w:hAnsi="Book Antiqua" w:cs="Arial"/>
        </w:rPr>
        <w:t xml:space="preserve"> even though that is what the judge said.  It follows therefore that this is an unsatisfactory decision.</w:t>
      </w:r>
    </w:p>
    <w:p w:rsidR="000B7AE2" w:rsidRPr="00945E61" w:rsidRDefault="0010203D" w:rsidP="000B7AE2">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I have to consider if the proper thing to do would be to follow the judge’s findings and dismiss the appeal on human rights grounds.  However, Mr Phiri, who represented himself in the First-tier Tribunal, has produced a detailed statement and has explained </w:t>
      </w:r>
      <w:r w:rsidR="000B7AE2" w:rsidRPr="00945E61">
        <w:rPr>
          <w:rFonts w:ascii="Book Antiqua" w:hAnsi="Book Antiqua" w:cs="Arial"/>
        </w:rPr>
        <w:t xml:space="preserve">what </w:t>
      </w:r>
      <w:r w:rsidRPr="00945E61">
        <w:rPr>
          <w:rFonts w:ascii="Book Antiqua" w:hAnsi="Book Antiqua" w:cs="Arial"/>
        </w:rPr>
        <w:t>happened in the First-tier Tribunal.  He says in short</w:t>
      </w:r>
      <w:r w:rsidR="000B1635" w:rsidRPr="00945E61">
        <w:rPr>
          <w:rFonts w:ascii="Book Antiqua" w:hAnsi="Book Antiqua" w:cs="Arial"/>
        </w:rPr>
        <w:t>,</w:t>
      </w:r>
      <w:r w:rsidRPr="00945E61">
        <w:rPr>
          <w:rFonts w:ascii="Book Antiqua" w:hAnsi="Book Antiqua" w:cs="Arial"/>
        </w:rPr>
        <w:t xml:space="preserve"> and I am paraphrasing things a little</w:t>
      </w:r>
      <w:r w:rsidR="00A00212" w:rsidRPr="00945E61">
        <w:rPr>
          <w:rFonts w:ascii="Book Antiqua" w:hAnsi="Book Antiqua" w:cs="Arial"/>
        </w:rPr>
        <w:t>,</w:t>
      </w:r>
      <w:r w:rsidRPr="00945E61">
        <w:rPr>
          <w:rFonts w:ascii="Book Antiqua" w:hAnsi="Book Antiqua" w:cs="Arial"/>
        </w:rPr>
        <w:t xml:space="preserve"> so I hope I will be excused any inaccuracies, that he expected to be represented before the First-tier Tribunal, that he was let down at the last minute and asked for an adjournment but the </w:t>
      </w:r>
      <w:r w:rsidR="00A00212" w:rsidRPr="00945E61">
        <w:rPr>
          <w:rFonts w:ascii="Book Antiqua" w:hAnsi="Book Antiqua" w:cs="Arial"/>
        </w:rPr>
        <w:t>J</w:t>
      </w:r>
      <w:r w:rsidRPr="00945E61">
        <w:rPr>
          <w:rFonts w:ascii="Book Antiqua" w:hAnsi="Book Antiqua" w:cs="Arial"/>
        </w:rPr>
        <w:t>udge insisted the case went ahead.</w:t>
      </w:r>
    </w:p>
    <w:p w:rsidR="006F6EE6" w:rsidRPr="00945E61" w:rsidRDefault="0010203D" w:rsidP="006F6EE6">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The </w:t>
      </w:r>
      <w:r w:rsidR="00A00212" w:rsidRPr="00945E61">
        <w:rPr>
          <w:rFonts w:ascii="Book Antiqua" w:hAnsi="Book Antiqua" w:cs="Arial"/>
        </w:rPr>
        <w:t>J</w:t>
      </w:r>
      <w:r w:rsidRPr="00945E61">
        <w:rPr>
          <w:rFonts w:ascii="Book Antiqua" w:hAnsi="Book Antiqua" w:cs="Arial"/>
        </w:rPr>
        <w:t xml:space="preserve">udge did not record in the decision that he had been asked to adjourn the appeal but the papers were sent back to the </w:t>
      </w:r>
      <w:r w:rsidR="00A00212" w:rsidRPr="00945E61">
        <w:rPr>
          <w:rFonts w:ascii="Book Antiqua" w:hAnsi="Book Antiqua" w:cs="Arial"/>
        </w:rPr>
        <w:t>J</w:t>
      </w:r>
      <w:r w:rsidRPr="00945E61">
        <w:rPr>
          <w:rFonts w:ascii="Book Antiqua" w:hAnsi="Book Antiqua" w:cs="Arial"/>
        </w:rPr>
        <w:t xml:space="preserve">udge to comment in the light of </w:t>
      </w:r>
      <w:r w:rsidR="000B7AE2" w:rsidRPr="00945E61">
        <w:rPr>
          <w:rFonts w:ascii="Book Antiqua" w:hAnsi="Book Antiqua" w:cs="Arial"/>
        </w:rPr>
        <w:t>the Claimant</w:t>
      </w:r>
      <w:r w:rsidR="006F6EE6" w:rsidRPr="00945E61">
        <w:rPr>
          <w:rFonts w:ascii="Book Antiqua" w:hAnsi="Book Antiqua" w:cs="Arial"/>
        </w:rPr>
        <w:t>’</w:t>
      </w:r>
      <w:r w:rsidRPr="00945E61">
        <w:rPr>
          <w:rFonts w:ascii="Book Antiqua" w:hAnsi="Book Antiqua" w:cs="Arial"/>
        </w:rPr>
        <w:t xml:space="preserve">s suggestion and there was no reply.  I have no evidence to go behind </w:t>
      </w:r>
      <w:r w:rsidR="006F6EE6" w:rsidRPr="00945E61">
        <w:rPr>
          <w:rFonts w:ascii="Book Antiqua" w:hAnsi="Book Antiqua" w:cs="Arial"/>
        </w:rPr>
        <w:t>the Claimant</w:t>
      </w:r>
      <w:r w:rsidRPr="00945E61">
        <w:rPr>
          <w:rFonts w:ascii="Book Antiqua" w:hAnsi="Book Antiqua" w:cs="Arial"/>
        </w:rPr>
        <w:t xml:space="preserve">’s </w:t>
      </w:r>
      <w:r w:rsidR="00A00212" w:rsidRPr="00945E61">
        <w:rPr>
          <w:rFonts w:ascii="Book Antiqua" w:hAnsi="Book Antiqua" w:cs="Arial"/>
        </w:rPr>
        <w:t xml:space="preserve">contention </w:t>
      </w:r>
      <w:r w:rsidRPr="00945E61">
        <w:rPr>
          <w:rFonts w:ascii="Book Antiqua" w:hAnsi="Book Antiqua" w:cs="Arial"/>
        </w:rPr>
        <w:t xml:space="preserve">that he asked for an adjournment and the fact that </w:t>
      </w:r>
      <w:r w:rsidR="00A00212" w:rsidRPr="00945E61">
        <w:rPr>
          <w:rFonts w:ascii="Book Antiqua" w:hAnsi="Book Antiqua" w:cs="Arial"/>
        </w:rPr>
        <w:t xml:space="preserve">that application </w:t>
      </w:r>
      <w:r w:rsidRPr="00945E61">
        <w:rPr>
          <w:rFonts w:ascii="Book Antiqua" w:hAnsi="Book Antiqua" w:cs="Arial"/>
        </w:rPr>
        <w:t xml:space="preserve">was not recorded was at best unfortunate.  </w:t>
      </w:r>
      <w:r w:rsidR="006F6EE6" w:rsidRPr="00945E61">
        <w:rPr>
          <w:rFonts w:ascii="Book Antiqua" w:hAnsi="Book Antiqua" w:cs="Arial"/>
        </w:rPr>
        <w:t xml:space="preserve">The Claimant </w:t>
      </w:r>
      <w:r w:rsidRPr="00945E61">
        <w:rPr>
          <w:rFonts w:ascii="Book Antiqua" w:hAnsi="Book Antiqua" w:cs="Arial"/>
        </w:rPr>
        <w:t xml:space="preserve">says that he was not expecting to have to present his appeal and he did not present his appeal as well as he should have done because he was rather unsettled by discovering at short notice he had to present his appeal.  </w:t>
      </w:r>
      <w:r w:rsidR="00A00212" w:rsidRPr="00945E61">
        <w:rPr>
          <w:rFonts w:ascii="Book Antiqua" w:hAnsi="Book Antiqua" w:cs="Arial"/>
        </w:rPr>
        <w:t xml:space="preserve">Such </w:t>
      </w:r>
      <w:r w:rsidRPr="00945E61">
        <w:rPr>
          <w:rFonts w:ascii="Book Antiqua" w:hAnsi="Book Antiqua" w:cs="Arial"/>
        </w:rPr>
        <w:t xml:space="preserve">arguments are not necessarily particularly persuasive but I am satisfied that </w:t>
      </w:r>
      <w:r w:rsidR="00A00212" w:rsidRPr="00945E61">
        <w:rPr>
          <w:rFonts w:ascii="Book Antiqua" w:hAnsi="Book Antiqua" w:cs="Arial"/>
        </w:rPr>
        <w:t xml:space="preserve">that is what </w:t>
      </w:r>
      <w:r w:rsidRPr="00945E61">
        <w:rPr>
          <w:rFonts w:ascii="Book Antiqua" w:hAnsi="Book Antiqua" w:cs="Arial"/>
        </w:rPr>
        <w:t>happened here</w:t>
      </w:r>
      <w:r w:rsidR="006F6EE6" w:rsidRPr="00945E61">
        <w:rPr>
          <w:rFonts w:ascii="Book Antiqua" w:hAnsi="Book Antiqua" w:cs="Arial"/>
        </w:rPr>
        <w:t>.</w:t>
      </w:r>
    </w:p>
    <w:p w:rsidR="00585D71" w:rsidRPr="00945E61" w:rsidRDefault="0010203D" w:rsidP="00585D71">
      <w:pPr>
        <w:numPr>
          <w:ilvl w:val="0"/>
          <w:numId w:val="3"/>
        </w:numPr>
        <w:tabs>
          <w:tab w:val="left" w:pos="0"/>
        </w:tabs>
        <w:spacing w:before="120"/>
        <w:jc w:val="both"/>
        <w:rPr>
          <w:rFonts w:ascii="Book Antiqua" w:hAnsi="Book Antiqua" w:cs="Arial"/>
        </w:rPr>
      </w:pPr>
      <w:r w:rsidRPr="00945E61">
        <w:rPr>
          <w:rFonts w:ascii="Book Antiqua" w:hAnsi="Book Antiqua" w:cs="Arial"/>
        </w:rPr>
        <w:t xml:space="preserve">There is another element of this case that I find disturbing.  </w:t>
      </w:r>
      <w:r w:rsidR="000B1635" w:rsidRPr="00945E61">
        <w:rPr>
          <w:rFonts w:ascii="Book Antiqua" w:hAnsi="Book Antiqua" w:cs="Arial"/>
        </w:rPr>
        <w:t>I</w:t>
      </w:r>
      <w:r w:rsidRPr="00945E61">
        <w:rPr>
          <w:rFonts w:ascii="Book Antiqua" w:hAnsi="Book Antiqua" w:cs="Arial"/>
        </w:rPr>
        <w:t xml:space="preserve">n </w:t>
      </w:r>
      <w:r w:rsidR="00F317A3" w:rsidRPr="00945E61">
        <w:rPr>
          <w:rFonts w:ascii="Book Antiqua" w:hAnsi="Book Antiqua" w:cs="Arial"/>
        </w:rPr>
        <w:t xml:space="preserve">paragraph 2 </w:t>
      </w:r>
      <w:r w:rsidR="00A00212" w:rsidRPr="00945E61">
        <w:rPr>
          <w:rFonts w:ascii="Book Antiqua" w:hAnsi="Book Antiqua" w:cs="Arial"/>
        </w:rPr>
        <w:t xml:space="preserve">of the Decision and Reason </w:t>
      </w:r>
      <w:r w:rsidR="00F317A3" w:rsidRPr="00945E61">
        <w:rPr>
          <w:rFonts w:ascii="Book Antiqua" w:hAnsi="Book Antiqua" w:cs="Arial"/>
        </w:rPr>
        <w:t xml:space="preserve">the </w:t>
      </w:r>
      <w:r w:rsidR="00A00212" w:rsidRPr="00945E61">
        <w:rPr>
          <w:rFonts w:ascii="Book Antiqua" w:hAnsi="Book Antiqua" w:cs="Arial"/>
        </w:rPr>
        <w:t>J</w:t>
      </w:r>
      <w:r w:rsidR="00F317A3" w:rsidRPr="00945E61">
        <w:rPr>
          <w:rFonts w:ascii="Book Antiqua" w:hAnsi="Book Antiqua" w:cs="Arial"/>
        </w:rPr>
        <w:t xml:space="preserve">udge refers to the </w:t>
      </w:r>
      <w:r w:rsidR="006F6EE6" w:rsidRPr="00945E61">
        <w:rPr>
          <w:rFonts w:ascii="Book Antiqua" w:hAnsi="Book Antiqua" w:cs="Arial"/>
        </w:rPr>
        <w:t>C</w:t>
      </w:r>
      <w:r w:rsidR="00A00212" w:rsidRPr="00945E61">
        <w:rPr>
          <w:rFonts w:ascii="Book Antiqua" w:hAnsi="Book Antiqua" w:cs="Arial"/>
        </w:rPr>
        <w:t>laim</w:t>
      </w:r>
      <w:r w:rsidR="00F317A3" w:rsidRPr="00945E61">
        <w:rPr>
          <w:rFonts w:ascii="Book Antiqua" w:hAnsi="Book Antiqua" w:cs="Arial"/>
        </w:rPr>
        <w:t xml:space="preserve">ant in the female gender. I do not think this is anything other than </w:t>
      </w:r>
      <w:r w:rsidR="000B1635" w:rsidRPr="00945E61">
        <w:rPr>
          <w:rFonts w:ascii="Book Antiqua" w:hAnsi="Book Antiqua" w:cs="Arial"/>
        </w:rPr>
        <w:t>the</w:t>
      </w:r>
      <w:r w:rsidR="00F317A3" w:rsidRPr="00945E61">
        <w:rPr>
          <w:rFonts w:ascii="Book Antiqua" w:hAnsi="Book Antiqua" w:cs="Arial"/>
        </w:rPr>
        <w:t xml:space="preserve"> </w:t>
      </w:r>
      <w:r w:rsidR="00585D71" w:rsidRPr="00945E61">
        <w:rPr>
          <w:rFonts w:ascii="Book Antiqua" w:hAnsi="Book Antiqua" w:cs="Arial"/>
        </w:rPr>
        <w:t xml:space="preserve">thoughtless </w:t>
      </w:r>
      <w:r w:rsidR="00F317A3" w:rsidRPr="00945E61">
        <w:rPr>
          <w:rFonts w:ascii="Book Antiqua" w:hAnsi="Book Antiqua" w:cs="Arial"/>
        </w:rPr>
        <w:t xml:space="preserve">use of </w:t>
      </w:r>
      <w:r w:rsidR="000B1635" w:rsidRPr="00945E61">
        <w:rPr>
          <w:rFonts w:ascii="Book Antiqua" w:hAnsi="Book Antiqua" w:cs="Arial"/>
        </w:rPr>
        <w:t>a</w:t>
      </w:r>
      <w:r w:rsidR="00F317A3" w:rsidRPr="00945E61">
        <w:rPr>
          <w:rFonts w:ascii="Book Antiqua" w:hAnsi="Book Antiqua" w:cs="Arial"/>
        </w:rPr>
        <w:t xml:space="preserve"> standard paragraph but it is very undesirable to make a mistake like that</w:t>
      </w:r>
      <w:r w:rsidR="00585D71" w:rsidRPr="00945E61">
        <w:rPr>
          <w:rFonts w:ascii="Book Antiqua" w:hAnsi="Book Antiqua" w:cs="Arial"/>
        </w:rPr>
        <w:t>,</w:t>
      </w:r>
      <w:r w:rsidR="00F317A3" w:rsidRPr="00945E61">
        <w:rPr>
          <w:rFonts w:ascii="Book Antiqua" w:hAnsi="Book Antiqua" w:cs="Arial"/>
        </w:rPr>
        <w:t xml:space="preserve"> particularly given the core nature of the </w:t>
      </w:r>
      <w:r w:rsidR="00585D71" w:rsidRPr="00945E61">
        <w:rPr>
          <w:rFonts w:ascii="Book Antiqua" w:hAnsi="Book Antiqua" w:cs="Arial"/>
        </w:rPr>
        <w:t>C</w:t>
      </w:r>
      <w:r w:rsidR="00A00212" w:rsidRPr="00945E61">
        <w:rPr>
          <w:rFonts w:ascii="Book Antiqua" w:hAnsi="Book Antiqua" w:cs="Arial"/>
        </w:rPr>
        <w:t>laimant’</w:t>
      </w:r>
      <w:r w:rsidR="00F317A3" w:rsidRPr="00945E61">
        <w:rPr>
          <w:rFonts w:ascii="Book Antiqua" w:hAnsi="Book Antiqua" w:cs="Arial"/>
        </w:rPr>
        <w:t xml:space="preserve">s case.  I apologise to the </w:t>
      </w:r>
      <w:r w:rsidR="00585D71" w:rsidRPr="00945E61">
        <w:rPr>
          <w:rFonts w:ascii="Book Antiqua" w:hAnsi="Book Antiqua" w:cs="Arial"/>
        </w:rPr>
        <w:t>C</w:t>
      </w:r>
      <w:r w:rsidR="00F317A3" w:rsidRPr="00945E61">
        <w:rPr>
          <w:rFonts w:ascii="Book Antiqua" w:hAnsi="Book Antiqua" w:cs="Arial"/>
        </w:rPr>
        <w:t xml:space="preserve">laimant for that mistake being made, I </w:t>
      </w:r>
      <w:r w:rsidR="000B1635" w:rsidRPr="00945E61">
        <w:rPr>
          <w:rFonts w:ascii="Book Antiqua" w:hAnsi="Book Antiqua" w:cs="Arial"/>
        </w:rPr>
        <w:t xml:space="preserve">do not </w:t>
      </w:r>
      <w:r w:rsidR="00F317A3" w:rsidRPr="00945E61">
        <w:rPr>
          <w:rFonts w:ascii="Book Antiqua" w:hAnsi="Book Antiqua" w:cs="Arial"/>
        </w:rPr>
        <w:t xml:space="preserve">think it </w:t>
      </w:r>
      <w:r w:rsidR="00A00212" w:rsidRPr="00945E61">
        <w:rPr>
          <w:rFonts w:ascii="Book Antiqua" w:hAnsi="Book Antiqua" w:cs="Arial"/>
        </w:rPr>
        <w:t xml:space="preserve">arises from </w:t>
      </w:r>
      <w:r w:rsidR="00F317A3" w:rsidRPr="00945E61">
        <w:rPr>
          <w:rFonts w:ascii="Book Antiqua" w:hAnsi="Book Antiqua" w:cs="Arial"/>
        </w:rPr>
        <w:t>anything other than carelessness but I really wish it had not happened.</w:t>
      </w:r>
    </w:p>
    <w:p w:rsidR="00BF23BB" w:rsidRPr="00945E61" w:rsidRDefault="000B6B6C" w:rsidP="00585D71">
      <w:pPr>
        <w:numPr>
          <w:ilvl w:val="0"/>
          <w:numId w:val="3"/>
        </w:numPr>
        <w:tabs>
          <w:tab w:val="left" w:pos="0"/>
        </w:tabs>
        <w:spacing w:before="120"/>
        <w:jc w:val="both"/>
        <w:rPr>
          <w:rFonts w:ascii="Book Antiqua" w:hAnsi="Book Antiqua" w:cs="Arial"/>
        </w:rPr>
      </w:pPr>
      <w:r w:rsidRPr="00945E61">
        <w:rPr>
          <w:rFonts w:ascii="Book Antiqua" w:hAnsi="Book Antiqua" w:cs="Arial"/>
          <w:noProof/>
        </w:rPr>
        <w:drawing>
          <wp:anchor distT="0" distB="0" distL="114300" distR="114300" simplePos="0" relativeHeight="251659264" behindDoc="1" locked="0" layoutInCell="1" allowOverlap="1" wp14:anchorId="61ADE294" wp14:editId="5D636D9F">
            <wp:simplePos x="0" y="0"/>
            <wp:positionH relativeFrom="column">
              <wp:posOffset>1949923</wp:posOffset>
            </wp:positionH>
            <wp:positionV relativeFrom="paragraph">
              <wp:posOffset>521551</wp:posOffset>
            </wp:positionV>
            <wp:extent cx="2923161" cy="1651749"/>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42000" contrast="66000"/>
                      <a:extLst>
                        <a:ext uri="{28A0092B-C50C-407E-A947-70E740481C1C}">
                          <a14:useLocalDpi xmlns:a14="http://schemas.microsoft.com/office/drawing/2010/main" val="0"/>
                        </a:ext>
                      </a:extLst>
                    </a:blip>
                    <a:srcRect/>
                    <a:stretch>
                      <a:fillRect/>
                    </a:stretch>
                  </pic:blipFill>
                  <pic:spPr bwMode="auto">
                    <a:xfrm>
                      <a:off x="0" y="0"/>
                      <a:ext cx="2923161" cy="1651749"/>
                    </a:xfrm>
                    <a:prstGeom prst="rect">
                      <a:avLst/>
                    </a:prstGeom>
                    <a:noFill/>
                  </pic:spPr>
                </pic:pic>
              </a:graphicData>
            </a:graphic>
            <wp14:sizeRelH relativeFrom="page">
              <wp14:pctWidth>0</wp14:pctWidth>
            </wp14:sizeRelH>
            <wp14:sizeRelV relativeFrom="page">
              <wp14:pctHeight>0</wp14:pctHeight>
            </wp14:sizeRelV>
          </wp:anchor>
        </w:drawing>
      </w:r>
      <w:r w:rsidR="00F317A3" w:rsidRPr="00945E61">
        <w:rPr>
          <w:rFonts w:ascii="Book Antiqua" w:hAnsi="Book Antiqua" w:cs="Arial"/>
        </w:rPr>
        <w:t>In the circumstances I set aside the decision in its entirety and I direct the case be heard again</w:t>
      </w:r>
      <w:r w:rsidR="00A76D2F" w:rsidRPr="00945E61">
        <w:rPr>
          <w:rFonts w:ascii="Book Antiqua" w:hAnsi="Book Antiqua" w:cs="Arial"/>
        </w:rPr>
        <w:t xml:space="preserve"> in the First-tier Tribunal</w:t>
      </w:r>
      <w:r w:rsidR="00F317A3" w:rsidRPr="00945E61">
        <w:rPr>
          <w:rFonts w:ascii="Book Antiqua" w:hAnsi="Book Antiqua" w:cs="Arial"/>
        </w:rPr>
        <w:t xml:space="preserve">.  There is no way this </w:t>
      </w:r>
      <w:r w:rsidR="000B1635" w:rsidRPr="00945E61">
        <w:rPr>
          <w:rFonts w:ascii="Book Antiqua" w:hAnsi="Book Antiqua" w:cs="Arial"/>
        </w:rPr>
        <w:t>can</w:t>
      </w:r>
      <w:r w:rsidR="00F317A3" w:rsidRPr="00945E61">
        <w:rPr>
          <w:rFonts w:ascii="Book Antiqua" w:hAnsi="Book Antiqua" w:cs="Arial"/>
        </w:rPr>
        <w:t xml:space="preserve"> be salvaged.  </w:t>
      </w:r>
      <w:r w:rsidR="00A00212" w:rsidRPr="00945E61">
        <w:rPr>
          <w:rFonts w:ascii="Book Antiqua" w:hAnsi="Book Antiqua" w:cs="Arial"/>
        </w:rPr>
        <w:t xml:space="preserve">There has been no proper hearing and the appeal </w:t>
      </w:r>
      <w:r w:rsidR="00F317A3" w:rsidRPr="00945E61">
        <w:rPr>
          <w:rFonts w:ascii="Book Antiqua" w:hAnsi="Book Antiqua" w:cs="Arial"/>
        </w:rPr>
        <w:t>needs to be reheard</w:t>
      </w:r>
      <w:r w:rsidR="00A00212" w:rsidRPr="00945E61">
        <w:rPr>
          <w:rFonts w:ascii="Book Antiqua" w:hAnsi="Book Antiqua" w:cs="Arial"/>
        </w:rPr>
        <w:t xml:space="preserve"> before a different judge</w:t>
      </w:r>
      <w:r w:rsidR="00F317A3" w:rsidRPr="00945E61">
        <w:rPr>
          <w:rFonts w:ascii="Book Antiqua" w:hAnsi="Book Antiqua" w:cs="Arial"/>
        </w:rPr>
        <w:t xml:space="preserve">.   </w:t>
      </w:r>
      <w:r w:rsidR="0010203D" w:rsidRPr="00945E61">
        <w:rPr>
          <w:rFonts w:ascii="Book Antiqua" w:hAnsi="Book Antiqua" w:cs="Arial"/>
        </w:rPr>
        <w:t xml:space="preserve">    </w:t>
      </w:r>
    </w:p>
    <w:p w:rsidR="009F14B8" w:rsidRPr="00945E61" w:rsidRDefault="009F14B8" w:rsidP="00A00212">
      <w:pPr>
        <w:spacing w:before="120"/>
        <w:jc w:val="both"/>
        <w:rPr>
          <w:rFonts w:ascii="Book Antiqua" w:hAnsi="Book Antiqua" w:cs="Arial"/>
          <w:b/>
          <w:highlight w:val="yellow"/>
          <w:u w:val="single"/>
        </w:rPr>
      </w:pPr>
    </w:p>
    <w:p w:rsidR="00386E3B" w:rsidRPr="00945E61" w:rsidRDefault="00386E3B" w:rsidP="00DB7BA6">
      <w:pPr>
        <w:spacing w:before="120"/>
        <w:ind w:left="3"/>
        <w:jc w:val="both"/>
        <w:rPr>
          <w:rFonts w:ascii="Book Antiqua" w:hAnsi="Book Antiqua" w:cs="Arial"/>
        </w:rPr>
      </w:pPr>
    </w:p>
    <w:p w:rsidR="00386E3B" w:rsidRPr="00945E61" w:rsidRDefault="00386E3B" w:rsidP="00B70099">
      <w:pPr>
        <w:tabs>
          <w:tab w:val="left" w:pos="0"/>
        </w:tabs>
        <w:spacing w:before="120"/>
        <w:jc w:val="both"/>
        <w:rPr>
          <w:rFonts w:ascii="Book Antiqua" w:hAnsi="Book Antiqua" w:cs="Arial"/>
        </w:rPr>
      </w:pPr>
    </w:p>
    <w:tbl>
      <w:tblPr>
        <w:tblW w:w="9923" w:type="dxa"/>
        <w:tblInd w:w="-147" w:type="dxa"/>
        <w:tblLook w:val="04A0" w:firstRow="1" w:lastRow="0" w:firstColumn="1" w:lastColumn="0" w:noHBand="0" w:noVBand="1"/>
      </w:tblPr>
      <w:tblGrid>
        <w:gridCol w:w="4965"/>
        <w:gridCol w:w="4958"/>
      </w:tblGrid>
      <w:tr w:rsidR="00386E3B" w:rsidRPr="00945E61" w:rsidTr="000B6B6C">
        <w:tc>
          <w:tcPr>
            <w:tcW w:w="4965" w:type="dxa"/>
            <w:shd w:val="clear" w:color="auto" w:fill="auto"/>
          </w:tcPr>
          <w:p w:rsidR="00386E3B" w:rsidRPr="00945E61" w:rsidRDefault="00386E3B" w:rsidP="00DB7BA6">
            <w:pPr>
              <w:tabs>
                <w:tab w:val="left" w:pos="0"/>
              </w:tabs>
              <w:spacing w:before="120"/>
              <w:jc w:val="both"/>
              <w:rPr>
                <w:rFonts w:ascii="Book Antiqua" w:hAnsi="Book Antiqua" w:cs="Arial"/>
              </w:rPr>
            </w:pPr>
            <w:r w:rsidRPr="00945E61">
              <w:rPr>
                <w:rFonts w:ascii="Book Antiqua" w:hAnsi="Book Antiqua" w:cs="Arial"/>
              </w:rPr>
              <w:t>Signed</w:t>
            </w:r>
          </w:p>
        </w:tc>
        <w:tc>
          <w:tcPr>
            <w:tcW w:w="4958" w:type="dxa"/>
            <w:shd w:val="clear" w:color="auto" w:fill="auto"/>
          </w:tcPr>
          <w:p w:rsidR="00386E3B" w:rsidRPr="00945E61" w:rsidRDefault="00386E3B" w:rsidP="00DB7BA6">
            <w:pPr>
              <w:tabs>
                <w:tab w:val="left" w:pos="0"/>
              </w:tabs>
              <w:spacing w:before="120"/>
              <w:jc w:val="both"/>
              <w:rPr>
                <w:rFonts w:ascii="Book Antiqua" w:hAnsi="Book Antiqua" w:cs="Arial"/>
              </w:rPr>
            </w:pPr>
          </w:p>
        </w:tc>
      </w:tr>
      <w:tr w:rsidR="00386E3B" w:rsidRPr="00945E61" w:rsidTr="000B6B6C">
        <w:tc>
          <w:tcPr>
            <w:tcW w:w="4965" w:type="dxa"/>
            <w:shd w:val="clear" w:color="auto" w:fill="auto"/>
          </w:tcPr>
          <w:p w:rsidR="00386E3B" w:rsidRPr="00945E61" w:rsidRDefault="00386E3B" w:rsidP="00DB7BA6">
            <w:pPr>
              <w:tabs>
                <w:tab w:val="left" w:pos="0"/>
              </w:tabs>
              <w:spacing w:before="120"/>
              <w:jc w:val="both"/>
              <w:rPr>
                <w:rFonts w:ascii="Book Antiqua" w:hAnsi="Book Antiqua" w:cs="Arial"/>
              </w:rPr>
            </w:pPr>
            <w:r w:rsidRPr="00945E61">
              <w:rPr>
                <w:rFonts w:ascii="Book Antiqua" w:hAnsi="Book Antiqua" w:cs="Arial"/>
              </w:rPr>
              <w:t>Jonathan Perkins, Upper Tribunal Judge</w:t>
            </w:r>
          </w:p>
        </w:tc>
        <w:tc>
          <w:tcPr>
            <w:tcW w:w="4958" w:type="dxa"/>
            <w:shd w:val="clear" w:color="auto" w:fill="auto"/>
          </w:tcPr>
          <w:p w:rsidR="00386E3B" w:rsidRPr="00945E61" w:rsidRDefault="00386E3B" w:rsidP="00DB7BA6">
            <w:pPr>
              <w:tabs>
                <w:tab w:val="left" w:pos="0"/>
              </w:tabs>
              <w:spacing w:before="120"/>
              <w:jc w:val="right"/>
              <w:rPr>
                <w:rFonts w:ascii="Book Antiqua" w:hAnsi="Book Antiqua" w:cs="Arial"/>
              </w:rPr>
            </w:pPr>
            <w:r w:rsidRPr="00945E61">
              <w:rPr>
                <w:rFonts w:ascii="Book Antiqua" w:hAnsi="Book Antiqua" w:cs="Arial"/>
              </w:rPr>
              <w:t xml:space="preserve">Dated: </w:t>
            </w:r>
            <w:r w:rsidR="000B6B6C" w:rsidRPr="00945E61">
              <w:rPr>
                <w:rFonts w:ascii="Book Antiqua" w:hAnsi="Book Antiqua" w:cs="Arial"/>
              </w:rPr>
              <w:t>11 May 2018</w:t>
            </w:r>
          </w:p>
        </w:tc>
      </w:tr>
    </w:tbl>
    <w:p w:rsidR="00386E3B" w:rsidRPr="00945E61" w:rsidRDefault="00386E3B" w:rsidP="00A11D94">
      <w:pPr>
        <w:tabs>
          <w:tab w:val="left" w:pos="0"/>
        </w:tabs>
        <w:spacing w:before="120"/>
        <w:ind w:hanging="567"/>
        <w:jc w:val="both"/>
        <w:rPr>
          <w:rFonts w:ascii="Book Antiqua" w:hAnsi="Book Antiqua" w:cs="Arial"/>
        </w:rPr>
      </w:pPr>
    </w:p>
    <w:sectPr w:rsidR="00386E3B" w:rsidRPr="00945E61" w:rsidSect="00945E61">
      <w:headerReference w:type="default" r:id="rId9"/>
      <w:footerReference w:type="defaul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5C6" w:rsidRDefault="007D05C6">
      <w:r>
        <w:separator/>
      </w:r>
    </w:p>
  </w:endnote>
  <w:endnote w:type="continuationSeparator" w:id="0">
    <w:p w:rsidR="007D05C6" w:rsidRDefault="007D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376540295"/>
      <w:docPartObj>
        <w:docPartGallery w:val="Page Numbers (Bottom of Page)"/>
        <w:docPartUnique/>
      </w:docPartObj>
    </w:sdtPr>
    <w:sdtEndPr>
      <w:rPr>
        <w:rFonts w:ascii="Times New Roman" w:hAnsi="Times New Roman"/>
        <w:noProof/>
        <w:sz w:val="24"/>
        <w:szCs w:val="24"/>
      </w:rPr>
    </w:sdtEndPr>
    <w:sdtContent>
      <w:p w:rsidR="000B6B6C" w:rsidRDefault="000B6B6C" w:rsidP="00945E61">
        <w:pPr>
          <w:pStyle w:val="Footer"/>
          <w:jc w:val="right"/>
        </w:pPr>
        <w:r w:rsidRPr="00945E61">
          <w:rPr>
            <w:rFonts w:ascii="Book Antiqua" w:hAnsi="Book Antiqua"/>
            <w:sz w:val="20"/>
            <w:szCs w:val="20"/>
          </w:rPr>
          <w:fldChar w:fldCharType="begin"/>
        </w:r>
        <w:r w:rsidRPr="00945E61">
          <w:rPr>
            <w:rFonts w:ascii="Book Antiqua" w:hAnsi="Book Antiqua"/>
            <w:sz w:val="20"/>
            <w:szCs w:val="20"/>
          </w:rPr>
          <w:instrText xml:space="preserve"> PAGE   \* MERGEFORMAT </w:instrText>
        </w:r>
        <w:r w:rsidRPr="00945E61">
          <w:rPr>
            <w:rFonts w:ascii="Book Antiqua" w:hAnsi="Book Antiqua"/>
            <w:sz w:val="20"/>
            <w:szCs w:val="20"/>
          </w:rPr>
          <w:fldChar w:fldCharType="separate"/>
        </w:r>
        <w:r w:rsidR="00DB599B">
          <w:rPr>
            <w:rFonts w:ascii="Book Antiqua" w:hAnsi="Book Antiqua"/>
            <w:noProof/>
            <w:sz w:val="20"/>
            <w:szCs w:val="20"/>
          </w:rPr>
          <w:t>2</w:t>
        </w:r>
        <w:r w:rsidRPr="00945E61">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E61" w:rsidRDefault="00945E61" w:rsidP="00945E61">
    <w:pPr>
      <w:pStyle w:val="Footer"/>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5C6" w:rsidRDefault="007D05C6">
      <w:r>
        <w:separator/>
      </w:r>
    </w:p>
  </w:footnote>
  <w:footnote w:type="continuationSeparator" w:id="0">
    <w:p w:rsidR="007D05C6" w:rsidRDefault="007D0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E61" w:rsidRPr="00945E61" w:rsidRDefault="00945E61" w:rsidP="00945E61">
    <w:pPr>
      <w:pStyle w:val="Header"/>
      <w:jc w:val="right"/>
      <w:rPr>
        <w:sz w:val="20"/>
        <w:szCs w:val="20"/>
      </w:rPr>
    </w:pPr>
    <w:r w:rsidRPr="00945E61">
      <w:rPr>
        <w:rFonts w:ascii="Book Antiqua" w:hAnsi="Book Antiqua" w:cs="Arial"/>
        <w:color w:val="000000"/>
        <w:sz w:val="20"/>
        <w:szCs w:val="20"/>
      </w:rPr>
      <w:t xml:space="preserve">Appeal Number: </w:t>
    </w:r>
    <w:r w:rsidRPr="00945E61">
      <w:rPr>
        <w:rFonts w:ascii="Book Antiqua" w:hAnsi="Book Antiqua" w:cs="Arial"/>
        <w:caps/>
        <w:color w:val="000000"/>
        <w:sz w:val="20"/>
        <w:szCs w:val="20"/>
      </w:rPr>
      <w:t>PA/03426/2017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009DF"/>
    <w:multiLevelType w:val="hybridMultilevel"/>
    <w:tmpl w:val="5D9EDF82"/>
    <w:lvl w:ilvl="0" w:tplc="35AC6918">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748448C3"/>
    <w:multiLevelType w:val="hybridMultilevel"/>
    <w:tmpl w:val="5C92C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3D"/>
    <w:rsid w:val="00000621"/>
    <w:rsid w:val="000036C2"/>
    <w:rsid w:val="000225BC"/>
    <w:rsid w:val="00033D3D"/>
    <w:rsid w:val="00062F02"/>
    <w:rsid w:val="00071A7E"/>
    <w:rsid w:val="000746C0"/>
    <w:rsid w:val="00074D1D"/>
    <w:rsid w:val="00092580"/>
    <w:rsid w:val="00093D4D"/>
    <w:rsid w:val="000B1635"/>
    <w:rsid w:val="000B2BA7"/>
    <w:rsid w:val="000B3442"/>
    <w:rsid w:val="000B6B6C"/>
    <w:rsid w:val="000B7AE2"/>
    <w:rsid w:val="000D5D94"/>
    <w:rsid w:val="000F064A"/>
    <w:rsid w:val="000F1A0E"/>
    <w:rsid w:val="0010203D"/>
    <w:rsid w:val="001165A7"/>
    <w:rsid w:val="00127ECB"/>
    <w:rsid w:val="001554B5"/>
    <w:rsid w:val="00167D3A"/>
    <w:rsid w:val="00171434"/>
    <w:rsid w:val="001A3082"/>
    <w:rsid w:val="001B186A"/>
    <w:rsid w:val="001B2F75"/>
    <w:rsid w:val="001D0248"/>
    <w:rsid w:val="001E7D94"/>
    <w:rsid w:val="001F2716"/>
    <w:rsid w:val="001F5024"/>
    <w:rsid w:val="00207617"/>
    <w:rsid w:val="0023134B"/>
    <w:rsid w:val="00243169"/>
    <w:rsid w:val="00245E38"/>
    <w:rsid w:val="00265840"/>
    <w:rsid w:val="00283659"/>
    <w:rsid w:val="002C0F46"/>
    <w:rsid w:val="002C6BD4"/>
    <w:rsid w:val="002D290A"/>
    <w:rsid w:val="002D68BF"/>
    <w:rsid w:val="002F0753"/>
    <w:rsid w:val="002F6B98"/>
    <w:rsid w:val="00336CBF"/>
    <w:rsid w:val="00343FE3"/>
    <w:rsid w:val="003546C8"/>
    <w:rsid w:val="00386E3B"/>
    <w:rsid w:val="003A7CF2"/>
    <w:rsid w:val="003C5CE5"/>
    <w:rsid w:val="003E267B"/>
    <w:rsid w:val="003E3507"/>
    <w:rsid w:val="003E7CD1"/>
    <w:rsid w:val="003F1117"/>
    <w:rsid w:val="00402B9E"/>
    <w:rsid w:val="004249CB"/>
    <w:rsid w:val="0044127D"/>
    <w:rsid w:val="004448DB"/>
    <w:rsid w:val="00446C9A"/>
    <w:rsid w:val="00452F2B"/>
    <w:rsid w:val="00477193"/>
    <w:rsid w:val="004A1848"/>
    <w:rsid w:val="004A3DDC"/>
    <w:rsid w:val="004A41A6"/>
    <w:rsid w:val="004A6F4A"/>
    <w:rsid w:val="004B0572"/>
    <w:rsid w:val="004E0F3D"/>
    <w:rsid w:val="004E4717"/>
    <w:rsid w:val="00507FEC"/>
    <w:rsid w:val="00510F0E"/>
    <w:rsid w:val="00537B53"/>
    <w:rsid w:val="005479E1"/>
    <w:rsid w:val="00553E0A"/>
    <w:rsid w:val="005570FD"/>
    <w:rsid w:val="005575EA"/>
    <w:rsid w:val="00562F7A"/>
    <w:rsid w:val="0057790C"/>
    <w:rsid w:val="005826C5"/>
    <w:rsid w:val="00585D71"/>
    <w:rsid w:val="00593795"/>
    <w:rsid w:val="00594AE9"/>
    <w:rsid w:val="005A75FF"/>
    <w:rsid w:val="005D10AB"/>
    <w:rsid w:val="00601D8F"/>
    <w:rsid w:val="00607D3E"/>
    <w:rsid w:val="00653E97"/>
    <w:rsid w:val="006701F7"/>
    <w:rsid w:val="00684A74"/>
    <w:rsid w:val="00690B8A"/>
    <w:rsid w:val="006F2CF1"/>
    <w:rsid w:val="006F6EE6"/>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D05C6"/>
    <w:rsid w:val="007F2A46"/>
    <w:rsid w:val="00806249"/>
    <w:rsid w:val="00821B72"/>
    <w:rsid w:val="00823EF2"/>
    <w:rsid w:val="008303B8"/>
    <w:rsid w:val="00833DCE"/>
    <w:rsid w:val="00851D4F"/>
    <w:rsid w:val="00871D34"/>
    <w:rsid w:val="008A3898"/>
    <w:rsid w:val="008B270C"/>
    <w:rsid w:val="008B5078"/>
    <w:rsid w:val="008C3D3D"/>
    <w:rsid w:val="008D4131"/>
    <w:rsid w:val="008F1932"/>
    <w:rsid w:val="00921062"/>
    <w:rsid w:val="00940AF0"/>
    <w:rsid w:val="00945E61"/>
    <w:rsid w:val="00951C5A"/>
    <w:rsid w:val="00957B0F"/>
    <w:rsid w:val="009722BC"/>
    <w:rsid w:val="009727A3"/>
    <w:rsid w:val="00983F46"/>
    <w:rsid w:val="00987774"/>
    <w:rsid w:val="009A11E8"/>
    <w:rsid w:val="009D557B"/>
    <w:rsid w:val="009F14B8"/>
    <w:rsid w:val="009F5220"/>
    <w:rsid w:val="00A00212"/>
    <w:rsid w:val="00A15234"/>
    <w:rsid w:val="00A201AB"/>
    <w:rsid w:val="00A31C8B"/>
    <w:rsid w:val="00A509FA"/>
    <w:rsid w:val="00A71C11"/>
    <w:rsid w:val="00A76D2F"/>
    <w:rsid w:val="00A842AA"/>
    <w:rsid w:val="00A845DC"/>
    <w:rsid w:val="00AA7D62"/>
    <w:rsid w:val="00AC04A0"/>
    <w:rsid w:val="00B01D90"/>
    <w:rsid w:val="00B26AA2"/>
    <w:rsid w:val="00B315A7"/>
    <w:rsid w:val="00B3524D"/>
    <w:rsid w:val="00B407CF"/>
    <w:rsid w:val="00B40F69"/>
    <w:rsid w:val="00B46616"/>
    <w:rsid w:val="00B57AE9"/>
    <w:rsid w:val="00B7040A"/>
    <w:rsid w:val="00B72474"/>
    <w:rsid w:val="00B83391"/>
    <w:rsid w:val="00B91640"/>
    <w:rsid w:val="00B95326"/>
    <w:rsid w:val="00BB05B9"/>
    <w:rsid w:val="00BD4196"/>
    <w:rsid w:val="00BF22CA"/>
    <w:rsid w:val="00BF23BB"/>
    <w:rsid w:val="00C2080F"/>
    <w:rsid w:val="00C2447F"/>
    <w:rsid w:val="00C26032"/>
    <w:rsid w:val="00C345E1"/>
    <w:rsid w:val="00C43BFD"/>
    <w:rsid w:val="00C93D58"/>
    <w:rsid w:val="00CA050F"/>
    <w:rsid w:val="00CB6E35"/>
    <w:rsid w:val="00CD3D3A"/>
    <w:rsid w:val="00CE1A46"/>
    <w:rsid w:val="00CE456F"/>
    <w:rsid w:val="00D20757"/>
    <w:rsid w:val="00D22636"/>
    <w:rsid w:val="00D40FD9"/>
    <w:rsid w:val="00D53769"/>
    <w:rsid w:val="00D8280B"/>
    <w:rsid w:val="00D85C13"/>
    <w:rsid w:val="00D9111A"/>
    <w:rsid w:val="00D91BE3"/>
    <w:rsid w:val="00D94AFC"/>
    <w:rsid w:val="00DB599B"/>
    <w:rsid w:val="00DB70AE"/>
    <w:rsid w:val="00DC2238"/>
    <w:rsid w:val="00DD4217"/>
    <w:rsid w:val="00DD5071"/>
    <w:rsid w:val="00DD5C39"/>
    <w:rsid w:val="00DE5E10"/>
    <w:rsid w:val="00DE7DB7"/>
    <w:rsid w:val="00E00A0A"/>
    <w:rsid w:val="00E066DE"/>
    <w:rsid w:val="00E07F57"/>
    <w:rsid w:val="00E30683"/>
    <w:rsid w:val="00E453D8"/>
    <w:rsid w:val="00E50BCE"/>
    <w:rsid w:val="00E574BF"/>
    <w:rsid w:val="00E61292"/>
    <w:rsid w:val="00E77C4D"/>
    <w:rsid w:val="00E81D01"/>
    <w:rsid w:val="00EE45D8"/>
    <w:rsid w:val="00F22EDA"/>
    <w:rsid w:val="00F317A3"/>
    <w:rsid w:val="00F41C53"/>
    <w:rsid w:val="00F431A7"/>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B472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00212"/>
    <w:pPr>
      <w:ind w:left="720"/>
      <w:contextualSpacing/>
    </w:pPr>
  </w:style>
  <w:style w:type="character" w:customStyle="1" w:styleId="FooterChar">
    <w:name w:val="Footer Char"/>
    <w:basedOn w:val="DefaultParagraphFont"/>
    <w:link w:val="Footer"/>
    <w:rsid w:val="000B6B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3465</Characters>
  <Application>Microsoft Office Word</Application>
  <DocSecurity>0</DocSecurity>
  <Lines>28</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2018-06-04T15:15:00Z</dcterms:created>
  <dcterms:modified xsi:type="dcterms:W3CDTF">2018-06-04T15:15:00Z</dcterms:modified>
</cp:coreProperties>
</file>