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Default="0047673C" w:rsidP="00643BFC">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A20F37" w:rsidRPr="000704BB" w:rsidRDefault="00A20F37" w:rsidP="00643BFC">
      <w:pPr>
        <w:jc w:val="center"/>
        <w:rPr>
          <w:rFonts w:ascii="Book Antiqua" w:hAnsi="Book Antiqua" w:cs="Arial"/>
          <w:caps/>
          <w:color w:val="000000"/>
          <w:sz w:val="16"/>
          <w:szCs w:val="16"/>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B37F7D">
        <w:rPr>
          <w:rFonts w:ascii="Book Antiqua" w:hAnsi="Book Antiqua" w:cs="Arial"/>
          <w:b/>
          <w:color w:val="000000"/>
        </w:rPr>
        <w:t>Appeal Number</w:t>
      </w:r>
      <w:r w:rsidR="00D53769" w:rsidRPr="00B37F7D">
        <w:rPr>
          <w:rFonts w:ascii="Book Antiqua" w:hAnsi="Book Antiqua" w:cs="Arial"/>
          <w:b/>
          <w:color w:val="000000"/>
        </w:rPr>
        <w:t>:</w:t>
      </w:r>
      <w:r w:rsidR="00B3524D" w:rsidRPr="00B37F7D">
        <w:rPr>
          <w:rFonts w:ascii="Book Antiqua" w:hAnsi="Book Antiqua" w:cs="Arial"/>
          <w:b/>
          <w:color w:val="000000"/>
        </w:rPr>
        <w:t xml:space="preserve"> </w:t>
      </w:r>
      <w:bookmarkStart w:id="0" w:name="_GoBack"/>
      <w:r w:rsidR="00484AB4">
        <w:rPr>
          <w:rFonts w:ascii="Book Antiqua" w:hAnsi="Book Antiqua" w:cs="Arial"/>
          <w:b/>
          <w:caps/>
          <w:color w:val="000000"/>
        </w:rPr>
        <w:t>PA/03485</w:t>
      </w:r>
      <w:r w:rsidR="00B37F7D" w:rsidRPr="00B37F7D">
        <w:rPr>
          <w:rFonts w:ascii="Book Antiqua" w:hAnsi="Book Antiqua" w:cs="Arial"/>
          <w:b/>
          <w:caps/>
          <w:color w:val="000000"/>
        </w:rPr>
        <w:t>/201</w:t>
      </w:r>
      <w:r w:rsidR="00484AB4">
        <w:rPr>
          <w:rFonts w:ascii="Book Antiqua" w:hAnsi="Book Antiqua" w:cs="Arial"/>
          <w:b/>
          <w:caps/>
          <w:color w:val="000000"/>
        </w:rPr>
        <w:t>8</w:t>
      </w:r>
      <w:bookmarkEnd w:id="0"/>
    </w:p>
    <w:p w:rsidR="00C345E1" w:rsidRPr="000704BB" w:rsidRDefault="00C345E1" w:rsidP="00484AB4">
      <w:pPr>
        <w:rPr>
          <w:rFonts w:ascii="Book Antiqua" w:hAnsi="Book Antiqua" w:cs="Arial"/>
          <w:color w:val="000000"/>
        </w:rPr>
      </w:pPr>
    </w:p>
    <w:p w:rsidR="00A20F37" w:rsidRDefault="00A20F37" w:rsidP="00484AB4">
      <w:pPr>
        <w:jc w:val="center"/>
        <w:rPr>
          <w:rFonts w:ascii="Book Antiqua" w:hAnsi="Book Antiqua" w:cs="Arial"/>
          <w:b/>
          <w:color w:val="000000"/>
          <w:u w:val="single"/>
        </w:rPr>
      </w:pPr>
    </w:p>
    <w:p w:rsidR="00C345E1" w:rsidRDefault="00484AB4" w:rsidP="00484AB4">
      <w:pPr>
        <w:jc w:val="center"/>
        <w:rPr>
          <w:rFonts w:ascii="Book Antiqua" w:hAnsi="Book Antiqua" w:cs="Arial"/>
          <w:b/>
          <w:color w:val="000000"/>
          <w:u w:val="single"/>
        </w:rPr>
      </w:pPr>
      <w:r>
        <w:rPr>
          <w:rFonts w:ascii="Book Antiqua" w:hAnsi="Book Antiqua" w:cs="Arial"/>
          <w:b/>
          <w:color w:val="000000"/>
          <w:u w:val="single"/>
        </w:rPr>
        <w:t>THE IMMIGRATION ACTS</w:t>
      </w:r>
    </w:p>
    <w:p w:rsidR="00A20F37" w:rsidRPr="00484AB4" w:rsidRDefault="00A20F37" w:rsidP="00484AB4">
      <w:pPr>
        <w:jc w:val="center"/>
        <w:rPr>
          <w:rFonts w:ascii="Book Antiqua" w:hAnsi="Book Antiqua" w:cs="Arial"/>
          <w:b/>
          <w:color w:val="000000"/>
          <w:u w:val="single"/>
        </w:rPr>
      </w:pPr>
    </w:p>
    <w:p w:rsidR="00C345E1" w:rsidRPr="000704BB"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44"/>
        <w:gridCol w:w="3894"/>
      </w:tblGrid>
      <w:tr w:rsidR="00D22636" w:rsidRPr="003D15B2" w:rsidTr="003D15B2">
        <w:tc>
          <w:tcPr>
            <w:tcW w:w="5868" w:type="dxa"/>
            <w:shd w:val="clear" w:color="auto" w:fill="auto"/>
          </w:tcPr>
          <w:p w:rsidR="00D22636" w:rsidRPr="003D15B2" w:rsidRDefault="00D22636" w:rsidP="003D15B2">
            <w:pPr>
              <w:jc w:val="both"/>
              <w:rPr>
                <w:rFonts w:ascii="Book Antiqua" w:hAnsi="Book Antiqua" w:cs="Arial"/>
                <w:b/>
              </w:rPr>
            </w:pPr>
            <w:r w:rsidRPr="003D15B2">
              <w:rPr>
                <w:rFonts w:ascii="Book Antiqua" w:hAnsi="Book Antiqua" w:cs="Arial"/>
                <w:b/>
              </w:rPr>
              <w:t xml:space="preserve">Heard at </w:t>
            </w:r>
            <w:r w:rsidR="00B37F7D" w:rsidRPr="003D15B2">
              <w:rPr>
                <w:rFonts w:ascii="Book Antiqua" w:hAnsi="Book Antiqua" w:cs="Arial"/>
                <w:b/>
              </w:rPr>
              <w:t>Manchester</w:t>
            </w:r>
            <w:r w:rsidR="00CC3465">
              <w:rPr>
                <w:rFonts w:ascii="Book Antiqua" w:hAnsi="Book Antiqua" w:cs="Arial"/>
                <w:b/>
              </w:rPr>
              <w:t xml:space="preserve"> CJC</w:t>
            </w:r>
          </w:p>
        </w:tc>
        <w:tc>
          <w:tcPr>
            <w:tcW w:w="3960" w:type="dxa"/>
            <w:shd w:val="clear" w:color="auto" w:fill="auto"/>
          </w:tcPr>
          <w:p w:rsidR="00D22636" w:rsidRPr="003D15B2" w:rsidRDefault="00265B39" w:rsidP="003D15B2">
            <w:pPr>
              <w:jc w:val="both"/>
              <w:rPr>
                <w:rFonts w:ascii="Book Antiqua" w:hAnsi="Book Antiqua" w:cs="Arial"/>
                <w:b/>
                <w:color w:val="000000"/>
              </w:rPr>
            </w:pPr>
            <w:r w:rsidRPr="003D15B2">
              <w:rPr>
                <w:rFonts w:ascii="Book Antiqua" w:hAnsi="Book Antiqua" w:cs="Arial"/>
                <w:b/>
                <w:color w:val="000000"/>
              </w:rPr>
              <w:t>Decision &amp; Reasons</w:t>
            </w:r>
            <w:r w:rsidR="00283659" w:rsidRPr="003D15B2">
              <w:rPr>
                <w:rFonts w:ascii="Book Antiqua" w:hAnsi="Book Antiqua" w:cs="Arial"/>
                <w:b/>
                <w:color w:val="000000"/>
              </w:rPr>
              <w:t xml:space="preserve"> Promulgated</w:t>
            </w:r>
          </w:p>
        </w:tc>
      </w:tr>
      <w:tr w:rsidR="00D22636" w:rsidRPr="003D15B2" w:rsidTr="003D15B2">
        <w:tc>
          <w:tcPr>
            <w:tcW w:w="5868" w:type="dxa"/>
            <w:shd w:val="clear" w:color="auto" w:fill="auto"/>
          </w:tcPr>
          <w:p w:rsidR="00D22636" w:rsidRPr="003D15B2" w:rsidRDefault="00D22636" w:rsidP="003D15B2">
            <w:pPr>
              <w:jc w:val="both"/>
              <w:rPr>
                <w:rFonts w:ascii="Book Antiqua" w:hAnsi="Book Antiqua" w:cs="Arial"/>
                <w:b/>
              </w:rPr>
            </w:pPr>
            <w:r w:rsidRPr="003D15B2">
              <w:rPr>
                <w:rFonts w:ascii="Book Antiqua" w:hAnsi="Book Antiqua" w:cs="Arial"/>
                <w:b/>
              </w:rPr>
              <w:t xml:space="preserve">On </w:t>
            </w:r>
            <w:r w:rsidR="00484AB4">
              <w:rPr>
                <w:rFonts w:ascii="Book Antiqua" w:hAnsi="Book Antiqua" w:cs="Arial"/>
                <w:b/>
              </w:rPr>
              <w:t>31 August</w:t>
            </w:r>
            <w:r w:rsidR="00CC3465">
              <w:rPr>
                <w:rFonts w:ascii="Book Antiqua" w:hAnsi="Book Antiqua" w:cs="Arial"/>
                <w:b/>
              </w:rPr>
              <w:t xml:space="preserve"> </w:t>
            </w:r>
            <w:r w:rsidR="005255B9">
              <w:rPr>
                <w:rFonts w:ascii="Book Antiqua" w:hAnsi="Book Antiqua" w:cs="Arial"/>
                <w:b/>
              </w:rPr>
              <w:t>2018</w:t>
            </w:r>
            <w:r w:rsidR="00B37F7D" w:rsidRPr="003D15B2">
              <w:rPr>
                <w:rFonts w:ascii="Book Antiqua" w:hAnsi="Book Antiqua" w:cs="Arial"/>
                <w:b/>
              </w:rPr>
              <w:t xml:space="preserve"> </w:t>
            </w:r>
          </w:p>
        </w:tc>
        <w:tc>
          <w:tcPr>
            <w:tcW w:w="3960" w:type="dxa"/>
            <w:shd w:val="clear" w:color="auto" w:fill="auto"/>
          </w:tcPr>
          <w:p w:rsidR="00D22636" w:rsidRPr="003D15B2" w:rsidRDefault="00F505E8" w:rsidP="003D15B2">
            <w:pPr>
              <w:jc w:val="both"/>
              <w:rPr>
                <w:rFonts w:ascii="Book Antiqua" w:hAnsi="Book Antiqua" w:cs="Arial"/>
                <w:b/>
              </w:rPr>
            </w:pPr>
            <w:r>
              <w:rPr>
                <w:rFonts w:ascii="Book Antiqua" w:hAnsi="Book Antiqua" w:cs="Arial"/>
                <w:b/>
              </w:rPr>
              <w:t>On 6 September 2018</w:t>
            </w:r>
          </w:p>
        </w:tc>
      </w:tr>
    </w:tbl>
    <w:p w:rsidR="00A15234" w:rsidRPr="000704BB" w:rsidRDefault="00A15234" w:rsidP="00295EA3">
      <w:pPr>
        <w:rPr>
          <w:rFonts w:ascii="Book Antiqua" w:hAnsi="Book Antiqua" w:cs="Arial"/>
        </w:rPr>
      </w:pPr>
    </w:p>
    <w:p w:rsidR="00A20F37" w:rsidRDefault="00A20F37" w:rsidP="00A15234">
      <w:pPr>
        <w:jc w:val="center"/>
        <w:rPr>
          <w:rFonts w:ascii="Book Antiqua" w:hAnsi="Book Antiqua" w:cs="Arial"/>
          <w:b/>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3A194F" w:rsidP="00A15234">
      <w:pPr>
        <w:jc w:val="center"/>
        <w:rPr>
          <w:rFonts w:ascii="Book Antiqua" w:hAnsi="Book Antiqua" w:cs="Arial"/>
          <w:b/>
          <w:color w:val="000000"/>
        </w:rPr>
      </w:pPr>
      <w:r>
        <w:rPr>
          <w:rFonts w:ascii="Book Antiqua" w:hAnsi="Book Antiqua" w:cs="Arial"/>
          <w:b/>
          <w:color w:val="000000"/>
        </w:rPr>
        <w:t>UPPER TRIBUNAL</w:t>
      </w:r>
      <w:r w:rsidR="001B2F75" w:rsidRPr="000704BB">
        <w:rPr>
          <w:rFonts w:ascii="Book Antiqua" w:hAnsi="Book Antiqua" w:cs="Arial"/>
          <w:b/>
          <w:color w:val="000000"/>
        </w:rPr>
        <w:t xml:space="preserve"> JUDGE </w:t>
      </w:r>
      <w:r w:rsidR="00B37F7D">
        <w:rPr>
          <w:rFonts w:ascii="Book Antiqua" w:hAnsi="Book Antiqua" w:cs="Arial"/>
          <w:b/>
          <w:color w:val="000000"/>
        </w:rPr>
        <w:t>PLIMMER</w:t>
      </w:r>
    </w:p>
    <w:p w:rsidR="001B186A" w:rsidRPr="000704BB" w:rsidRDefault="001B186A" w:rsidP="00A15234">
      <w:pPr>
        <w:jc w:val="center"/>
        <w:rPr>
          <w:rFonts w:ascii="Book Antiqua" w:hAnsi="Book Antiqua" w:cs="Arial"/>
          <w:b/>
          <w:color w:val="000000"/>
        </w:rPr>
      </w:pPr>
    </w:p>
    <w:p w:rsidR="00A20F37" w:rsidRDefault="00A20F3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484AB4" w:rsidP="00A15234">
      <w:pPr>
        <w:jc w:val="center"/>
        <w:rPr>
          <w:rFonts w:ascii="Book Antiqua" w:hAnsi="Book Antiqua" w:cs="Arial"/>
          <w:b/>
          <w:caps/>
        </w:rPr>
      </w:pPr>
      <w:r>
        <w:rPr>
          <w:rFonts w:ascii="Book Antiqua" w:hAnsi="Book Antiqua" w:cs="Arial"/>
          <w:b/>
          <w:caps/>
        </w:rPr>
        <w:t>ZA</w:t>
      </w:r>
    </w:p>
    <w:p w:rsidR="00265B39" w:rsidRPr="00A20F37" w:rsidRDefault="00265B39" w:rsidP="00A15234">
      <w:pPr>
        <w:jc w:val="center"/>
        <w:rPr>
          <w:rFonts w:ascii="Book Antiqua" w:hAnsi="Book Antiqua" w:cs="Arial"/>
          <w:b/>
          <w:caps/>
          <w:sz w:val="22"/>
          <w:u w:val="single"/>
        </w:rPr>
      </w:pPr>
      <w:r w:rsidRPr="00A20F37">
        <w:rPr>
          <w:rFonts w:ascii="Book Antiqua" w:hAnsi="Book Antiqua" w:cs="Arial"/>
          <w:b/>
          <w:caps/>
          <w:sz w:val="22"/>
          <w:u w:val="single"/>
        </w:rPr>
        <w:t xml:space="preserve">anonymity direction </w:t>
      </w:r>
      <w:r w:rsidR="00B37F7D" w:rsidRPr="00A20F37">
        <w:rPr>
          <w:rFonts w:ascii="Book Antiqua" w:hAnsi="Book Antiqua" w:cs="Arial"/>
          <w:b/>
          <w:caps/>
          <w:sz w:val="22"/>
          <w:u w:val="single"/>
        </w:rPr>
        <w:t>made</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Default="00DD5071" w:rsidP="00DD5071">
      <w:pPr>
        <w:rPr>
          <w:rFonts w:ascii="Book Antiqua" w:hAnsi="Book Antiqua" w:cs="Arial"/>
          <w:u w:val="single"/>
        </w:rPr>
      </w:pPr>
    </w:p>
    <w:p w:rsidR="00A20F37" w:rsidRPr="000704BB" w:rsidRDefault="00A20F37"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5255B9">
        <w:rPr>
          <w:rFonts w:ascii="Book Antiqua" w:hAnsi="Book Antiqua" w:cs="Arial"/>
        </w:rPr>
        <w:t>M</w:t>
      </w:r>
      <w:r w:rsidR="00282297">
        <w:rPr>
          <w:rFonts w:ascii="Book Antiqua" w:hAnsi="Book Antiqua" w:cs="Arial"/>
        </w:rPr>
        <w:t>r Karnik, Counsel</w:t>
      </w:r>
    </w:p>
    <w:p w:rsidR="00DE7DB7" w:rsidRPr="00B37F7D"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5255B9">
        <w:rPr>
          <w:rFonts w:ascii="Book Antiqua" w:hAnsi="Book Antiqua" w:cs="Arial"/>
        </w:rPr>
        <w:t>M</w:t>
      </w:r>
      <w:r w:rsidR="00CC3465">
        <w:rPr>
          <w:rFonts w:ascii="Book Antiqua" w:hAnsi="Book Antiqua" w:cs="Arial"/>
        </w:rPr>
        <w:t>r Bates</w:t>
      </w:r>
      <w:r w:rsidR="00B37F7D">
        <w:rPr>
          <w:rFonts w:ascii="Book Antiqua" w:hAnsi="Book Antiqua" w:cs="Arial"/>
        </w:rPr>
        <w:t xml:space="preserve">, Senior Home Office Presenting Officer </w:t>
      </w:r>
    </w:p>
    <w:p w:rsidR="00DE7DB7" w:rsidRDefault="00DE7DB7" w:rsidP="00CC3465">
      <w:pPr>
        <w:rPr>
          <w:rFonts w:ascii="Book Antiqua" w:hAnsi="Book Antiqua" w:cs="Arial"/>
        </w:rPr>
      </w:pPr>
    </w:p>
    <w:p w:rsidR="00A20F37" w:rsidRPr="000704BB" w:rsidRDefault="00A20F37" w:rsidP="00CC3465">
      <w:pP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307DA1" w:rsidRPr="00307DA1" w:rsidRDefault="00307DA1" w:rsidP="00307DA1">
      <w:pPr>
        <w:jc w:val="both"/>
        <w:rPr>
          <w:rFonts w:ascii="Book Antiqua" w:hAnsi="Book Antiqua" w:cs="Arial"/>
          <w:i/>
        </w:rPr>
      </w:pPr>
      <w:r>
        <w:rPr>
          <w:rFonts w:ascii="Book Antiqua" w:hAnsi="Book Antiqua" w:cs="Arial"/>
          <w:i/>
        </w:rPr>
        <w:t xml:space="preserve">Pursuant to Rule 14 of the Tribunal Procedure (Upper Tribunal) Rules 2008 (SI2008/269) an Anonymity Order </w:t>
      </w:r>
      <w:r w:rsidR="00E57B93">
        <w:rPr>
          <w:rFonts w:ascii="Book Antiqua" w:hAnsi="Book Antiqua" w:cs="Arial"/>
          <w:i/>
        </w:rPr>
        <w:t>is made.  Unless the Upper Tribunal or Court orders otherwise, no report of any proceedings or any form of publication thereof shall directly or indirectly identify the original Appellant.  This prohibition applies to, amongst others, all parties.</w:t>
      </w:r>
    </w:p>
    <w:p w:rsidR="00307DA1" w:rsidRDefault="00307DA1" w:rsidP="00265B39">
      <w:pPr>
        <w:ind w:left="567" w:hanging="567"/>
        <w:jc w:val="both"/>
        <w:rPr>
          <w:rFonts w:ascii="Book Antiqua" w:hAnsi="Book Antiqua" w:cs="Arial"/>
        </w:rPr>
      </w:pPr>
    </w:p>
    <w:p w:rsidR="00BF23BB" w:rsidRDefault="004179B6" w:rsidP="00E57B93">
      <w:pPr>
        <w:ind w:left="1134"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E57B93">
        <w:rPr>
          <w:rFonts w:ascii="Book Antiqua" w:hAnsi="Book Antiqua" w:cs="Arial"/>
        </w:rPr>
        <w:t>The appellant</w:t>
      </w:r>
      <w:r w:rsidR="00484AB4">
        <w:rPr>
          <w:rFonts w:ascii="Book Antiqua" w:hAnsi="Book Antiqua" w:cs="Arial"/>
        </w:rPr>
        <w:t>, a citizen of Pakistan</w:t>
      </w:r>
      <w:r w:rsidR="00CC3465">
        <w:rPr>
          <w:rFonts w:ascii="Book Antiqua" w:hAnsi="Book Antiqua" w:cs="Arial"/>
        </w:rPr>
        <w:t>,</w:t>
      </w:r>
      <w:r w:rsidR="00E57B93">
        <w:rPr>
          <w:rFonts w:ascii="Book Antiqua" w:hAnsi="Book Antiqua" w:cs="Arial"/>
        </w:rPr>
        <w:t xml:space="preserve"> has appealed against a decision of </w:t>
      </w:r>
      <w:r w:rsidR="00484AB4">
        <w:rPr>
          <w:rFonts w:ascii="Book Antiqua" w:hAnsi="Book Antiqua" w:cs="Arial"/>
        </w:rPr>
        <w:t xml:space="preserve">the </w:t>
      </w:r>
      <w:r w:rsidR="00E57B93">
        <w:rPr>
          <w:rFonts w:ascii="Book Antiqua" w:hAnsi="Book Antiqua" w:cs="Arial"/>
        </w:rPr>
        <w:t>Fi</w:t>
      </w:r>
      <w:r w:rsidR="00484AB4">
        <w:rPr>
          <w:rFonts w:ascii="Book Antiqua" w:hAnsi="Book Antiqua" w:cs="Arial"/>
        </w:rPr>
        <w:t>rst-tier Tribunal (‘FTT’)</w:t>
      </w:r>
      <w:r w:rsidR="00CC3465">
        <w:rPr>
          <w:rFonts w:ascii="Book Antiqua" w:hAnsi="Book Antiqua" w:cs="Arial"/>
        </w:rPr>
        <w:t xml:space="preserve"> </w:t>
      </w:r>
      <w:r w:rsidR="005255B9">
        <w:rPr>
          <w:rFonts w:ascii="Book Antiqua" w:hAnsi="Book Antiqua" w:cs="Arial"/>
        </w:rPr>
        <w:t xml:space="preserve">dated </w:t>
      </w:r>
      <w:r w:rsidR="00484AB4">
        <w:rPr>
          <w:rFonts w:ascii="Book Antiqua" w:hAnsi="Book Antiqua" w:cs="Arial"/>
        </w:rPr>
        <w:t>25 April 2018</w:t>
      </w:r>
      <w:r w:rsidR="005255B9">
        <w:rPr>
          <w:rFonts w:ascii="Book Antiqua" w:hAnsi="Book Antiqua" w:cs="Arial"/>
        </w:rPr>
        <w:t xml:space="preserve">, in which </w:t>
      </w:r>
      <w:r w:rsidR="00484AB4">
        <w:rPr>
          <w:rFonts w:ascii="Book Antiqua" w:hAnsi="Book Antiqua" w:cs="Arial"/>
        </w:rPr>
        <w:t xml:space="preserve">it </w:t>
      </w:r>
      <w:r w:rsidR="005255B9">
        <w:rPr>
          <w:rFonts w:ascii="Book Antiqua" w:hAnsi="Book Antiqua" w:cs="Arial"/>
        </w:rPr>
        <w:t>dismissed the appellant’s</w:t>
      </w:r>
      <w:r w:rsidR="00E57B93">
        <w:rPr>
          <w:rFonts w:ascii="Book Antiqua" w:hAnsi="Book Antiqua" w:cs="Arial"/>
        </w:rPr>
        <w:t xml:space="preserve"> </w:t>
      </w:r>
      <w:r w:rsidR="00E57B93">
        <w:rPr>
          <w:rFonts w:ascii="Book Antiqua" w:hAnsi="Book Antiqua" w:cs="Arial"/>
        </w:rPr>
        <w:lastRenderedPageBreak/>
        <w:t>appeal against a decision</w:t>
      </w:r>
      <w:r w:rsidR="005255B9">
        <w:rPr>
          <w:rFonts w:ascii="Book Antiqua" w:hAnsi="Book Antiqua" w:cs="Arial"/>
        </w:rPr>
        <w:t xml:space="preserve"> dated </w:t>
      </w:r>
      <w:r w:rsidR="00484AB4">
        <w:rPr>
          <w:rFonts w:ascii="Book Antiqua" w:hAnsi="Book Antiqua" w:cs="Arial"/>
        </w:rPr>
        <w:t>19 December</w:t>
      </w:r>
      <w:r w:rsidR="005255B9">
        <w:rPr>
          <w:rFonts w:ascii="Book Antiqua" w:hAnsi="Book Antiqua" w:cs="Arial"/>
        </w:rPr>
        <w:t xml:space="preserve"> 2017</w:t>
      </w:r>
      <w:r w:rsidR="001A72B0">
        <w:rPr>
          <w:rFonts w:ascii="Book Antiqua" w:hAnsi="Book Antiqua" w:cs="Arial"/>
        </w:rPr>
        <w:t xml:space="preserve"> to refuse </w:t>
      </w:r>
      <w:r w:rsidR="00484AB4">
        <w:rPr>
          <w:rFonts w:ascii="Book Antiqua" w:hAnsi="Book Antiqua" w:cs="Arial"/>
        </w:rPr>
        <w:t>his</w:t>
      </w:r>
      <w:r w:rsidR="00E57B93">
        <w:rPr>
          <w:rFonts w:ascii="Book Antiqua" w:hAnsi="Book Antiqua" w:cs="Arial"/>
        </w:rPr>
        <w:t xml:space="preserve"> </w:t>
      </w:r>
      <w:r w:rsidR="00CC3465">
        <w:rPr>
          <w:rFonts w:ascii="Book Antiqua" w:hAnsi="Book Antiqua" w:cs="Arial"/>
        </w:rPr>
        <w:t xml:space="preserve">international </w:t>
      </w:r>
      <w:r w:rsidR="00E57B93">
        <w:rPr>
          <w:rFonts w:ascii="Book Antiqua" w:hAnsi="Book Antiqua" w:cs="Arial"/>
        </w:rPr>
        <w:t>protection</w:t>
      </w:r>
      <w:r w:rsidR="005255B9">
        <w:rPr>
          <w:rFonts w:ascii="Book Antiqua" w:hAnsi="Book Antiqua" w:cs="Arial"/>
        </w:rPr>
        <w:t xml:space="preserve"> claim</w:t>
      </w:r>
      <w:r w:rsidR="00E57B93">
        <w:rPr>
          <w:rFonts w:ascii="Book Antiqua" w:hAnsi="Book Antiqua" w:cs="Arial"/>
        </w:rPr>
        <w:t>.</w:t>
      </w:r>
    </w:p>
    <w:p w:rsidR="00E57B93" w:rsidRDefault="00E57B93" w:rsidP="00265B39">
      <w:pPr>
        <w:ind w:left="567" w:hanging="567"/>
        <w:jc w:val="both"/>
        <w:rPr>
          <w:rFonts w:ascii="Book Antiqua" w:hAnsi="Book Antiqua" w:cs="Arial"/>
        </w:rPr>
      </w:pPr>
    </w:p>
    <w:p w:rsidR="00E57B93" w:rsidRDefault="00484AB4" w:rsidP="00265B39">
      <w:pPr>
        <w:ind w:left="567" w:hanging="567"/>
        <w:jc w:val="both"/>
        <w:rPr>
          <w:rFonts w:ascii="Book Antiqua" w:hAnsi="Book Antiqua" w:cs="Arial"/>
        </w:rPr>
      </w:pPr>
      <w:r>
        <w:rPr>
          <w:rFonts w:ascii="Book Antiqua" w:hAnsi="Book Antiqua" w:cs="Arial"/>
          <w:b/>
        </w:rPr>
        <w:t>Background</w:t>
      </w:r>
    </w:p>
    <w:p w:rsidR="00E57B93" w:rsidRDefault="00E57B93" w:rsidP="00265B39">
      <w:pPr>
        <w:ind w:left="567" w:hanging="567"/>
        <w:jc w:val="both"/>
        <w:rPr>
          <w:rFonts w:ascii="Book Antiqua" w:hAnsi="Book Antiqua" w:cs="Arial"/>
        </w:rPr>
      </w:pPr>
    </w:p>
    <w:p w:rsidR="00E57B93" w:rsidRDefault="004179B6" w:rsidP="00E57B93">
      <w:pPr>
        <w:ind w:left="1134" w:hanging="567"/>
        <w:jc w:val="both"/>
        <w:rPr>
          <w:rFonts w:ascii="Book Antiqua" w:hAnsi="Book Antiqua" w:cs="Arial"/>
        </w:rPr>
      </w:pPr>
      <w:r>
        <w:rPr>
          <w:rFonts w:ascii="Book Antiqua" w:hAnsi="Book Antiqua" w:cs="Arial"/>
        </w:rPr>
        <w:t>2</w:t>
      </w:r>
      <w:r w:rsidR="00E57B93">
        <w:rPr>
          <w:rFonts w:ascii="Book Antiqua" w:hAnsi="Book Antiqua" w:cs="Arial"/>
        </w:rPr>
        <w:t>.</w:t>
      </w:r>
      <w:r w:rsidR="00E57B93">
        <w:rPr>
          <w:rFonts w:ascii="Book Antiqua" w:hAnsi="Book Antiqua" w:cs="Arial"/>
        </w:rPr>
        <w:tab/>
        <w:t>The appellant</w:t>
      </w:r>
      <w:r w:rsidR="00484AB4">
        <w:rPr>
          <w:rFonts w:ascii="Book Antiqua" w:hAnsi="Book Antiqua" w:cs="Arial"/>
        </w:rPr>
        <w:t xml:space="preserve"> claims that </w:t>
      </w:r>
      <w:r w:rsidR="00CC3465">
        <w:rPr>
          <w:rFonts w:ascii="Book Antiqua" w:hAnsi="Book Antiqua" w:cs="Arial"/>
        </w:rPr>
        <w:t xml:space="preserve">he has a well-founded fear of persecution in </w:t>
      </w:r>
      <w:r w:rsidR="00484AB4">
        <w:rPr>
          <w:rFonts w:ascii="Book Antiqua" w:hAnsi="Book Antiqua" w:cs="Arial"/>
        </w:rPr>
        <w:t>Pakistan because he has converted to Christianity whilst in the UK</w:t>
      </w:r>
      <w:r w:rsidR="00CC3465">
        <w:rPr>
          <w:rFonts w:ascii="Book Antiqua" w:hAnsi="Book Antiqua" w:cs="Arial"/>
        </w:rPr>
        <w:t>.</w:t>
      </w:r>
      <w:r w:rsidR="005255B9">
        <w:rPr>
          <w:rFonts w:ascii="Book Antiqua" w:hAnsi="Book Antiqua" w:cs="Arial"/>
        </w:rPr>
        <w:t xml:space="preserve"> </w:t>
      </w:r>
      <w:r w:rsidR="00E57B93">
        <w:rPr>
          <w:rFonts w:ascii="Book Antiqua" w:hAnsi="Book Antiqua" w:cs="Arial"/>
        </w:rPr>
        <w:t xml:space="preserve"> </w:t>
      </w:r>
      <w:r w:rsidR="00484AB4">
        <w:rPr>
          <w:rFonts w:ascii="Book Antiqua" w:hAnsi="Book Antiqua" w:cs="Arial"/>
        </w:rPr>
        <w:t xml:space="preserve"> At [15] and [57] the FTT described the </w:t>
      </w:r>
      <w:r w:rsidR="004E5CC9">
        <w:rPr>
          <w:rFonts w:ascii="Book Antiqua" w:hAnsi="Book Antiqua" w:cs="Arial"/>
        </w:rPr>
        <w:t>“</w:t>
      </w:r>
      <w:r w:rsidR="00484AB4">
        <w:rPr>
          <w:rFonts w:ascii="Book Antiqua" w:hAnsi="Book Antiqua" w:cs="Arial"/>
        </w:rPr>
        <w:t>principal</w:t>
      </w:r>
      <w:r w:rsidR="004E5CC9">
        <w:rPr>
          <w:rFonts w:ascii="Book Antiqua" w:hAnsi="Book Antiqua" w:cs="Arial"/>
        </w:rPr>
        <w:t>”</w:t>
      </w:r>
      <w:r w:rsidR="00484AB4">
        <w:rPr>
          <w:rFonts w:ascii="Book Antiqua" w:hAnsi="Book Antiqua" w:cs="Arial"/>
        </w:rPr>
        <w:t xml:space="preserve"> or </w:t>
      </w:r>
      <w:r w:rsidR="004E5CC9">
        <w:rPr>
          <w:rFonts w:ascii="Book Antiqua" w:hAnsi="Book Antiqua" w:cs="Arial"/>
        </w:rPr>
        <w:t>“</w:t>
      </w:r>
      <w:r w:rsidR="00484AB4">
        <w:rPr>
          <w:rFonts w:ascii="Book Antiqua" w:hAnsi="Book Antiqua" w:cs="Arial"/>
        </w:rPr>
        <w:t>primary</w:t>
      </w:r>
      <w:r w:rsidR="004E5CC9">
        <w:rPr>
          <w:rFonts w:ascii="Book Antiqua" w:hAnsi="Book Antiqua" w:cs="Arial"/>
        </w:rPr>
        <w:t>”</w:t>
      </w:r>
      <w:r w:rsidR="00484AB4">
        <w:rPr>
          <w:rFonts w:ascii="Book Antiqua" w:hAnsi="Book Antiqua" w:cs="Arial"/>
        </w:rPr>
        <w:t xml:space="preserve"> issue as being the credibility of the appellant’s account to be a Christian convert.  The FTT heard evidence from the appellant and Pastor Steenkamp from the West London Family Church.  The FTT outlined its reasons for finding the evidence from both witnesses regarding the appellant’s conversion to be unreliable before concluding at [71] that the appellant had not established that he is a genuine Christian.   The appeal was dismissed on asylum and human rights grounds.</w:t>
      </w:r>
    </w:p>
    <w:p w:rsidR="00764BCA" w:rsidRDefault="00764BCA" w:rsidP="00E57B93">
      <w:pPr>
        <w:ind w:left="1134" w:hanging="567"/>
        <w:jc w:val="both"/>
        <w:rPr>
          <w:rFonts w:ascii="Book Antiqua" w:hAnsi="Book Antiqua" w:cs="Arial"/>
        </w:rPr>
      </w:pPr>
    </w:p>
    <w:p w:rsidR="00764BCA" w:rsidRPr="00764BCA" w:rsidRDefault="00484AB4" w:rsidP="00764BCA">
      <w:pPr>
        <w:ind w:left="1134" w:hanging="1134"/>
        <w:jc w:val="both"/>
        <w:rPr>
          <w:rFonts w:ascii="Book Antiqua" w:hAnsi="Book Antiqua" w:cs="Arial"/>
          <w:b/>
        </w:rPr>
      </w:pPr>
      <w:r>
        <w:rPr>
          <w:rFonts w:ascii="Book Antiqua" w:hAnsi="Book Antiqua" w:cs="Arial"/>
          <w:b/>
        </w:rPr>
        <w:t>Grounds of appeal</w:t>
      </w:r>
    </w:p>
    <w:p w:rsidR="00764BCA" w:rsidRDefault="00764BCA" w:rsidP="00484AB4">
      <w:pPr>
        <w:jc w:val="both"/>
        <w:rPr>
          <w:rFonts w:ascii="Book Antiqua" w:hAnsi="Book Antiqua" w:cs="Arial"/>
        </w:rPr>
      </w:pPr>
    </w:p>
    <w:p w:rsidR="00935D07" w:rsidRDefault="004179B6" w:rsidP="00E57B93">
      <w:pPr>
        <w:ind w:left="1134" w:hanging="567"/>
        <w:jc w:val="both"/>
        <w:rPr>
          <w:rFonts w:ascii="Book Antiqua" w:hAnsi="Book Antiqua" w:cs="Arial"/>
        </w:rPr>
      </w:pPr>
      <w:r>
        <w:rPr>
          <w:rFonts w:ascii="Book Antiqua" w:hAnsi="Book Antiqua" w:cs="Arial"/>
        </w:rPr>
        <w:t>4</w:t>
      </w:r>
      <w:r w:rsidR="00764BCA">
        <w:rPr>
          <w:rFonts w:ascii="Book Antiqua" w:hAnsi="Book Antiqua" w:cs="Arial"/>
        </w:rPr>
        <w:t>.</w:t>
      </w:r>
      <w:r w:rsidR="00764BCA">
        <w:rPr>
          <w:rFonts w:ascii="Book Antiqua" w:hAnsi="Book Antiqua" w:cs="Arial"/>
        </w:rPr>
        <w:tab/>
      </w:r>
      <w:r w:rsidR="00484AB4">
        <w:rPr>
          <w:rFonts w:ascii="Book Antiqua" w:hAnsi="Book Antiqua" w:cs="Arial"/>
        </w:rPr>
        <w:t xml:space="preserve">The grounds of appeal were prepared by the appellant himself.  He submitted </w:t>
      </w:r>
      <w:r w:rsidR="00935D07">
        <w:rPr>
          <w:rFonts w:ascii="Book Antiqua" w:hAnsi="Book Antiqua" w:cs="Arial"/>
        </w:rPr>
        <w:t>that although he “</w:t>
      </w:r>
      <w:r w:rsidR="00935D07" w:rsidRPr="00935D07">
        <w:rPr>
          <w:rFonts w:ascii="Book Antiqua" w:hAnsi="Book Antiqua" w:cs="Arial"/>
          <w:i/>
        </w:rPr>
        <w:t>might not know much about the Bible</w:t>
      </w:r>
      <w:r w:rsidR="00935D07">
        <w:rPr>
          <w:rFonts w:ascii="Book Antiqua" w:hAnsi="Book Antiqua" w:cs="Arial"/>
        </w:rPr>
        <w:t>”, the FTT had sufficient evidence in the form of a baptism certificate and evidence of his Church activities to support his claimed conversion.</w:t>
      </w:r>
    </w:p>
    <w:p w:rsidR="00935D07" w:rsidRDefault="00935D07" w:rsidP="00E57B93">
      <w:pPr>
        <w:ind w:left="1134" w:hanging="567"/>
        <w:jc w:val="both"/>
        <w:rPr>
          <w:rFonts w:ascii="Book Antiqua" w:hAnsi="Book Antiqua" w:cs="Arial"/>
        </w:rPr>
      </w:pPr>
    </w:p>
    <w:p w:rsidR="00935D07" w:rsidRDefault="00935D07" w:rsidP="00E57B93">
      <w:pPr>
        <w:ind w:left="1134" w:hanging="567"/>
        <w:jc w:val="both"/>
        <w:rPr>
          <w:rFonts w:ascii="Book Antiqua" w:hAnsi="Book Antiqua" w:cs="Arial"/>
        </w:rPr>
      </w:pPr>
      <w:r>
        <w:rPr>
          <w:rFonts w:ascii="Book Antiqua" w:hAnsi="Book Antiqua" w:cs="Arial"/>
        </w:rPr>
        <w:t>5.</w:t>
      </w:r>
      <w:r>
        <w:rPr>
          <w:rFonts w:ascii="Book Antiqua" w:hAnsi="Book Antiqua" w:cs="Arial"/>
        </w:rPr>
        <w:tab/>
        <w:t xml:space="preserve">When granting permission </w:t>
      </w:r>
      <w:r w:rsidR="00CE3964">
        <w:rPr>
          <w:rFonts w:ascii="Book Antiqua" w:hAnsi="Book Antiqua" w:cs="Arial"/>
        </w:rPr>
        <w:t xml:space="preserve">to appeal </w:t>
      </w:r>
      <w:r>
        <w:rPr>
          <w:rFonts w:ascii="Book Antiqua" w:hAnsi="Book Antiqua" w:cs="Arial"/>
        </w:rPr>
        <w:t xml:space="preserve">in a decision dated 16 May 2018, FTT Judge Parker considered it arguable that although the </w:t>
      </w:r>
      <w:proofErr w:type="gramStart"/>
      <w:r>
        <w:rPr>
          <w:rFonts w:ascii="Book Antiqua" w:hAnsi="Book Antiqua" w:cs="Arial"/>
        </w:rPr>
        <w:t>FTT  referred</w:t>
      </w:r>
      <w:proofErr w:type="gramEnd"/>
      <w:r>
        <w:rPr>
          <w:rFonts w:ascii="Book Antiqua" w:hAnsi="Book Antiqua" w:cs="Arial"/>
        </w:rPr>
        <w:t xml:space="preserve"> to </w:t>
      </w:r>
      <w:r w:rsidRPr="004E5CC9">
        <w:rPr>
          <w:rFonts w:ascii="Book Antiqua" w:hAnsi="Book Antiqua" w:cs="Arial"/>
          <w:u w:val="single"/>
        </w:rPr>
        <w:t>SA (Iran) v SSHD</w:t>
      </w:r>
      <w:r>
        <w:rPr>
          <w:rFonts w:ascii="Book Antiqua" w:hAnsi="Book Antiqua" w:cs="Arial"/>
        </w:rPr>
        <w:t xml:space="preserve"> [2012] EWHC 2575 (Admin)</w:t>
      </w:r>
      <w:r w:rsidR="00CE3964">
        <w:rPr>
          <w:rFonts w:ascii="Book Antiqua" w:hAnsi="Book Antiqua" w:cs="Arial"/>
        </w:rPr>
        <w:t>, it</w:t>
      </w:r>
      <w:r>
        <w:rPr>
          <w:rFonts w:ascii="Book Antiqua" w:hAnsi="Book Antiqua" w:cs="Arial"/>
        </w:rPr>
        <w:t xml:space="preserve"> arguably did not follow the recommended approach in </w:t>
      </w:r>
      <w:r w:rsidR="00CE3964">
        <w:rPr>
          <w:rFonts w:ascii="Book Antiqua" w:hAnsi="Book Antiqua" w:cs="Arial"/>
        </w:rPr>
        <w:t>that it</w:t>
      </w:r>
      <w:r>
        <w:rPr>
          <w:rFonts w:ascii="Book Antiqua" w:hAnsi="Book Antiqua" w:cs="Arial"/>
        </w:rPr>
        <w:t xml:space="preserve"> did not place much weight on the appellant’s five years of Church attendance and failed to consider other possible reasons for the appellant’s limited knowledge.</w:t>
      </w:r>
    </w:p>
    <w:p w:rsidR="00935D07" w:rsidRDefault="00935D07" w:rsidP="00E57B93">
      <w:pPr>
        <w:ind w:left="1134" w:hanging="567"/>
        <w:jc w:val="both"/>
        <w:rPr>
          <w:rFonts w:ascii="Book Antiqua" w:hAnsi="Book Antiqua" w:cs="Arial"/>
        </w:rPr>
      </w:pPr>
    </w:p>
    <w:p w:rsidR="00935D07" w:rsidRDefault="00935D07" w:rsidP="00E57B93">
      <w:pPr>
        <w:ind w:left="1134" w:hanging="567"/>
        <w:jc w:val="both"/>
        <w:rPr>
          <w:rFonts w:ascii="Book Antiqua" w:hAnsi="Book Antiqua" w:cs="Arial"/>
        </w:rPr>
      </w:pPr>
      <w:r>
        <w:rPr>
          <w:rFonts w:ascii="Book Antiqua" w:hAnsi="Book Antiqua" w:cs="Arial"/>
        </w:rPr>
        <w:t>6.</w:t>
      </w:r>
      <w:r>
        <w:rPr>
          <w:rFonts w:ascii="Book Antiqua" w:hAnsi="Book Antiqua" w:cs="Arial"/>
        </w:rPr>
        <w:tab/>
        <w:t>In a rule 24 response the SSHD submitted that the FTT was entitled to attach little weight to the evidence of Pastor Steenkamp and the findings of fact were open to it.</w:t>
      </w:r>
    </w:p>
    <w:p w:rsidR="00764BCA" w:rsidRDefault="00764BCA" w:rsidP="00935D07">
      <w:pPr>
        <w:jc w:val="both"/>
        <w:rPr>
          <w:rFonts w:ascii="Book Antiqua" w:hAnsi="Book Antiqua" w:cs="Arial"/>
        </w:rPr>
      </w:pPr>
    </w:p>
    <w:p w:rsidR="00764BCA" w:rsidRPr="00764BCA" w:rsidRDefault="00764BCA" w:rsidP="00764BCA">
      <w:pPr>
        <w:ind w:left="1134" w:hanging="1134"/>
        <w:jc w:val="both"/>
        <w:rPr>
          <w:rFonts w:ascii="Book Antiqua" w:hAnsi="Book Antiqua" w:cs="Arial"/>
          <w:b/>
        </w:rPr>
      </w:pPr>
      <w:r>
        <w:rPr>
          <w:rFonts w:ascii="Book Antiqua" w:hAnsi="Book Antiqua" w:cs="Arial"/>
          <w:b/>
        </w:rPr>
        <w:t xml:space="preserve">Hearing </w:t>
      </w:r>
    </w:p>
    <w:p w:rsidR="00764BCA" w:rsidRDefault="00764BCA" w:rsidP="00E57B93">
      <w:pPr>
        <w:ind w:left="1134" w:hanging="567"/>
        <w:jc w:val="both"/>
        <w:rPr>
          <w:rFonts w:ascii="Book Antiqua" w:hAnsi="Book Antiqua" w:cs="Arial"/>
        </w:rPr>
      </w:pPr>
    </w:p>
    <w:p w:rsidR="004E5CC9" w:rsidRDefault="00935D07" w:rsidP="00935D07">
      <w:pPr>
        <w:ind w:left="1134" w:hanging="567"/>
        <w:jc w:val="both"/>
        <w:rPr>
          <w:rFonts w:ascii="Book Antiqua" w:hAnsi="Book Antiqua" w:cs="Arial"/>
        </w:rPr>
      </w:pPr>
      <w:r>
        <w:rPr>
          <w:rFonts w:ascii="Book Antiqua" w:hAnsi="Book Antiqua" w:cs="Arial"/>
        </w:rPr>
        <w:t>7</w:t>
      </w:r>
      <w:r w:rsidR="00764BCA">
        <w:rPr>
          <w:rFonts w:ascii="Book Antiqua" w:hAnsi="Book Antiqua" w:cs="Arial"/>
        </w:rPr>
        <w:t>.</w:t>
      </w:r>
      <w:r w:rsidR="00764BCA">
        <w:rPr>
          <w:rFonts w:ascii="Book Antiqua" w:hAnsi="Book Antiqua" w:cs="Arial"/>
        </w:rPr>
        <w:tab/>
        <w:t>A</w:t>
      </w:r>
      <w:r w:rsidR="00CC3465">
        <w:rPr>
          <w:rFonts w:ascii="Book Antiqua" w:hAnsi="Book Antiqua" w:cs="Arial"/>
        </w:rPr>
        <w:t>t the hearing before me M</w:t>
      </w:r>
      <w:r w:rsidR="004E5CC9">
        <w:rPr>
          <w:rFonts w:ascii="Book Antiqua" w:hAnsi="Book Antiqua" w:cs="Arial"/>
        </w:rPr>
        <w:t>r Karnik noted that the grounds had been prepared by the appellant himself and acknowledged that there had been no application to amend the grounds.  He was therefore content to rely on the grounds drafted</w:t>
      </w:r>
      <w:r w:rsidR="00CE3964">
        <w:rPr>
          <w:rFonts w:ascii="Book Antiqua" w:hAnsi="Book Antiqua" w:cs="Arial"/>
        </w:rPr>
        <w:t xml:space="preserve"> as drafted</w:t>
      </w:r>
      <w:r w:rsidR="004E5CC9">
        <w:rPr>
          <w:rFonts w:ascii="Book Antiqua" w:hAnsi="Book Antiqua" w:cs="Arial"/>
        </w:rPr>
        <w:t xml:space="preserve"> and the observations when permission to appeal was granted.</w:t>
      </w:r>
    </w:p>
    <w:p w:rsidR="004E5CC9" w:rsidRDefault="004E5CC9" w:rsidP="00935D07">
      <w:pPr>
        <w:ind w:left="1134" w:hanging="567"/>
        <w:jc w:val="both"/>
        <w:rPr>
          <w:rFonts w:ascii="Book Antiqua" w:hAnsi="Book Antiqua" w:cs="Arial"/>
        </w:rPr>
      </w:pPr>
    </w:p>
    <w:p w:rsidR="004E5CC9" w:rsidRDefault="004E5CC9" w:rsidP="00935D07">
      <w:pPr>
        <w:ind w:left="1134" w:hanging="567"/>
        <w:jc w:val="both"/>
        <w:rPr>
          <w:rFonts w:ascii="Book Antiqua" w:hAnsi="Book Antiqua" w:cs="Arial"/>
        </w:rPr>
      </w:pPr>
      <w:r>
        <w:rPr>
          <w:rFonts w:ascii="Book Antiqua" w:hAnsi="Book Antiqua" w:cs="Arial"/>
        </w:rPr>
        <w:t>8.</w:t>
      </w:r>
      <w:r>
        <w:rPr>
          <w:rFonts w:ascii="Book Antiqua" w:hAnsi="Book Antiqua" w:cs="Arial"/>
        </w:rPr>
        <w:tab/>
        <w:t>Mr Karnik</w:t>
      </w:r>
      <w:r w:rsidR="008F2D1B">
        <w:rPr>
          <w:rFonts w:ascii="Book Antiqua" w:hAnsi="Book Antiqua" w:cs="Arial"/>
        </w:rPr>
        <w:t xml:space="preserve"> </w:t>
      </w:r>
      <w:r>
        <w:rPr>
          <w:rFonts w:ascii="Book Antiqua" w:hAnsi="Book Antiqua" w:cs="Arial"/>
        </w:rPr>
        <w:t>submitted that the FTT focussed upon the appellant’s knowledge of Christianity and failed to consider this in the round with the evidence of the appellant’s practical commitment to his Christian beliefs.</w:t>
      </w:r>
    </w:p>
    <w:p w:rsidR="004E5CC9" w:rsidRDefault="004E5CC9" w:rsidP="00935D07">
      <w:pPr>
        <w:ind w:left="1134" w:hanging="567"/>
        <w:jc w:val="both"/>
        <w:rPr>
          <w:rFonts w:ascii="Book Antiqua" w:hAnsi="Book Antiqua" w:cs="Arial"/>
        </w:rPr>
      </w:pPr>
    </w:p>
    <w:p w:rsidR="007413F5" w:rsidRDefault="004E5CC9" w:rsidP="004E5CC9">
      <w:pPr>
        <w:ind w:left="1134" w:hanging="567"/>
        <w:jc w:val="both"/>
        <w:rPr>
          <w:rFonts w:ascii="Book Antiqua" w:hAnsi="Book Antiqua" w:cs="Arial"/>
        </w:rPr>
      </w:pPr>
      <w:r>
        <w:rPr>
          <w:rFonts w:ascii="Book Antiqua" w:hAnsi="Book Antiqua" w:cs="Arial"/>
        </w:rPr>
        <w:lastRenderedPageBreak/>
        <w:t>9.</w:t>
      </w:r>
      <w:r>
        <w:rPr>
          <w:rFonts w:ascii="Book Antiqua" w:hAnsi="Book Antiqua" w:cs="Arial"/>
        </w:rPr>
        <w:tab/>
      </w:r>
      <w:r w:rsidR="00764BCA">
        <w:rPr>
          <w:rFonts w:ascii="Book Antiqua" w:hAnsi="Book Antiqua" w:cs="Arial"/>
        </w:rPr>
        <w:t xml:space="preserve">Mr </w:t>
      </w:r>
      <w:r w:rsidR="00CC3465">
        <w:rPr>
          <w:rFonts w:ascii="Book Antiqua" w:hAnsi="Book Antiqua" w:cs="Arial"/>
        </w:rPr>
        <w:t>Bates</w:t>
      </w:r>
      <w:r w:rsidR="00764BCA">
        <w:rPr>
          <w:rFonts w:ascii="Book Antiqua" w:hAnsi="Book Antiqua" w:cs="Arial"/>
        </w:rPr>
        <w:t xml:space="preserve"> relied upon a rule 24 notice</w:t>
      </w:r>
      <w:r w:rsidR="008F2D1B">
        <w:rPr>
          <w:rFonts w:ascii="Book Antiqua" w:hAnsi="Book Antiqua" w:cs="Arial"/>
        </w:rPr>
        <w:t xml:space="preserve"> dated </w:t>
      </w:r>
      <w:r>
        <w:rPr>
          <w:rFonts w:ascii="Book Antiqua" w:hAnsi="Book Antiqua" w:cs="Arial"/>
        </w:rPr>
        <w:t>13 June 2018</w:t>
      </w:r>
      <w:r w:rsidR="00764BCA">
        <w:rPr>
          <w:rFonts w:ascii="Book Antiqua" w:hAnsi="Book Antiqua" w:cs="Arial"/>
        </w:rPr>
        <w:t xml:space="preserve">.  </w:t>
      </w:r>
      <w:r w:rsidR="007413F5">
        <w:rPr>
          <w:rFonts w:ascii="Book Antiqua" w:hAnsi="Book Antiqua" w:cs="Arial"/>
        </w:rPr>
        <w:t xml:space="preserve"> He asked me to find that the factual findings were entirely open to the F</w:t>
      </w:r>
      <w:r w:rsidR="005C73F4">
        <w:rPr>
          <w:rFonts w:ascii="Book Antiqua" w:hAnsi="Book Antiqua" w:cs="Arial"/>
        </w:rPr>
        <w:t>TT</w:t>
      </w:r>
      <w:r>
        <w:rPr>
          <w:rFonts w:ascii="Book Antiqua" w:hAnsi="Book Antiqua" w:cs="Arial"/>
        </w:rPr>
        <w:t xml:space="preserve"> and that when the decision is read as a whole, there has been no failure to take relevant matters into account</w:t>
      </w:r>
      <w:r w:rsidR="007413F5">
        <w:rPr>
          <w:rFonts w:ascii="Book Antiqua" w:hAnsi="Book Antiqua" w:cs="Arial"/>
        </w:rPr>
        <w:t>.</w:t>
      </w:r>
    </w:p>
    <w:p w:rsidR="007413F5" w:rsidRDefault="007413F5" w:rsidP="000E5E3F">
      <w:pPr>
        <w:ind w:left="1134" w:hanging="567"/>
        <w:jc w:val="both"/>
        <w:rPr>
          <w:rFonts w:ascii="Book Antiqua" w:hAnsi="Book Antiqua" w:cs="Arial"/>
        </w:rPr>
      </w:pPr>
    </w:p>
    <w:p w:rsidR="00764BCA" w:rsidRDefault="004E5CC9" w:rsidP="000E5E3F">
      <w:pPr>
        <w:ind w:left="1134" w:hanging="567"/>
        <w:jc w:val="both"/>
        <w:rPr>
          <w:rFonts w:ascii="Book Antiqua" w:hAnsi="Book Antiqua" w:cs="Arial"/>
        </w:rPr>
      </w:pPr>
      <w:r>
        <w:rPr>
          <w:rFonts w:ascii="Book Antiqua" w:hAnsi="Book Antiqua" w:cs="Arial"/>
        </w:rPr>
        <w:t>10</w:t>
      </w:r>
      <w:r w:rsidR="008F2D1B">
        <w:rPr>
          <w:rFonts w:ascii="Book Antiqua" w:hAnsi="Book Antiqua" w:cs="Arial"/>
        </w:rPr>
        <w:t>.</w:t>
      </w:r>
      <w:r w:rsidR="008F2D1B">
        <w:rPr>
          <w:rFonts w:ascii="Book Antiqua" w:hAnsi="Book Antiqua" w:cs="Arial"/>
        </w:rPr>
        <w:tab/>
      </w:r>
      <w:r w:rsidR="00764BCA">
        <w:rPr>
          <w:rFonts w:ascii="Book Antiqua" w:hAnsi="Book Antiqua" w:cs="Arial"/>
        </w:rPr>
        <w:t>After hearing from both representatives, I reserved my decision, which I now provide with reasons.</w:t>
      </w:r>
    </w:p>
    <w:p w:rsidR="00935D07" w:rsidRPr="00935D07" w:rsidRDefault="00935D07" w:rsidP="00935D07">
      <w:pPr>
        <w:ind w:left="1134" w:hanging="567"/>
        <w:jc w:val="both"/>
        <w:rPr>
          <w:rFonts w:ascii="Book Antiqua" w:hAnsi="Book Antiqua" w:cs="Arial"/>
        </w:rPr>
      </w:pPr>
      <w:r>
        <w:rPr>
          <w:rFonts w:ascii="Book Antiqua" w:hAnsi="Book Antiqua" w:cs="Arial"/>
        </w:rPr>
        <w:tab/>
      </w:r>
    </w:p>
    <w:p w:rsidR="00764BCA" w:rsidRPr="00764BCA" w:rsidRDefault="00764BCA" w:rsidP="00764BCA">
      <w:pPr>
        <w:ind w:left="1134" w:hanging="1134"/>
        <w:jc w:val="both"/>
        <w:rPr>
          <w:rFonts w:ascii="Book Antiqua" w:hAnsi="Book Antiqua" w:cs="Arial"/>
          <w:b/>
        </w:rPr>
      </w:pPr>
      <w:r>
        <w:rPr>
          <w:rFonts w:ascii="Book Antiqua" w:hAnsi="Book Antiqua" w:cs="Arial"/>
          <w:b/>
        </w:rPr>
        <w:t>Error of law discussion</w:t>
      </w:r>
    </w:p>
    <w:p w:rsidR="004E7041" w:rsidRDefault="004E7041" w:rsidP="002858DB">
      <w:pPr>
        <w:jc w:val="both"/>
        <w:rPr>
          <w:rFonts w:ascii="Book Antiqua" w:hAnsi="Book Antiqua" w:cs="Arial"/>
        </w:rPr>
      </w:pPr>
    </w:p>
    <w:p w:rsidR="002858DB" w:rsidRDefault="00745283" w:rsidP="00E33428">
      <w:pPr>
        <w:ind w:left="1134" w:hanging="567"/>
        <w:jc w:val="both"/>
        <w:rPr>
          <w:rFonts w:ascii="Book Antiqua" w:hAnsi="Book Antiqua" w:cs="Arial"/>
        </w:rPr>
      </w:pPr>
      <w:r>
        <w:rPr>
          <w:rFonts w:ascii="Book Antiqua" w:hAnsi="Book Antiqua" w:cs="Arial"/>
        </w:rPr>
        <w:t>1</w:t>
      </w:r>
      <w:r w:rsidR="004C0242">
        <w:rPr>
          <w:rFonts w:ascii="Book Antiqua" w:hAnsi="Book Antiqua" w:cs="Arial"/>
        </w:rPr>
        <w:t>1</w:t>
      </w:r>
      <w:r w:rsidR="004E7041">
        <w:rPr>
          <w:rFonts w:ascii="Book Antiqua" w:hAnsi="Book Antiqua" w:cs="Arial"/>
        </w:rPr>
        <w:t>.</w:t>
      </w:r>
      <w:r w:rsidR="004E7041">
        <w:rPr>
          <w:rFonts w:ascii="Book Antiqua" w:hAnsi="Book Antiqua" w:cs="Arial"/>
        </w:rPr>
        <w:tab/>
      </w:r>
      <w:r w:rsidR="002858DB">
        <w:rPr>
          <w:rFonts w:ascii="Book Antiqua" w:hAnsi="Book Antiqua" w:cs="Arial"/>
        </w:rPr>
        <w:t>The FTT has adequately taken into account all relevant evidence and made findings on that evidence entirely open to it.</w:t>
      </w:r>
      <w:r w:rsidR="00BE3802">
        <w:rPr>
          <w:rFonts w:ascii="Book Antiqua" w:hAnsi="Book Antiqua" w:cs="Arial"/>
        </w:rPr>
        <w:t xml:space="preserve">  The </w:t>
      </w:r>
      <w:r w:rsidR="0060068A">
        <w:rPr>
          <w:rFonts w:ascii="Book Antiqua" w:hAnsi="Book Antiqua" w:cs="Arial"/>
        </w:rPr>
        <w:t>FTT was clearly aware of and took into account the appellant’s</w:t>
      </w:r>
      <w:r w:rsidR="004E5CC9">
        <w:rPr>
          <w:rFonts w:ascii="Book Antiqua" w:hAnsi="Book Antiqua" w:cs="Arial"/>
        </w:rPr>
        <w:t>: witness statement [11];</w:t>
      </w:r>
      <w:r w:rsidR="0060068A">
        <w:rPr>
          <w:rFonts w:ascii="Book Antiqua" w:hAnsi="Book Antiqua" w:cs="Arial"/>
        </w:rPr>
        <w:t xml:space="preserve"> claimed Church attendance [13, 22, 23]</w:t>
      </w:r>
      <w:r w:rsidR="004E5CC9">
        <w:rPr>
          <w:rFonts w:ascii="Book Antiqua" w:hAnsi="Book Antiqua" w:cs="Arial"/>
        </w:rPr>
        <w:t>;</w:t>
      </w:r>
      <w:r w:rsidR="0060068A">
        <w:rPr>
          <w:rFonts w:ascii="Book Antiqua" w:hAnsi="Book Antiqua" w:cs="Arial"/>
        </w:rPr>
        <w:t xml:space="preserve"> claimed Church activities</w:t>
      </w:r>
      <w:r w:rsidR="004E5CC9">
        <w:rPr>
          <w:rFonts w:ascii="Book Antiqua" w:hAnsi="Book Antiqua" w:cs="Arial"/>
        </w:rPr>
        <w:t xml:space="preserve"> [14]; claim that his Christianity was known to those in Pakistan [24];</w:t>
      </w:r>
      <w:r w:rsidR="0060068A">
        <w:rPr>
          <w:rFonts w:ascii="Book Antiqua" w:hAnsi="Book Antiqua" w:cs="Arial"/>
        </w:rPr>
        <w:t xml:space="preserve"> explanation for the incorrect date on his baptismal certificate [21] and</w:t>
      </w:r>
      <w:r w:rsidR="004E5CC9">
        <w:rPr>
          <w:rFonts w:ascii="Book Antiqua" w:hAnsi="Book Antiqua" w:cs="Arial"/>
        </w:rPr>
        <w:t>;</w:t>
      </w:r>
      <w:r w:rsidR="0060068A">
        <w:rPr>
          <w:rFonts w:ascii="Book Antiqua" w:hAnsi="Book Antiqua" w:cs="Arial"/>
        </w:rPr>
        <w:t xml:space="preserve"> claimed activities in detention [69].  The submissions in the grounds that these matters were not taken into account by the FTT is without any foundation.</w:t>
      </w:r>
      <w:r w:rsidR="004E5CC9">
        <w:rPr>
          <w:rFonts w:ascii="Book Antiqua" w:hAnsi="Book Antiqua" w:cs="Arial"/>
        </w:rPr>
        <w:t xml:space="preserve">  </w:t>
      </w:r>
      <w:r w:rsidR="00BF67C8">
        <w:rPr>
          <w:rFonts w:ascii="Book Antiqua" w:hAnsi="Book Antiqua" w:cs="Arial"/>
        </w:rPr>
        <w:t xml:space="preserve">It cannot be said that the FTT left these matters out of </w:t>
      </w:r>
      <w:proofErr w:type="gramStart"/>
      <w:r w:rsidR="00BF67C8">
        <w:rPr>
          <w:rFonts w:ascii="Book Antiqua" w:hAnsi="Book Antiqua" w:cs="Arial"/>
        </w:rPr>
        <w:t>account  when</w:t>
      </w:r>
      <w:proofErr w:type="gramEnd"/>
      <w:r w:rsidR="00BF67C8">
        <w:rPr>
          <w:rFonts w:ascii="Book Antiqua" w:hAnsi="Book Antiqua" w:cs="Arial"/>
        </w:rPr>
        <w:t xml:space="preserve"> reaching the conclusion that the appellant had not proved to the lower standard that he is a Christian at [71].  Although these matters may not be expressly addressed under the heading “findings of fact”, the FTT made it clear that it had considered all the evidence and submissions, and made a rounded assessment at [56].</w:t>
      </w:r>
    </w:p>
    <w:p w:rsidR="0060068A" w:rsidRDefault="0060068A" w:rsidP="00E33428">
      <w:pPr>
        <w:ind w:left="1134" w:hanging="567"/>
        <w:jc w:val="both"/>
        <w:rPr>
          <w:rFonts w:ascii="Book Antiqua" w:hAnsi="Book Antiqua" w:cs="Arial"/>
        </w:rPr>
      </w:pPr>
    </w:p>
    <w:p w:rsidR="004C0242" w:rsidRDefault="002858DB" w:rsidP="004C0242">
      <w:pPr>
        <w:ind w:left="1134" w:hanging="567"/>
        <w:jc w:val="both"/>
        <w:rPr>
          <w:rFonts w:ascii="Book Antiqua" w:hAnsi="Book Antiqua" w:cs="Arial"/>
        </w:rPr>
      </w:pPr>
      <w:r>
        <w:rPr>
          <w:rFonts w:ascii="Book Antiqua" w:hAnsi="Book Antiqua" w:cs="Arial"/>
        </w:rPr>
        <w:t xml:space="preserve"> </w:t>
      </w:r>
      <w:r w:rsidR="004C0242">
        <w:rPr>
          <w:rFonts w:ascii="Book Antiqua" w:hAnsi="Book Antiqua" w:cs="Arial"/>
        </w:rPr>
        <w:t>12</w:t>
      </w:r>
      <w:r w:rsidR="00475F2B">
        <w:rPr>
          <w:rFonts w:ascii="Book Antiqua" w:hAnsi="Book Antiqua" w:cs="Arial"/>
        </w:rPr>
        <w:t>.</w:t>
      </w:r>
      <w:r w:rsidR="00475F2B">
        <w:rPr>
          <w:rFonts w:ascii="Book Antiqua" w:hAnsi="Book Antiqua" w:cs="Arial"/>
        </w:rPr>
        <w:tab/>
        <w:t>The FTT</w:t>
      </w:r>
      <w:r w:rsidR="0060068A">
        <w:rPr>
          <w:rFonts w:ascii="Book Antiqua" w:hAnsi="Book Antiqua" w:cs="Arial"/>
        </w:rPr>
        <w:t xml:space="preserve"> considered the Applicant’s lack of knowledge of the </w:t>
      </w:r>
      <w:proofErr w:type="gramStart"/>
      <w:r w:rsidR="0060068A">
        <w:rPr>
          <w:rFonts w:ascii="Book Antiqua" w:hAnsi="Book Antiqua" w:cs="Arial"/>
        </w:rPr>
        <w:t>Bible  and</w:t>
      </w:r>
      <w:proofErr w:type="gramEnd"/>
      <w:r w:rsidR="0060068A">
        <w:rPr>
          <w:rFonts w:ascii="Book Antiqua" w:hAnsi="Book Antiqua" w:cs="Arial"/>
        </w:rPr>
        <w:t xml:space="preserve"> was entitled to draw adverse inferences in this particular case for the reasons set out at [59] and [66] to [70].  </w:t>
      </w:r>
      <w:r w:rsidR="00BF67C8">
        <w:rPr>
          <w:rFonts w:ascii="Book Antiqua" w:hAnsi="Book Antiqua" w:cs="Arial"/>
        </w:rPr>
        <w:t xml:space="preserve">The evidence </w:t>
      </w:r>
      <w:r w:rsidR="00475F2B">
        <w:rPr>
          <w:rFonts w:ascii="Book Antiqua" w:hAnsi="Book Antiqua" w:cs="Arial"/>
        </w:rPr>
        <w:t>regarding claimed Bible study at the Church</w:t>
      </w:r>
      <w:r w:rsidR="00BF67C8">
        <w:rPr>
          <w:rFonts w:ascii="Book Antiqua" w:hAnsi="Book Antiqua" w:cs="Arial"/>
        </w:rPr>
        <w:t xml:space="preserve"> was considered to be inconsistent and unreliable – see [14], [42] and [65].  The FTT explicitly directed itself to </w:t>
      </w:r>
      <w:r w:rsidR="00BF67C8" w:rsidRPr="00475F2B">
        <w:rPr>
          <w:rFonts w:ascii="Book Antiqua" w:hAnsi="Book Antiqua" w:cs="Arial"/>
          <w:u w:val="single"/>
        </w:rPr>
        <w:t>SA (Iran)</w:t>
      </w:r>
      <w:r w:rsidR="00BF67C8">
        <w:rPr>
          <w:rFonts w:ascii="Book Antiqua" w:hAnsi="Book Antiqua" w:cs="Arial"/>
        </w:rPr>
        <w:t xml:space="preserve"> and the submissions made on the appellant’s behalf in relation to the observations in that decision.  I acknowledge that a person’s commitment to his faith as evidenced by Church attendance and religious activities, may be capable in principle of providing a better indicator of genuine conversion than mere knowledge of the religion.  </w:t>
      </w:r>
      <w:proofErr w:type="gramStart"/>
      <w:r w:rsidR="00BF67C8">
        <w:rPr>
          <w:rFonts w:ascii="Book Antiqua" w:hAnsi="Book Antiqua" w:cs="Arial"/>
        </w:rPr>
        <w:t>However</w:t>
      </w:r>
      <w:proofErr w:type="gramEnd"/>
      <w:r w:rsidR="00BF67C8">
        <w:rPr>
          <w:rFonts w:ascii="Book Antiqua" w:hAnsi="Book Antiqua" w:cs="Arial"/>
        </w:rPr>
        <w:t xml:space="preserve"> this is a case in which the appellant acknowledged that his Church attendance was irregular </w:t>
      </w:r>
      <w:r w:rsidR="004C0242">
        <w:rPr>
          <w:rFonts w:ascii="Book Antiqua" w:hAnsi="Book Antiqua" w:cs="Arial"/>
        </w:rPr>
        <w:t xml:space="preserve">in more recent years, as noted by the FTT at [13], [23], [28] and [36].  In addition, the FTT was entitled to draw adverse inferences from the appellant’s claim in his witness statement that in detention he engaged in Bible study yet was unable to demonstrate a reasonable grasp of any aspect of the Bible.  </w:t>
      </w:r>
      <w:r w:rsidR="0060068A">
        <w:rPr>
          <w:rFonts w:ascii="Book Antiqua" w:hAnsi="Book Antiqua" w:cs="Arial"/>
        </w:rPr>
        <w:t xml:space="preserve">The FTT was </w:t>
      </w:r>
      <w:r w:rsidR="004C0242">
        <w:rPr>
          <w:rFonts w:ascii="Book Antiqua" w:hAnsi="Book Antiqua" w:cs="Arial"/>
        </w:rPr>
        <w:t xml:space="preserve">therefore </w:t>
      </w:r>
      <w:r w:rsidR="0060068A">
        <w:rPr>
          <w:rFonts w:ascii="Book Antiqua" w:hAnsi="Book Antiqua" w:cs="Arial"/>
        </w:rPr>
        <w:t xml:space="preserve">entitled to give </w:t>
      </w:r>
      <w:r w:rsidR="00593CF6">
        <w:rPr>
          <w:rFonts w:ascii="Book Antiqua" w:hAnsi="Book Antiqua" w:cs="Arial"/>
        </w:rPr>
        <w:t xml:space="preserve">more </w:t>
      </w:r>
      <w:r w:rsidR="0060068A">
        <w:rPr>
          <w:rFonts w:ascii="Book Antiqua" w:hAnsi="Book Antiqua" w:cs="Arial"/>
        </w:rPr>
        <w:t xml:space="preserve">limited attention to </w:t>
      </w:r>
      <w:r w:rsidR="004E5CC9">
        <w:rPr>
          <w:rFonts w:ascii="Book Antiqua" w:hAnsi="Book Antiqua" w:cs="Arial"/>
        </w:rPr>
        <w:t xml:space="preserve">the appellant’s </w:t>
      </w:r>
      <w:r w:rsidR="00593CF6">
        <w:rPr>
          <w:rFonts w:ascii="Book Antiqua" w:hAnsi="Book Antiqua" w:cs="Arial"/>
        </w:rPr>
        <w:t xml:space="preserve">claimed </w:t>
      </w:r>
      <w:r w:rsidR="0060068A">
        <w:rPr>
          <w:rFonts w:ascii="Book Antiqua" w:hAnsi="Book Antiqua" w:cs="Arial"/>
        </w:rPr>
        <w:t>Church attendance</w:t>
      </w:r>
      <w:r w:rsidR="00593CF6">
        <w:rPr>
          <w:rFonts w:ascii="Book Antiqua" w:hAnsi="Book Antiqua" w:cs="Arial"/>
        </w:rPr>
        <w:t xml:space="preserve"> </w:t>
      </w:r>
      <w:r w:rsidR="004E5CC9">
        <w:rPr>
          <w:rFonts w:ascii="Book Antiqua" w:hAnsi="Book Antiqua" w:cs="Arial"/>
        </w:rPr>
        <w:t>and activities</w:t>
      </w:r>
      <w:r w:rsidR="00BF67C8">
        <w:rPr>
          <w:rFonts w:ascii="Book Antiqua" w:hAnsi="Book Antiqua" w:cs="Arial"/>
        </w:rPr>
        <w:t xml:space="preserve">, </w:t>
      </w:r>
      <w:r w:rsidR="00593CF6">
        <w:rPr>
          <w:rFonts w:ascii="Book Antiqua" w:hAnsi="Book Antiqua" w:cs="Arial"/>
        </w:rPr>
        <w:t>in the circumstances of this case.  This included not only an inability to credibly explain a lack of even a basic level of knowledge but also evidence from a Pastor regarded as unreliable.</w:t>
      </w:r>
      <w:r w:rsidR="00EF30FA">
        <w:rPr>
          <w:rFonts w:ascii="Book Antiqua" w:hAnsi="Book Antiqua" w:cs="Arial"/>
        </w:rPr>
        <w:t xml:space="preserve">  </w:t>
      </w:r>
    </w:p>
    <w:p w:rsidR="004C0242" w:rsidRDefault="004C0242" w:rsidP="004C0242">
      <w:pPr>
        <w:ind w:left="1134" w:hanging="567"/>
        <w:jc w:val="both"/>
        <w:rPr>
          <w:rFonts w:ascii="Book Antiqua" w:hAnsi="Book Antiqua" w:cs="Arial"/>
        </w:rPr>
      </w:pPr>
    </w:p>
    <w:p w:rsidR="00E33428" w:rsidRDefault="004C0242" w:rsidP="004C0242">
      <w:pPr>
        <w:ind w:left="1134" w:hanging="567"/>
        <w:jc w:val="both"/>
        <w:rPr>
          <w:rFonts w:ascii="Book Antiqua" w:hAnsi="Book Antiqua" w:cs="Arial"/>
        </w:rPr>
      </w:pPr>
      <w:r>
        <w:rPr>
          <w:rFonts w:ascii="Book Antiqua" w:hAnsi="Book Antiqua" w:cs="Arial"/>
        </w:rPr>
        <w:t>13.</w:t>
      </w:r>
      <w:r>
        <w:rPr>
          <w:rFonts w:ascii="Book Antiqua" w:hAnsi="Book Antiqua" w:cs="Arial"/>
        </w:rPr>
        <w:tab/>
      </w:r>
      <w:r w:rsidR="00EF30FA">
        <w:rPr>
          <w:rFonts w:ascii="Book Antiqua" w:hAnsi="Book Antiqua" w:cs="Arial"/>
        </w:rPr>
        <w:t>The F</w:t>
      </w:r>
      <w:r w:rsidR="00593CF6">
        <w:rPr>
          <w:rFonts w:ascii="Book Antiqua" w:hAnsi="Book Antiqua" w:cs="Arial"/>
        </w:rPr>
        <w:t>TT</w:t>
      </w:r>
      <w:r w:rsidR="00EF30FA">
        <w:rPr>
          <w:rFonts w:ascii="Book Antiqua" w:hAnsi="Book Antiqua" w:cs="Arial"/>
        </w:rPr>
        <w:t xml:space="preserve"> was entitled to attach little weight to </w:t>
      </w:r>
      <w:r w:rsidR="00593CF6">
        <w:rPr>
          <w:rFonts w:ascii="Book Antiqua" w:hAnsi="Book Antiqua" w:cs="Arial"/>
        </w:rPr>
        <w:t xml:space="preserve">Pastor Steenkamp’s evidence </w:t>
      </w:r>
      <w:r w:rsidR="00475F2B">
        <w:rPr>
          <w:rFonts w:ascii="Book Antiqua" w:hAnsi="Book Antiqua" w:cs="Arial"/>
        </w:rPr>
        <w:t xml:space="preserve">and to regard the baptism certificate as unreliable </w:t>
      </w:r>
      <w:r w:rsidR="00593CF6">
        <w:rPr>
          <w:rFonts w:ascii="Book Antiqua" w:hAnsi="Book Antiqua" w:cs="Arial"/>
        </w:rPr>
        <w:t>for the reasons provided at [60</w:t>
      </w:r>
      <w:r w:rsidR="00EF30FA">
        <w:rPr>
          <w:rFonts w:ascii="Book Antiqua" w:hAnsi="Book Antiqua" w:cs="Arial"/>
        </w:rPr>
        <w:t>]</w:t>
      </w:r>
      <w:r w:rsidR="00593CF6">
        <w:rPr>
          <w:rFonts w:ascii="Book Antiqua" w:hAnsi="Book Antiqua" w:cs="Arial"/>
        </w:rPr>
        <w:t xml:space="preserve"> to [65]</w:t>
      </w:r>
      <w:r w:rsidR="00EF30FA">
        <w:rPr>
          <w:rFonts w:ascii="Book Antiqua" w:hAnsi="Book Antiqua" w:cs="Arial"/>
        </w:rPr>
        <w:t xml:space="preserve">.  </w:t>
      </w:r>
      <w:r w:rsidR="00593CF6">
        <w:rPr>
          <w:rFonts w:ascii="Book Antiqua" w:hAnsi="Book Antiqua" w:cs="Arial"/>
        </w:rPr>
        <w:t>These findings are not the subject of any clear criticism in the grounds and no reference is made to these in the grant of permission.</w:t>
      </w:r>
    </w:p>
    <w:p w:rsidR="005C73F4" w:rsidRDefault="005C73F4" w:rsidP="00E33428">
      <w:pPr>
        <w:ind w:left="1134" w:hanging="567"/>
        <w:jc w:val="both"/>
        <w:rPr>
          <w:rFonts w:ascii="Book Antiqua" w:hAnsi="Book Antiqua" w:cs="Arial"/>
        </w:rPr>
      </w:pPr>
    </w:p>
    <w:p w:rsidR="005C73F4" w:rsidRDefault="004C0242" w:rsidP="00E33428">
      <w:pPr>
        <w:ind w:left="1134" w:hanging="567"/>
        <w:jc w:val="both"/>
        <w:rPr>
          <w:rFonts w:ascii="Book Antiqua" w:hAnsi="Book Antiqua" w:cs="Arial"/>
        </w:rPr>
      </w:pPr>
      <w:r>
        <w:rPr>
          <w:rFonts w:ascii="Book Antiqua" w:hAnsi="Book Antiqua" w:cs="Arial"/>
        </w:rPr>
        <w:t>14</w:t>
      </w:r>
      <w:r w:rsidR="005C73F4">
        <w:rPr>
          <w:rFonts w:ascii="Book Antiqua" w:hAnsi="Book Antiqua" w:cs="Arial"/>
        </w:rPr>
        <w:t>.</w:t>
      </w:r>
      <w:r w:rsidR="005C73F4">
        <w:rPr>
          <w:rFonts w:ascii="Book Antiqua" w:hAnsi="Book Antiqua" w:cs="Arial"/>
        </w:rPr>
        <w:tab/>
        <w:t xml:space="preserve">I do not accept there was a failure to follow the recommended approach in </w:t>
      </w:r>
      <w:r w:rsidR="005C73F4" w:rsidRPr="005C73F4">
        <w:rPr>
          <w:rFonts w:ascii="Book Antiqua" w:hAnsi="Book Antiqua" w:cs="Arial"/>
          <w:u w:val="single"/>
        </w:rPr>
        <w:t>SA (Iran)</w:t>
      </w:r>
      <w:r w:rsidR="00475F2B" w:rsidRPr="00475F2B">
        <w:rPr>
          <w:rFonts w:ascii="Book Antiqua" w:hAnsi="Book Antiqua" w:cs="Arial"/>
        </w:rPr>
        <w:t xml:space="preserve"> given the particular factual matrix of this case</w:t>
      </w:r>
      <w:r w:rsidR="005C73F4">
        <w:rPr>
          <w:rFonts w:ascii="Book Antiqua" w:hAnsi="Book Antiqua" w:cs="Arial"/>
        </w:rPr>
        <w:t>.  The FTT properly took into account all the relevant evidence including that of Pastor Steenkamp and came to findings entirely open to it.</w:t>
      </w:r>
    </w:p>
    <w:p w:rsidR="004C0242" w:rsidRDefault="004C0242" w:rsidP="00E33428">
      <w:pPr>
        <w:ind w:left="1134" w:hanging="567"/>
        <w:jc w:val="both"/>
        <w:rPr>
          <w:rFonts w:ascii="Book Antiqua" w:hAnsi="Book Antiqua" w:cs="Arial"/>
        </w:rPr>
      </w:pPr>
    </w:p>
    <w:p w:rsidR="004C0242" w:rsidRDefault="004C0242" w:rsidP="00E33428">
      <w:pPr>
        <w:ind w:left="1134" w:hanging="567"/>
        <w:jc w:val="both"/>
        <w:rPr>
          <w:rFonts w:ascii="Book Antiqua" w:hAnsi="Book Antiqua" w:cs="Arial"/>
        </w:rPr>
      </w:pPr>
      <w:r>
        <w:rPr>
          <w:rFonts w:ascii="Book Antiqua" w:hAnsi="Book Antiqua" w:cs="Arial"/>
        </w:rPr>
        <w:t>15.</w:t>
      </w:r>
      <w:r>
        <w:rPr>
          <w:rFonts w:ascii="Book Antiqua" w:hAnsi="Book Antiqua" w:cs="Arial"/>
        </w:rPr>
        <w:tab/>
        <w:t>Mr Karnik took me to some of the appellant’s responses during his asylum interview to support a submission that the appellant has some knowledge of Christianity and had distanced himself from Islam.  The latter does not necessarily require a genuine commitment to Christianity.  As to the former, when the decision is read as a whole, it is clear that the FTT had the interview in mind when making its findings.</w:t>
      </w:r>
      <w:r w:rsidR="00CE3964">
        <w:rPr>
          <w:rFonts w:ascii="Book Antiqua" w:hAnsi="Book Antiqua" w:cs="Arial"/>
        </w:rPr>
        <w:t xml:space="preserve">  </w:t>
      </w:r>
      <w:proofErr w:type="gramStart"/>
      <w:r w:rsidR="00CE3964">
        <w:rPr>
          <w:rFonts w:ascii="Book Antiqua" w:hAnsi="Book Antiqua" w:cs="Arial"/>
        </w:rPr>
        <w:t>Indeed</w:t>
      </w:r>
      <w:proofErr w:type="gramEnd"/>
      <w:r w:rsidR="00CE3964">
        <w:rPr>
          <w:rFonts w:ascii="Book Antiqua" w:hAnsi="Book Antiqua" w:cs="Arial"/>
        </w:rPr>
        <w:t xml:space="preserve"> the FTT judge asked the appellant about his curious answer to Q 46 – see [29].</w:t>
      </w:r>
    </w:p>
    <w:p w:rsidR="004179B6" w:rsidRDefault="004179B6" w:rsidP="004E7041">
      <w:pPr>
        <w:jc w:val="both"/>
        <w:rPr>
          <w:rFonts w:ascii="Book Antiqua" w:hAnsi="Book Antiqua" w:cs="Arial"/>
        </w:rPr>
      </w:pPr>
    </w:p>
    <w:p w:rsidR="004179B6" w:rsidRDefault="004179B6" w:rsidP="004179B6">
      <w:pPr>
        <w:ind w:left="540" w:hanging="540"/>
        <w:jc w:val="both"/>
        <w:rPr>
          <w:rFonts w:ascii="Book Antiqua" w:hAnsi="Book Antiqua" w:cs="Arial"/>
        </w:rPr>
      </w:pPr>
      <w:r w:rsidRPr="004179B6">
        <w:rPr>
          <w:rFonts w:ascii="Book Antiqua" w:hAnsi="Book Antiqua" w:cs="Arial"/>
          <w:b/>
          <w:u w:val="single"/>
        </w:rPr>
        <w:t>Decision</w:t>
      </w:r>
      <w:r>
        <w:rPr>
          <w:rFonts w:ascii="Book Antiqua" w:hAnsi="Book Antiqua" w:cs="Arial"/>
        </w:rPr>
        <w:t xml:space="preserve"> </w:t>
      </w:r>
    </w:p>
    <w:p w:rsidR="004179B6" w:rsidRDefault="004179B6" w:rsidP="004179B6">
      <w:pPr>
        <w:ind w:left="540" w:hanging="540"/>
        <w:jc w:val="both"/>
        <w:rPr>
          <w:rFonts w:ascii="Book Antiqua" w:hAnsi="Book Antiqua" w:cs="Arial"/>
        </w:rPr>
      </w:pPr>
    </w:p>
    <w:p w:rsidR="004179B6" w:rsidRPr="00BE0B25" w:rsidRDefault="00CE3964" w:rsidP="004179B6">
      <w:pPr>
        <w:ind w:left="1134" w:hanging="567"/>
        <w:jc w:val="both"/>
        <w:rPr>
          <w:rFonts w:ascii="Book Antiqua" w:hAnsi="Book Antiqua" w:cs="Arial"/>
        </w:rPr>
      </w:pPr>
      <w:r>
        <w:rPr>
          <w:rFonts w:ascii="Book Antiqua" w:hAnsi="Book Antiqua" w:cs="Arial"/>
        </w:rPr>
        <w:t>16</w:t>
      </w:r>
      <w:r w:rsidR="004179B6">
        <w:rPr>
          <w:rFonts w:ascii="Book Antiqua" w:hAnsi="Book Antiqua" w:cs="Arial"/>
        </w:rPr>
        <w:t>.</w:t>
      </w:r>
      <w:r w:rsidR="004179B6">
        <w:rPr>
          <w:rFonts w:ascii="Book Antiqua" w:hAnsi="Book Antiqua" w:cs="Arial"/>
        </w:rPr>
        <w:tab/>
        <w:t>The decision of the First-tier Tribunal did not involve the making of a material error of law and I do not set it aside.</w:t>
      </w:r>
      <w:r w:rsidR="004179B6">
        <w:rPr>
          <w:rFonts w:ascii="Book Antiqua" w:hAnsi="Book Antiqua" w:cs="Arial"/>
        </w:rPr>
        <w:tab/>
      </w:r>
    </w:p>
    <w:p w:rsidR="001F2716" w:rsidRPr="000704BB" w:rsidRDefault="001F2716" w:rsidP="00265B39">
      <w:pPr>
        <w:jc w:val="both"/>
        <w:rPr>
          <w:rFonts w:ascii="Book Antiqua" w:hAnsi="Book Antiqua" w:cs="Arial"/>
        </w:rPr>
      </w:pPr>
    </w:p>
    <w:p w:rsidR="00265B39" w:rsidRDefault="00265B39" w:rsidP="00265B39">
      <w:pPr>
        <w:jc w:val="both"/>
        <w:rPr>
          <w:rFonts w:ascii="Book Antiqua" w:hAnsi="Book Antiqua" w:cs="Arial"/>
        </w:rPr>
      </w:pPr>
    </w:p>
    <w:p w:rsidR="004179B6" w:rsidRDefault="00780F86" w:rsidP="00265B39">
      <w:pPr>
        <w:jc w:val="both"/>
        <w:rPr>
          <w:rFonts w:ascii="Book Antiqua" w:hAnsi="Book Antiqua" w:cs="Arial"/>
        </w:rPr>
      </w:pPr>
      <w:r w:rsidRPr="000704BB">
        <w:rPr>
          <w:rFonts w:ascii="Book Antiqua" w:hAnsi="Book Antiqua" w:cs="Arial"/>
        </w:rPr>
        <w:t>Signed</w:t>
      </w:r>
      <w:r w:rsidR="004179B6">
        <w:rPr>
          <w:rFonts w:ascii="Book Antiqua" w:hAnsi="Book Antiqua" w:cs="Arial"/>
        </w:rPr>
        <w:t>:</w:t>
      </w:r>
    </w:p>
    <w:p w:rsidR="004179B6" w:rsidRDefault="004179B6" w:rsidP="00265B39">
      <w:pPr>
        <w:jc w:val="both"/>
        <w:rPr>
          <w:rFonts w:ascii="Book Antiqua" w:hAnsi="Book Antiqua" w:cs="Arial"/>
        </w:rPr>
      </w:pPr>
    </w:p>
    <w:p w:rsidR="004179B6" w:rsidRDefault="004179B6" w:rsidP="00265B39">
      <w:pPr>
        <w:jc w:val="both"/>
        <w:rPr>
          <w:rFonts w:ascii="Book Antiqua" w:hAnsi="Book Antiqua" w:cs="Arial"/>
        </w:rPr>
      </w:pPr>
      <w:r>
        <w:rPr>
          <w:rFonts w:ascii="Book Antiqua" w:hAnsi="Book Antiqua" w:cs="Arial"/>
        </w:rPr>
        <w:t>Ms M. Plimmer</w:t>
      </w:r>
    </w:p>
    <w:p w:rsidR="004179B6" w:rsidRDefault="004179B6" w:rsidP="00265B39">
      <w:pPr>
        <w:jc w:val="both"/>
        <w:rPr>
          <w:rFonts w:ascii="Book Antiqua" w:hAnsi="Book Antiqua" w:cs="Arial"/>
        </w:rPr>
      </w:pPr>
      <w:r>
        <w:rPr>
          <w:rFonts w:ascii="Book Antiqua" w:hAnsi="Book Antiqua" w:cs="Arial"/>
        </w:rPr>
        <w:t xml:space="preserve">Judge of the Upper Tribunal </w:t>
      </w:r>
    </w:p>
    <w:p w:rsidR="004179B6" w:rsidRDefault="004179B6" w:rsidP="00265B39">
      <w:pPr>
        <w:jc w:val="both"/>
        <w:rPr>
          <w:rFonts w:ascii="Book Antiqua" w:hAnsi="Book Antiqua" w:cs="Arial"/>
        </w:rPr>
      </w:pPr>
    </w:p>
    <w:p w:rsidR="001F2716" w:rsidRDefault="001F2716" w:rsidP="00265B39">
      <w:pPr>
        <w:jc w:val="both"/>
        <w:rPr>
          <w:rFonts w:ascii="Book Antiqua" w:hAnsi="Book Antiqua" w:cs="Arial"/>
        </w:rPr>
      </w:pPr>
      <w:r w:rsidRPr="000704BB">
        <w:rPr>
          <w:rFonts w:ascii="Book Antiqua" w:hAnsi="Book Antiqua" w:cs="Arial"/>
        </w:rPr>
        <w:t>Date</w:t>
      </w:r>
      <w:r w:rsidR="004179B6">
        <w:rPr>
          <w:rFonts w:ascii="Book Antiqua" w:hAnsi="Book Antiqua" w:cs="Arial"/>
        </w:rPr>
        <w:t>:</w:t>
      </w:r>
    </w:p>
    <w:p w:rsidR="004179B6" w:rsidRPr="000704BB" w:rsidRDefault="005C73F4" w:rsidP="00265B39">
      <w:pPr>
        <w:jc w:val="both"/>
        <w:rPr>
          <w:rFonts w:ascii="Book Antiqua" w:hAnsi="Book Antiqua" w:cs="Arial"/>
        </w:rPr>
      </w:pPr>
      <w:r>
        <w:rPr>
          <w:rFonts w:ascii="Book Antiqua" w:hAnsi="Book Antiqua" w:cs="Arial"/>
        </w:rPr>
        <w:t>31 August</w:t>
      </w:r>
      <w:r w:rsidR="004E7041">
        <w:rPr>
          <w:rFonts w:ascii="Book Antiqua" w:hAnsi="Book Antiqua" w:cs="Arial"/>
        </w:rPr>
        <w:t xml:space="preserve"> 2018</w:t>
      </w:r>
    </w:p>
    <w:sectPr w:rsidR="004179B6" w:rsidRPr="000704BB"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A29" w:rsidRDefault="006C1A29">
      <w:r>
        <w:separator/>
      </w:r>
    </w:p>
  </w:endnote>
  <w:endnote w:type="continuationSeparator" w:id="0">
    <w:p w:rsidR="006C1A29" w:rsidRDefault="006C1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464" w:rsidRDefault="00B07464">
    <w:pPr>
      <w:pStyle w:val="Footer"/>
      <w:jc w:val="center"/>
    </w:pPr>
    <w:r>
      <w:fldChar w:fldCharType="begin"/>
    </w:r>
    <w:r>
      <w:instrText xml:space="preserve"> PAGE   \* MERGEFORMAT </w:instrText>
    </w:r>
    <w:r>
      <w:fldChar w:fldCharType="separate"/>
    </w:r>
    <w:r w:rsidR="00C1085D">
      <w:rPr>
        <w:noProof/>
      </w:rPr>
      <w:t>4</w:t>
    </w:r>
    <w:r>
      <w:rPr>
        <w:noProof/>
      </w:rPr>
      <w:fldChar w:fldCharType="end"/>
    </w:r>
  </w:p>
  <w:p w:rsidR="00B07464" w:rsidRDefault="00B074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464" w:rsidRDefault="00B07464" w:rsidP="00B07464">
    <w:pPr>
      <w:pStyle w:val="Footer"/>
      <w:jc w:val="center"/>
    </w:pPr>
    <w:r w:rsidRPr="00B07464">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A29" w:rsidRDefault="006C1A29">
      <w:r>
        <w:separator/>
      </w:r>
    </w:p>
  </w:footnote>
  <w:footnote w:type="continuationSeparator" w:id="0">
    <w:p w:rsidR="006C1A29" w:rsidRDefault="006C1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464" w:rsidRPr="00B07464" w:rsidRDefault="00B07464" w:rsidP="00B07464">
    <w:pPr>
      <w:pStyle w:val="Header"/>
      <w:jc w:val="right"/>
      <w:rPr>
        <w:sz w:val="20"/>
        <w:szCs w:val="20"/>
      </w:rPr>
    </w:pPr>
    <w:r w:rsidRPr="00B07464">
      <w:rPr>
        <w:sz w:val="20"/>
        <w:szCs w:val="20"/>
      </w:rPr>
      <w:t>PA/03485/2018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B58AA"/>
    <w:multiLevelType w:val="hybridMultilevel"/>
    <w:tmpl w:val="A770F64E"/>
    <w:lvl w:ilvl="0" w:tplc="930CB09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983AF6"/>
    <w:multiLevelType w:val="hybridMultilevel"/>
    <w:tmpl w:val="D122B1B2"/>
    <w:lvl w:ilvl="0" w:tplc="5BEA8084">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776B1C"/>
    <w:multiLevelType w:val="hybridMultilevel"/>
    <w:tmpl w:val="A2C4E99A"/>
    <w:lvl w:ilvl="0" w:tplc="44F4D248">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F7D"/>
    <w:rsid w:val="00000621"/>
    <w:rsid w:val="000036C2"/>
    <w:rsid w:val="00033D3D"/>
    <w:rsid w:val="00046259"/>
    <w:rsid w:val="000553C8"/>
    <w:rsid w:val="00062F02"/>
    <w:rsid w:val="0006733D"/>
    <w:rsid w:val="000704BB"/>
    <w:rsid w:val="00071A7E"/>
    <w:rsid w:val="000746C0"/>
    <w:rsid w:val="00074D1D"/>
    <w:rsid w:val="00092580"/>
    <w:rsid w:val="00093D4D"/>
    <w:rsid w:val="000D5D94"/>
    <w:rsid w:val="000E5E3F"/>
    <w:rsid w:val="000F1A0E"/>
    <w:rsid w:val="00113556"/>
    <w:rsid w:val="001165A7"/>
    <w:rsid w:val="00117E31"/>
    <w:rsid w:val="001361F9"/>
    <w:rsid w:val="00144C70"/>
    <w:rsid w:val="00150C5F"/>
    <w:rsid w:val="00161252"/>
    <w:rsid w:val="00167D3A"/>
    <w:rsid w:val="00190911"/>
    <w:rsid w:val="001A3082"/>
    <w:rsid w:val="001A72B0"/>
    <w:rsid w:val="001B186A"/>
    <w:rsid w:val="001B2F75"/>
    <w:rsid w:val="001C2D96"/>
    <w:rsid w:val="001C5B44"/>
    <w:rsid w:val="001E6D2E"/>
    <w:rsid w:val="001F2716"/>
    <w:rsid w:val="001F6CF9"/>
    <w:rsid w:val="00207617"/>
    <w:rsid w:val="0021721E"/>
    <w:rsid w:val="002277C1"/>
    <w:rsid w:val="0023134B"/>
    <w:rsid w:val="002638B0"/>
    <w:rsid w:val="00264D60"/>
    <w:rsid w:val="00265B39"/>
    <w:rsid w:val="00282297"/>
    <w:rsid w:val="00283659"/>
    <w:rsid w:val="0028553E"/>
    <w:rsid w:val="002858DB"/>
    <w:rsid w:val="00291D9A"/>
    <w:rsid w:val="00295EA3"/>
    <w:rsid w:val="00296561"/>
    <w:rsid w:val="002B2A08"/>
    <w:rsid w:val="002C6BD4"/>
    <w:rsid w:val="002D68BF"/>
    <w:rsid w:val="002F27ED"/>
    <w:rsid w:val="002F6B98"/>
    <w:rsid w:val="00307DA1"/>
    <w:rsid w:val="00317B1F"/>
    <w:rsid w:val="00336CBF"/>
    <w:rsid w:val="00343FE3"/>
    <w:rsid w:val="003546C8"/>
    <w:rsid w:val="00355CF4"/>
    <w:rsid w:val="003A194F"/>
    <w:rsid w:val="003A7CF2"/>
    <w:rsid w:val="003C57A3"/>
    <w:rsid w:val="003C5CE5"/>
    <w:rsid w:val="003D15B2"/>
    <w:rsid w:val="003E267B"/>
    <w:rsid w:val="003E530F"/>
    <w:rsid w:val="003E7CD1"/>
    <w:rsid w:val="00402B9E"/>
    <w:rsid w:val="004179B6"/>
    <w:rsid w:val="004249CB"/>
    <w:rsid w:val="0044127D"/>
    <w:rsid w:val="004448DB"/>
    <w:rsid w:val="00446C9A"/>
    <w:rsid w:val="00452F2B"/>
    <w:rsid w:val="00475F2B"/>
    <w:rsid w:val="0047673C"/>
    <w:rsid w:val="00477193"/>
    <w:rsid w:val="004808D3"/>
    <w:rsid w:val="00484AB4"/>
    <w:rsid w:val="004A1848"/>
    <w:rsid w:val="004A61A4"/>
    <w:rsid w:val="004A6F4A"/>
    <w:rsid w:val="004C0242"/>
    <w:rsid w:val="004E0F3D"/>
    <w:rsid w:val="004E4717"/>
    <w:rsid w:val="004E5CC9"/>
    <w:rsid w:val="004E7041"/>
    <w:rsid w:val="00507FEC"/>
    <w:rsid w:val="00510F0E"/>
    <w:rsid w:val="005255B9"/>
    <w:rsid w:val="00535861"/>
    <w:rsid w:val="00543DC2"/>
    <w:rsid w:val="005479E1"/>
    <w:rsid w:val="00553E0A"/>
    <w:rsid w:val="005570FD"/>
    <w:rsid w:val="005575EA"/>
    <w:rsid w:val="0057790C"/>
    <w:rsid w:val="00580FC5"/>
    <w:rsid w:val="00593795"/>
    <w:rsid w:val="00593CF6"/>
    <w:rsid w:val="005A75FF"/>
    <w:rsid w:val="005C2522"/>
    <w:rsid w:val="005C73F4"/>
    <w:rsid w:val="005D10AB"/>
    <w:rsid w:val="0060068A"/>
    <w:rsid w:val="00601D8F"/>
    <w:rsid w:val="00624ECC"/>
    <w:rsid w:val="0062519A"/>
    <w:rsid w:val="00643BFC"/>
    <w:rsid w:val="00647A89"/>
    <w:rsid w:val="00653E97"/>
    <w:rsid w:val="00663038"/>
    <w:rsid w:val="006673C0"/>
    <w:rsid w:val="006701F7"/>
    <w:rsid w:val="00677E26"/>
    <w:rsid w:val="0068471C"/>
    <w:rsid w:val="00684A74"/>
    <w:rsid w:val="00690B8A"/>
    <w:rsid w:val="006C1A29"/>
    <w:rsid w:val="006D36D3"/>
    <w:rsid w:val="006E433C"/>
    <w:rsid w:val="006F2CF1"/>
    <w:rsid w:val="007038ED"/>
    <w:rsid w:val="00703BC3"/>
    <w:rsid w:val="00704B61"/>
    <w:rsid w:val="0071355E"/>
    <w:rsid w:val="0073513B"/>
    <w:rsid w:val="00736B4E"/>
    <w:rsid w:val="007413F5"/>
    <w:rsid w:val="00745283"/>
    <w:rsid w:val="007552A9"/>
    <w:rsid w:val="00761858"/>
    <w:rsid w:val="00764BCA"/>
    <w:rsid w:val="00767D59"/>
    <w:rsid w:val="007723EF"/>
    <w:rsid w:val="00776E97"/>
    <w:rsid w:val="00780F86"/>
    <w:rsid w:val="00782142"/>
    <w:rsid w:val="0079030D"/>
    <w:rsid w:val="007912AD"/>
    <w:rsid w:val="00797649"/>
    <w:rsid w:val="007A09A6"/>
    <w:rsid w:val="007A36CF"/>
    <w:rsid w:val="007B0824"/>
    <w:rsid w:val="007B5D3C"/>
    <w:rsid w:val="007F0EC1"/>
    <w:rsid w:val="007F2A46"/>
    <w:rsid w:val="00806249"/>
    <w:rsid w:val="00821B72"/>
    <w:rsid w:val="00823EF2"/>
    <w:rsid w:val="008303B8"/>
    <w:rsid w:val="00833DCE"/>
    <w:rsid w:val="0086124C"/>
    <w:rsid w:val="00871D34"/>
    <w:rsid w:val="008A5D70"/>
    <w:rsid w:val="008B1ACE"/>
    <w:rsid w:val="008B270C"/>
    <w:rsid w:val="008B5078"/>
    <w:rsid w:val="008C3D3D"/>
    <w:rsid w:val="008D4131"/>
    <w:rsid w:val="008E7D0B"/>
    <w:rsid w:val="008F1932"/>
    <w:rsid w:val="008F2D1B"/>
    <w:rsid w:val="00911411"/>
    <w:rsid w:val="00921062"/>
    <w:rsid w:val="00935D07"/>
    <w:rsid w:val="009566ED"/>
    <w:rsid w:val="009722BC"/>
    <w:rsid w:val="009727A3"/>
    <w:rsid w:val="00975C20"/>
    <w:rsid w:val="00987774"/>
    <w:rsid w:val="009A11E8"/>
    <w:rsid w:val="009C246B"/>
    <w:rsid w:val="009F5220"/>
    <w:rsid w:val="00A15234"/>
    <w:rsid w:val="00A201AB"/>
    <w:rsid w:val="00A20F37"/>
    <w:rsid w:val="00A31C8B"/>
    <w:rsid w:val="00A509FA"/>
    <w:rsid w:val="00A71C11"/>
    <w:rsid w:val="00A845DC"/>
    <w:rsid w:val="00AD159E"/>
    <w:rsid w:val="00B01D17"/>
    <w:rsid w:val="00B07464"/>
    <w:rsid w:val="00B1111A"/>
    <w:rsid w:val="00B26AA2"/>
    <w:rsid w:val="00B3524D"/>
    <w:rsid w:val="00B37F7D"/>
    <w:rsid w:val="00B40F69"/>
    <w:rsid w:val="00B46616"/>
    <w:rsid w:val="00B7040A"/>
    <w:rsid w:val="00B83391"/>
    <w:rsid w:val="00B95326"/>
    <w:rsid w:val="00BD4052"/>
    <w:rsid w:val="00BD4196"/>
    <w:rsid w:val="00BE0B25"/>
    <w:rsid w:val="00BE36E1"/>
    <w:rsid w:val="00BE3802"/>
    <w:rsid w:val="00BF22CA"/>
    <w:rsid w:val="00BF23BB"/>
    <w:rsid w:val="00BF67C8"/>
    <w:rsid w:val="00C1085D"/>
    <w:rsid w:val="00C13E60"/>
    <w:rsid w:val="00C209A7"/>
    <w:rsid w:val="00C26032"/>
    <w:rsid w:val="00C345E1"/>
    <w:rsid w:val="00C349A9"/>
    <w:rsid w:val="00C43BFD"/>
    <w:rsid w:val="00C77BDD"/>
    <w:rsid w:val="00C93A95"/>
    <w:rsid w:val="00CB6E35"/>
    <w:rsid w:val="00CC3465"/>
    <w:rsid w:val="00CE1A46"/>
    <w:rsid w:val="00CE3964"/>
    <w:rsid w:val="00D20757"/>
    <w:rsid w:val="00D22636"/>
    <w:rsid w:val="00D23AB5"/>
    <w:rsid w:val="00D40FD9"/>
    <w:rsid w:val="00D41C8C"/>
    <w:rsid w:val="00D53769"/>
    <w:rsid w:val="00D85C13"/>
    <w:rsid w:val="00D90090"/>
    <w:rsid w:val="00D9111A"/>
    <w:rsid w:val="00D91BE3"/>
    <w:rsid w:val="00D94AFC"/>
    <w:rsid w:val="00DB70AE"/>
    <w:rsid w:val="00DD5071"/>
    <w:rsid w:val="00DD5C39"/>
    <w:rsid w:val="00DE5E10"/>
    <w:rsid w:val="00DE7DB7"/>
    <w:rsid w:val="00E00A0A"/>
    <w:rsid w:val="00E066DE"/>
    <w:rsid w:val="00E07F57"/>
    <w:rsid w:val="00E30683"/>
    <w:rsid w:val="00E33428"/>
    <w:rsid w:val="00E453D8"/>
    <w:rsid w:val="00E458EF"/>
    <w:rsid w:val="00E50BCE"/>
    <w:rsid w:val="00E53200"/>
    <w:rsid w:val="00E574BF"/>
    <w:rsid w:val="00E57B93"/>
    <w:rsid w:val="00E61292"/>
    <w:rsid w:val="00E65853"/>
    <w:rsid w:val="00E77C4D"/>
    <w:rsid w:val="00E81D01"/>
    <w:rsid w:val="00EA3675"/>
    <w:rsid w:val="00EE45D8"/>
    <w:rsid w:val="00EF30FA"/>
    <w:rsid w:val="00F000FD"/>
    <w:rsid w:val="00F22A5B"/>
    <w:rsid w:val="00F22EDA"/>
    <w:rsid w:val="00F505E8"/>
    <w:rsid w:val="00F517D0"/>
    <w:rsid w:val="00F63951"/>
    <w:rsid w:val="00F77F3F"/>
    <w:rsid w:val="00FB72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509C63E3"/>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FooterChar">
    <w:name w:val="Footer Char"/>
    <w:link w:val="Footer"/>
    <w:uiPriority w:val="99"/>
    <w:rsid w:val="00B0746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1208</Words>
  <Characters>6140</Characters>
  <Application>Microsoft Office Word</Application>
  <DocSecurity>0</DocSecurity>
  <Lines>51</Lines>
  <Paragraphs>14</Paragraphs>
  <ScaleCrop>false</ScaleCrop>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2018-09-24T13:20:00Z</dcterms:created>
  <dcterms:modified xsi:type="dcterms:W3CDTF">2018-09-24T13:20:00Z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