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AC4BF0" w:rsidRDefault="00710339" w:rsidP="00F97703">
      <w:pPr>
        <w:jc w:val="center"/>
        <w:rPr>
          <w:rFonts w:ascii="Book Antiqua" w:hAnsi="Book Antiqua" w:cs="Arial"/>
          <w:color w:val="000000"/>
          <w:sz w:val="16"/>
          <w:szCs w:val="16"/>
        </w:rPr>
      </w:pPr>
      <w:r w:rsidRPr="00AC4BF0">
        <w:rPr>
          <w:noProof/>
          <w:sz w:val="16"/>
          <w:szCs w:val="16"/>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AC4BF0" w:rsidRPr="00AC4BF0" w:rsidRDefault="00AC4BF0" w:rsidP="00AC4BF0">
      <w:pPr>
        <w:rPr>
          <w:rFonts w:ascii="Book Antiqua" w:hAnsi="Book Antiqua" w:cs="Arial"/>
          <w:color w:val="000000"/>
          <w:sz w:val="16"/>
          <w:szCs w:val="16"/>
        </w:rPr>
      </w:pP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bookmarkStart w:id="0" w:name="_GoBack"/>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FA666A">
        <w:rPr>
          <w:rFonts w:ascii="Book Antiqua" w:eastAsia="Arial Unicode MS" w:hAnsi="Arial Unicode MS" w:cs="Arial Unicode MS"/>
          <w:noProof/>
        </w:rPr>
        <w:t>PA/03535/2015</w:t>
      </w:r>
      <w:r w:rsidR="00BE485D" w:rsidRPr="00D32B8A">
        <w:rPr>
          <w:rFonts w:ascii="Book Antiqua" w:hAnsi="Book Antiqua" w:cs="Arial"/>
        </w:rPr>
        <w:fldChar w:fldCharType="end"/>
      </w:r>
      <w:bookmarkEnd w:id="0"/>
    </w:p>
    <w:p w:rsidR="00E533BA" w:rsidRPr="00D32B8A" w:rsidRDefault="00E533BA" w:rsidP="00AC4BF0">
      <w:pPr>
        <w:tabs>
          <w:tab w:val="right" w:pos="9720"/>
        </w:tabs>
        <w:ind w:right="-82"/>
        <w:jc w:val="center"/>
        <w:rPr>
          <w:rFonts w:ascii="Book Antiqua" w:hAnsi="Book Antiqua" w:cs="Arial"/>
          <w:color w:val="000000"/>
        </w:rPr>
      </w:pPr>
    </w:p>
    <w:p w:rsidR="00AC4BF0" w:rsidRPr="00D32B8A" w:rsidRDefault="00AC4BF0" w:rsidP="00AC4BF0">
      <w:pPr>
        <w:jc w:val="center"/>
        <w:rPr>
          <w:rFonts w:ascii="Book Antiqua" w:hAnsi="Book Antiqua" w:cs="Arial"/>
          <w:color w:val="000000"/>
        </w:rPr>
      </w:pPr>
    </w:p>
    <w:p w:rsidR="00AC4BF0" w:rsidRPr="00D32B8A" w:rsidRDefault="00AC4BF0" w:rsidP="00AC4BF0">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AC4BF0" w:rsidRPr="00D32B8A" w:rsidRDefault="00AC4BF0" w:rsidP="00AC4BF0">
      <w:pPr>
        <w:jc w:val="center"/>
        <w:rPr>
          <w:rFonts w:ascii="Book Antiqua" w:hAnsi="Book Antiqua" w:cs="Arial"/>
          <w:b/>
          <w:u w:val="single"/>
        </w:rPr>
      </w:pPr>
    </w:p>
    <w:p w:rsidR="00C345E1" w:rsidRDefault="00C345E1" w:rsidP="00AC4BF0">
      <w:pPr>
        <w:jc w:val="center"/>
        <w:rPr>
          <w:rFonts w:ascii="Book Antiqua" w:hAnsi="Book Antiqua"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5"/>
        <w:gridCol w:w="4393"/>
      </w:tblGrid>
      <w:tr w:rsidR="00E533BA" w:rsidRPr="003C5723" w:rsidTr="00E26B20">
        <w:tc>
          <w:tcPr>
            <w:tcW w:w="5353" w:type="dxa"/>
            <w:tcBorders>
              <w:top w:val="nil"/>
              <w:left w:val="nil"/>
              <w:bottom w:val="nil"/>
              <w:right w:val="nil"/>
            </w:tcBorders>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Heard at</w:t>
            </w:r>
            <w:r w:rsidR="00FA666A">
              <w:rPr>
                <w:rFonts w:ascii="Book Antiqua" w:hAnsi="Book Antiqua" w:cs="Arial"/>
                <w:b/>
              </w:rPr>
              <w:t xml:space="preserve"> Birmingham Employment Tribunal</w:t>
            </w:r>
            <w:r w:rsidRPr="003C5723">
              <w:rPr>
                <w:rFonts w:ascii="Book Antiqua" w:hAnsi="Book Antiqua" w:cs="Arial"/>
                <w:b/>
              </w:rPr>
              <w:t xml:space="preserve"> </w:t>
            </w:r>
          </w:p>
        </w:tc>
        <w:tc>
          <w:tcPr>
            <w:tcW w:w="4475" w:type="dxa"/>
            <w:tcBorders>
              <w:top w:val="nil"/>
              <w:left w:val="nil"/>
              <w:bottom w:val="nil"/>
              <w:right w:val="nil"/>
            </w:tcBorders>
            <w:shd w:val="clear" w:color="auto" w:fill="auto"/>
          </w:tcPr>
          <w:p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FA666A">
              <w:rPr>
                <w:rFonts w:ascii="Book Antiqua" w:hAnsi="Book Antiqua" w:cs="Arial"/>
                <w:b/>
                <w:color w:val="000000"/>
              </w:rPr>
              <w:t>cision</w:t>
            </w:r>
            <w:r w:rsidR="00E26B20">
              <w:rPr>
                <w:rFonts w:ascii="Book Antiqua" w:hAnsi="Book Antiqua" w:cs="Arial"/>
                <w:b/>
                <w:color w:val="000000"/>
              </w:rPr>
              <w:t xml:space="preserve"> and Reasons promulgated</w:t>
            </w:r>
          </w:p>
        </w:tc>
      </w:tr>
      <w:tr w:rsidR="00E533BA" w:rsidRPr="003C5723" w:rsidTr="00E26B20">
        <w:tc>
          <w:tcPr>
            <w:tcW w:w="5353" w:type="dxa"/>
            <w:tcBorders>
              <w:top w:val="nil"/>
              <w:left w:val="nil"/>
              <w:bottom w:val="nil"/>
              <w:right w:val="nil"/>
            </w:tcBorders>
            <w:shd w:val="clear" w:color="auto" w:fill="auto"/>
          </w:tcPr>
          <w:p w:rsidR="00E533BA" w:rsidRPr="003C5723" w:rsidRDefault="00E26B20" w:rsidP="003C5723">
            <w:pPr>
              <w:jc w:val="both"/>
              <w:rPr>
                <w:rFonts w:ascii="Book Antiqua" w:hAnsi="Book Antiqua" w:cs="Arial"/>
                <w:b/>
              </w:rPr>
            </w:pPr>
            <w:r>
              <w:rPr>
                <w:rFonts w:ascii="Book Antiqua" w:hAnsi="Book Antiqua" w:cs="Arial"/>
                <w:b/>
              </w:rPr>
              <w:t>O</w:t>
            </w:r>
            <w:r w:rsidR="00E533BA" w:rsidRPr="003C5723">
              <w:rPr>
                <w:rFonts w:ascii="Book Antiqua" w:hAnsi="Book Antiqua" w:cs="Arial"/>
                <w:b/>
              </w:rPr>
              <w:t xml:space="preserve">n </w:t>
            </w:r>
            <w:r w:rsidR="00FA666A">
              <w:rPr>
                <w:rFonts w:ascii="Book Antiqua" w:hAnsi="Book Antiqua" w:cs="Arial"/>
                <w:b/>
              </w:rPr>
              <w:t>24 July 2018</w:t>
            </w:r>
          </w:p>
        </w:tc>
        <w:tc>
          <w:tcPr>
            <w:tcW w:w="4475" w:type="dxa"/>
            <w:tcBorders>
              <w:top w:val="nil"/>
              <w:left w:val="nil"/>
              <w:bottom w:val="nil"/>
              <w:right w:val="nil"/>
            </w:tcBorders>
            <w:shd w:val="clear" w:color="auto" w:fill="auto"/>
          </w:tcPr>
          <w:p w:rsidR="00E533BA" w:rsidRPr="003C5723" w:rsidRDefault="00E26B20" w:rsidP="003C5723">
            <w:pPr>
              <w:jc w:val="both"/>
              <w:rPr>
                <w:rFonts w:ascii="Book Antiqua" w:hAnsi="Book Antiqua" w:cs="Arial"/>
                <w:b/>
              </w:rPr>
            </w:pPr>
            <w:r>
              <w:rPr>
                <w:rFonts w:ascii="Book Antiqua" w:hAnsi="Book Antiqua" w:cs="Arial"/>
                <w:b/>
              </w:rPr>
              <w:t xml:space="preserve">On 31 July 2018 </w:t>
            </w:r>
          </w:p>
        </w:tc>
      </w:tr>
    </w:tbl>
    <w:p w:rsidR="00E533BA" w:rsidRPr="00D32B8A" w:rsidRDefault="00E533BA" w:rsidP="00C345E1">
      <w:pPr>
        <w:jc w:val="center"/>
        <w:rPr>
          <w:rFonts w:ascii="Book Antiqua" w:hAnsi="Book Antiqua" w:cs="Arial"/>
          <w:color w:val="000000"/>
        </w:rPr>
      </w:pPr>
    </w:p>
    <w:p w:rsidR="00A15234" w:rsidRPr="00D32B8A" w:rsidRDefault="00A15234" w:rsidP="00A15234">
      <w:pPr>
        <w:jc w:val="center"/>
        <w:rPr>
          <w:rFonts w:ascii="Book Antiqua" w:hAnsi="Book Antiqua" w:cs="Arial"/>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FA666A" w:rsidRPr="00D32B8A" w:rsidRDefault="00FA666A" w:rsidP="00B467EA">
      <w:pPr>
        <w:jc w:val="center"/>
        <w:outlineLvl w:val="0"/>
        <w:rPr>
          <w:rFonts w:ascii="Book Antiqua" w:hAnsi="Book Antiqua" w:cs="Arial"/>
          <w:b/>
        </w:rPr>
      </w:pPr>
    </w:p>
    <w:p w:rsidR="00A845DC" w:rsidRDefault="00FA666A" w:rsidP="00A15234">
      <w:pPr>
        <w:jc w:val="center"/>
        <w:rPr>
          <w:rFonts w:ascii="Book Antiqua" w:hAnsi="Book Antiqua" w:cs="Arial"/>
          <w:b/>
        </w:rPr>
      </w:pPr>
      <w:r>
        <w:rPr>
          <w:rFonts w:ascii="Book Antiqua" w:hAnsi="Book Antiqua" w:cs="Arial"/>
          <w:b/>
        </w:rPr>
        <w:t>KOVAN JARJES MAHMOOD</w:t>
      </w:r>
    </w:p>
    <w:p w:rsidR="00FA666A" w:rsidRPr="00AC4BF0" w:rsidRDefault="00FA666A" w:rsidP="00A15234">
      <w:pPr>
        <w:jc w:val="center"/>
        <w:rPr>
          <w:rFonts w:ascii="Book Antiqua" w:hAnsi="Book Antiqua" w:cs="Arial"/>
          <w:b/>
          <w:sz w:val="22"/>
        </w:rPr>
      </w:pPr>
      <w:r w:rsidRPr="00AC4BF0">
        <w:rPr>
          <w:rFonts w:ascii="Book Antiqua" w:hAnsi="Book Antiqua" w:cs="Arial"/>
          <w:b/>
          <w:sz w:val="22"/>
        </w:rPr>
        <w:t>(anonymity direction not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Default="00DD5071" w:rsidP="00DD5071">
      <w:pPr>
        <w:rPr>
          <w:rFonts w:ascii="Book Antiqua" w:hAnsi="Book Antiqua" w:cs="Arial"/>
          <w:u w:val="single"/>
        </w:rPr>
      </w:pPr>
    </w:p>
    <w:p w:rsidR="00AC4BF0" w:rsidRPr="00D32B8A" w:rsidRDefault="00AC4BF0"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AB7916">
        <w:rPr>
          <w:rFonts w:ascii="Book Antiqua" w:hAnsi="Book Antiqua" w:cs="Arial"/>
        </w:rPr>
        <w:t>Mr Sharif of Fountain Solicitors.</w:t>
      </w:r>
      <w:r w:rsidRPr="00D32B8A">
        <w:rPr>
          <w:rFonts w:ascii="Book Antiqua" w:hAnsi="Book Antiqua" w:cs="Arial"/>
        </w:rPr>
        <w:tab/>
      </w:r>
    </w:p>
    <w:p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AB7916">
        <w:rPr>
          <w:rFonts w:ascii="Book Antiqua" w:hAnsi="Book Antiqua" w:cs="Arial"/>
        </w:rPr>
        <w:t xml:space="preserve">Mr Mills - </w:t>
      </w:r>
      <w:r w:rsidR="000558F1">
        <w:rPr>
          <w:rFonts w:ascii="Book Antiqua" w:hAnsi="Book Antiqua" w:cs="Arial"/>
        </w:rPr>
        <w:t>Senior Home Office Presenting Officer.</w:t>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E</w:t>
      </w:r>
      <w:r w:rsidR="00FA666A">
        <w:rPr>
          <w:rFonts w:ascii="Book Antiqua" w:hAnsi="Book Antiqua"/>
          <w:b/>
          <w:u w:val="single"/>
        </w:rPr>
        <w:t xml:space="preserve">RROR OF LAW FINDING AND </w:t>
      </w:r>
      <w:r>
        <w:rPr>
          <w:rFonts w:ascii="Book Antiqua" w:hAnsi="Book Antiqua"/>
          <w:b/>
          <w:u w:val="single"/>
        </w:rPr>
        <w:t>REASONS</w:t>
      </w:r>
    </w:p>
    <w:p w:rsidR="00BE485D" w:rsidRDefault="00BE485D" w:rsidP="00BE485D">
      <w:pPr>
        <w:tabs>
          <w:tab w:val="left" w:pos="2520"/>
        </w:tabs>
        <w:ind w:left="360"/>
        <w:jc w:val="both"/>
        <w:rPr>
          <w:rFonts w:ascii="Book Antiqua" w:hAnsi="Book Antiqua" w:cs="Arial"/>
        </w:rPr>
      </w:pPr>
    </w:p>
    <w:p w:rsidR="00BE485D" w:rsidRDefault="00FA666A" w:rsidP="0002473E">
      <w:pPr>
        <w:numPr>
          <w:ilvl w:val="0"/>
          <w:numId w:val="3"/>
        </w:numPr>
        <w:tabs>
          <w:tab w:val="left" w:pos="2520"/>
        </w:tabs>
        <w:jc w:val="both"/>
        <w:rPr>
          <w:rFonts w:ascii="Book Antiqua" w:hAnsi="Book Antiqua" w:cs="Arial"/>
        </w:rPr>
      </w:pPr>
      <w:r>
        <w:rPr>
          <w:rFonts w:ascii="Book Antiqua" w:hAnsi="Book Antiqua" w:cs="Arial"/>
        </w:rPr>
        <w:t xml:space="preserve">The appellant appeals with permission </w:t>
      </w:r>
      <w:r w:rsidR="000558F1">
        <w:rPr>
          <w:rFonts w:ascii="Book Antiqua" w:hAnsi="Book Antiqua" w:cs="Arial"/>
        </w:rPr>
        <w:t xml:space="preserve">a </w:t>
      </w:r>
      <w:r>
        <w:rPr>
          <w:rFonts w:ascii="Book Antiqua" w:hAnsi="Book Antiqua" w:cs="Arial"/>
        </w:rPr>
        <w:t>decision of First-tier Tribunal Judge Parker</w:t>
      </w:r>
      <w:r w:rsidR="000558F1">
        <w:rPr>
          <w:rFonts w:ascii="Book Antiqua" w:hAnsi="Book Antiqua" w:cs="Arial"/>
        </w:rPr>
        <w:t>,</w:t>
      </w:r>
      <w:r>
        <w:rPr>
          <w:rFonts w:ascii="Book Antiqua" w:hAnsi="Book Antiqua" w:cs="Arial"/>
        </w:rPr>
        <w:t xml:space="preserve"> promulgated on the 6 September 2017</w:t>
      </w:r>
      <w:r w:rsidR="000558F1">
        <w:rPr>
          <w:rFonts w:ascii="Book Antiqua" w:hAnsi="Book Antiqua" w:cs="Arial"/>
        </w:rPr>
        <w:t>,</w:t>
      </w:r>
      <w:r>
        <w:rPr>
          <w:rFonts w:ascii="Book Antiqua" w:hAnsi="Book Antiqua" w:cs="Arial"/>
        </w:rPr>
        <w:t xml:space="preserve"> in which the Judge dismissed the appellant’s appeal on protection and human rights grounds.</w:t>
      </w:r>
    </w:p>
    <w:p w:rsidR="00402B9E" w:rsidRPr="00D32B8A" w:rsidRDefault="00402B9E" w:rsidP="0002473E">
      <w:pPr>
        <w:tabs>
          <w:tab w:val="left" w:pos="2520"/>
        </w:tabs>
        <w:ind w:left="360" w:firstLine="60"/>
        <w:jc w:val="both"/>
        <w:rPr>
          <w:rFonts w:ascii="Book Antiqua" w:hAnsi="Book Antiqua" w:cs="Arial"/>
        </w:rPr>
      </w:pPr>
    </w:p>
    <w:p w:rsidR="00AC4BF0" w:rsidRDefault="00AC4BF0" w:rsidP="0002473E">
      <w:pPr>
        <w:pStyle w:val="Heading5"/>
        <w:jc w:val="both"/>
        <w:rPr>
          <w:rFonts w:ascii="Book Antiqua" w:hAnsi="Book Antiqua" w:cs="Arial"/>
          <w:sz w:val="24"/>
        </w:rPr>
      </w:pPr>
    </w:p>
    <w:p w:rsidR="00D32B8A" w:rsidRDefault="00FD1BDB" w:rsidP="0002473E">
      <w:pPr>
        <w:pStyle w:val="Heading5"/>
        <w:jc w:val="both"/>
        <w:rPr>
          <w:rFonts w:ascii="Book Antiqua" w:hAnsi="Book Antiqua" w:cs="Arial"/>
          <w:sz w:val="24"/>
        </w:rPr>
      </w:pPr>
      <w:r>
        <w:rPr>
          <w:rFonts w:ascii="Book Antiqua" w:hAnsi="Book Antiqua" w:cs="Arial"/>
          <w:sz w:val="24"/>
        </w:rPr>
        <w:t>Background</w:t>
      </w:r>
    </w:p>
    <w:p w:rsidR="00FD1BDB" w:rsidRDefault="00FA666A" w:rsidP="00AC4BF0">
      <w:pPr>
        <w:numPr>
          <w:ilvl w:val="0"/>
          <w:numId w:val="3"/>
        </w:numPr>
        <w:spacing w:before="240"/>
        <w:ind w:left="1077"/>
        <w:jc w:val="both"/>
        <w:rPr>
          <w:rFonts w:ascii="Book Antiqua" w:hAnsi="Book Antiqua" w:cs="Arial"/>
        </w:rPr>
      </w:pPr>
      <w:r>
        <w:rPr>
          <w:rFonts w:ascii="Book Antiqua" w:hAnsi="Book Antiqua" w:cs="Arial"/>
        </w:rPr>
        <w:t>The appellant claimed to be national of Syria born on 1 June 1994 who entered the United Kingdom on 23 June 2015 and claimed asylum.</w:t>
      </w:r>
      <w:r w:rsidR="000558F1">
        <w:rPr>
          <w:rFonts w:ascii="Book Antiqua" w:hAnsi="Book Antiqua" w:cs="Arial"/>
        </w:rPr>
        <w:t xml:space="preserve"> The appellant claimed</w:t>
      </w:r>
      <w:r>
        <w:rPr>
          <w:rFonts w:ascii="Book Antiqua" w:hAnsi="Book Antiqua" w:cs="Arial"/>
        </w:rPr>
        <w:t xml:space="preserve"> a fear on return to Syria.</w:t>
      </w:r>
    </w:p>
    <w:p w:rsidR="00FA666A" w:rsidRDefault="00FA666A" w:rsidP="00AC4BF0">
      <w:pPr>
        <w:numPr>
          <w:ilvl w:val="0"/>
          <w:numId w:val="3"/>
        </w:numPr>
        <w:spacing w:before="240"/>
        <w:ind w:left="1077"/>
        <w:jc w:val="both"/>
        <w:rPr>
          <w:rFonts w:ascii="Book Antiqua" w:hAnsi="Book Antiqua" w:cs="Arial"/>
        </w:rPr>
      </w:pPr>
      <w:r>
        <w:rPr>
          <w:rFonts w:ascii="Book Antiqua" w:hAnsi="Book Antiqua" w:cs="Arial"/>
        </w:rPr>
        <w:t>The Judge considered the evidence with the required degree of anxious scrutiny including the language analysis report stating the appellant belongs to a Kurdish linguistic community that occurs in Iraq.</w:t>
      </w:r>
    </w:p>
    <w:p w:rsidR="00FA666A" w:rsidRDefault="00FA666A" w:rsidP="00AC4BF0">
      <w:pPr>
        <w:numPr>
          <w:ilvl w:val="0"/>
          <w:numId w:val="3"/>
        </w:numPr>
        <w:spacing w:before="240"/>
        <w:ind w:left="1077"/>
        <w:jc w:val="both"/>
        <w:rPr>
          <w:rFonts w:ascii="Book Antiqua" w:hAnsi="Book Antiqua" w:cs="Arial"/>
        </w:rPr>
      </w:pPr>
      <w:r>
        <w:rPr>
          <w:rFonts w:ascii="Book Antiqua" w:hAnsi="Book Antiqua" w:cs="Arial"/>
        </w:rPr>
        <w:t>The Judge refers to the case law referred to by the appellant’s representative indicating that such reports are entitled to considerable weight but should not be treated as infallible. The Judge finds the appellant’s knowledge of Syria is inconclusive</w:t>
      </w:r>
      <w:r w:rsidR="0002473E">
        <w:rPr>
          <w:rFonts w:ascii="Book Antiqua" w:hAnsi="Book Antiqua" w:cs="Arial"/>
        </w:rPr>
        <w:t xml:space="preserve"> and t</w:t>
      </w:r>
      <w:r>
        <w:rPr>
          <w:rFonts w:ascii="Book Antiqua" w:hAnsi="Book Antiqua" w:cs="Arial"/>
        </w:rPr>
        <w:t xml:space="preserve">hat </w:t>
      </w:r>
      <w:r w:rsidR="000558F1">
        <w:rPr>
          <w:rFonts w:ascii="Book Antiqua" w:hAnsi="Book Antiqua" w:cs="Arial"/>
        </w:rPr>
        <w:t>h</w:t>
      </w:r>
      <w:r>
        <w:rPr>
          <w:rFonts w:ascii="Book Antiqua" w:hAnsi="Book Antiqua" w:cs="Arial"/>
        </w:rPr>
        <w:t xml:space="preserve">is responses to his </w:t>
      </w:r>
      <w:r w:rsidR="000558F1">
        <w:rPr>
          <w:rFonts w:ascii="Book Antiqua" w:hAnsi="Book Antiqua" w:cs="Arial"/>
        </w:rPr>
        <w:t xml:space="preserve">questions about his </w:t>
      </w:r>
      <w:r>
        <w:rPr>
          <w:rFonts w:ascii="Book Antiqua" w:hAnsi="Book Antiqua" w:cs="Arial"/>
        </w:rPr>
        <w:t xml:space="preserve">nationality </w:t>
      </w:r>
      <w:r w:rsidR="000558F1">
        <w:rPr>
          <w:rFonts w:ascii="Book Antiqua" w:hAnsi="Book Antiqua" w:cs="Arial"/>
        </w:rPr>
        <w:t xml:space="preserve">lack </w:t>
      </w:r>
      <w:r>
        <w:rPr>
          <w:rFonts w:ascii="Book Antiqua" w:hAnsi="Book Antiqua" w:cs="Arial"/>
        </w:rPr>
        <w:t>credibility</w:t>
      </w:r>
      <w:r w:rsidR="0002473E">
        <w:rPr>
          <w:rFonts w:ascii="Book Antiqua" w:hAnsi="Book Antiqua" w:cs="Arial"/>
        </w:rPr>
        <w:t>,</w:t>
      </w:r>
      <w:r>
        <w:rPr>
          <w:rFonts w:ascii="Book Antiqua" w:hAnsi="Book Antiqua" w:cs="Arial"/>
        </w:rPr>
        <w:t xml:space="preserve"> amongst other matters. The Judge finds the appellant has not told the truth regarding his claim and that he is </w:t>
      </w:r>
      <w:r w:rsidR="000558F1">
        <w:rPr>
          <w:rFonts w:ascii="Book Antiqua" w:hAnsi="Book Antiqua" w:cs="Arial"/>
        </w:rPr>
        <w:t xml:space="preserve">a </w:t>
      </w:r>
      <w:r>
        <w:rPr>
          <w:rFonts w:ascii="Book Antiqua" w:hAnsi="Book Antiqua" w:cs="Arial"/>
        </w:rPr>
        <w:t>Kurd from Iraq and in particular the</w:t>
      </w:r>
      <w:r w:rsidR="000558F1">
        <w:rPr>
          <w:rFonts w:ascii="Book Antiqua" w:hAnsi="Book Antiqua" w:cs="Arial"/>
        </w:rPr>
        <w:t xml:space="preserve"> IKR</w:t>
      </w:r>
      <w:r>
        <w:rPr>
          <w:rFonts w:ascii="Book Antiqua" w:hAnsi="Book Antiqua" w:cs="Arial"/>
        </w:rPr>
        <w:t>. Accordingly</w:t>
      </w:r>
      <w:r w:rsidR="000558F1">
        <w:rPr>
          <w:rFonts w:ascii="Book Antiqua" w:hAnsi="Book Antiqua" w:cs="Arial"/>
        </w:rPr>
        <w:t>,</w:t>
      </w:r>
      <w:r>
        <w:rPr>
          <w:rFonts w:ascii="Book Antiqua" w:hAnsi="Book Antiqua" w:cs="Arial"/>
        </w:rPr>
        <w:t xml:space="preserve"> the appellants claim based upon a completely different factual matrix</w:t>
      </w:r>
      <w:r w:rsidR="000558F1">
        <w:rPr>
          <w:rFonts w:ascii="Book Antiqua" w:hAnsi="Book Antiqua" w:cs="Arial"/>
        </w:rPr>
        <w:t>,</w:t>
      </w:r>
      <w:r>
        <w:rPr>
          <w:rFonts w:ascii="Book Antiqua" w:hAnsi="Book Antiqua" w:cs="Arial"/>
        </w:rPr>
        <w:t xml:space="preserve"> namely a national of Syria who could not return to Syria</w:t>
      </w:r>
      <w:r w:rsidR="000558F1">
        <w:rPr>
          <w:rFonts w:ascii="Book Antiqua" w:hAnsi="Book Antiqua" w:cs="Arial"/>
        </w:rPr>
        <w:t>,</w:t>
      </w:r>
      <w:r>
        <w:rPr>
          <w:rFonts w:ascii="Book Antiqua" w:hAnsi="Book Antiqua" w:cs="Arial"/>
        </w:rPr>
        <w:t xml:space="preserve"> failed</w:t>
      </w:r>
      <w:r w:rsidR="000558F1">
        <w:rPr>
          <w:rFonts w:ascii="Book Antiqua" w:hAnsi="Book Antiqua" w:cs="Arial"/>
        </w:rPr>
        <w:t xml:space="preserve"> and was found to </w:t>
      </w:r>
      <w:r>
        <w:rPr>
          <w:rFonts w:ascii="Book Antiqua" w:hAnsi="Book Antiqua" w:cs="Arial"/>
        </w:rPr>
        <w:t>lack of credibility.</w:t>
      </w:r>
    </w:p>
    <w:p w:rsidR="00FA666A" w:rsidRDefault="00FA666A" w:rsidP="00AC4BF0">
      <w:pPr>
        <w:numPr>
          <w:ilvl w:val="0"/>
          <w:numId w:val="3"/>
        </w:numPr>
        <w:spacing w:before="240"/>
        <w:ind w:left="1077"/>
        <w:jc w:val="both"/>
        <w:rPr>
          <w:rFonts w:ascii="Book Antiqua" w:hAnsi="Book Antiqua" w:cs="Arial"/>
        </w:rPr>
      </w:pPr>
      <w:r>
        <w:rPr>
          <w:rFonts w:ascii="Book Antiqua" w:hAnsi="Book Antiqua" w:cs="Arial"/>
        </w:rPr>
        <w:t xml:space="preserve">The appellant was refused permission to appeal by another judge of the First-tier Tribunal </w:t>
      </w:r>
      <w:r w:rsidR="000558F1">
        <w:rPr>
          <w:rFonts w:ascii="Book Antiqua" w:hAnsi="Book Antiqua" w:cs="Arial"/>
        </w:rPr>
        <w:t xml:space="preserve">but </w:t>
      </w:r>
      <w:r>
        <w:rPr>
          <w:rFonts w:ascii="Book Antiqua" w:hAnsi="Book Antiqua" w:cs="Arial"/>
        </w:rPr>
        <w:t xml:space="preserve">granted permission on a renewed application by </w:t>
      </w:r>
      <w:r w:rsidR="000558F1">
        <w:rPr>
          <w:rFonts w:ascii="Book Antiqua" w:hAnsi="Book Antiqua" w:cs="Arial"/>
        </w:rPr>
        <w:t xml:space="preserve">a </w:t>
      </w:r>
      <w:r>
        <w:rPr>
          <w:rFonts w:ascii="Book Antiqua" w:hAnsi="Book Antiqua" w:cs="Arial"/>
        </w:rPr>
        <w:t>Deputy Judge of the Upper Tribunal for the following reasons:</w:t>
      </w:r>
    </w:p>
    <w:p w:rsidR="00FA666A" w:rsidRPr="00AC4BF0" w:rsidRDefault="000558F1" w:rsidP="00AC4BF0">
      <w:pPr>
        <w:numPr>
          <w:ilvl w:val="0"/>
          <w:numId w:val="4"/>
        </w:numPr>
        <w:spacing w:before="120" w:after="120"/>
        <w:ind w:left="1701" w:hanging="567"/>
        <w:jc w:val="both"/>
        <w:rPr>
          <w:rFonts w:ascii="Book Antiqua" w:hAnsi="Book Antiqua" w:cs="Arial"/>
          <w:sz w:val="22"/>
          <w:szCs w:val="20"/>
        </w:rPr>
      </w:pPr>
      <w:r w:rsidRPr="00AC4BF0">
        <w:rPr>
          <w:rFonts w:ascii="Book Antiqua" w:hAnsi="Book Antiqua" w:cs="Arial"/>
          <w:sz w:val="22"/>
          <w:szCs w:val="20"/>
        </w:rPr>
        <w:t>T</w:t>
      </w:r>
      <w:r w:rsidR="00FA666A" w:rsidRPr="00AC4BF0">
        <w:rPr>
          <w:rFonts w:ascii="Book Antiqua" w:hAnsi="Book Antiqua" w:cs="Arial"/>
          <w:sz w:val="22"/>
          <w:szCs w:val="20"/>
        </w:rPr>
        <w:t>he above grounds of appeal assert that the decision of the judge of the first-tier Tribunal showed an insufficiency of reasoning and that he erred in light of decided case law in his assessment of the language report. It was stated that the Judge was wrong to find that the appellant could be returned to the IKR.</w:t>
      </w:r>
    </w:p>
    <w:p w:rsidR="00FA666A" w:rsidRPr="00AC4BF0" w:rsidRDefault="00FA666A" w:rsidP="00AC4BF0">
      <w:pPr>
        <w:numPr>
          <w:ilvl w:val="0"/>
          <w:numId w:val="4"/>
        </w:numPr>
        <w:spacing w:before="120" w:after="120"/>
        <w:ind w:left="1701" w:hanging="567"/>
        <w:jc w:val="both"/>
        <w:rPr>
          <w:rFonts w:ascii="Book Antiqua" w:hAnsi="Book Antiqua" w:cs="Arial"/>
          <w:sz w:val="22"/>
          <w:szCs w:val="20"/>
        </w:rPr>
      </w:pPr>
      <w:r w:rsidRPr="00AC4BF0">
        <w:rPr>
          <w:rFonts w:ascii="Book Antiqua" w:hAnsi="Book Antiqua" w:cs="Arial"/>
          <w:sz w:val="22"/>
          <w:szCs w:val="20"/>
        </w:rPr>
        <w:t>I consider that it may be arguable that the Judge erred in his consideration of the language report and also with regard to the ability of the appellant to return to the IKR.</w:t>
      </w:r>
    </w:p>
    <w:p w:rsidR="00FA666A" w:rsidRDefault="00FA666A" w:rsidP="0002473E">
      <w:pPr>
        <w:numPr>
          <w:ilvl w:val="0"/>
          <w:numId w:val="3"/>
        </w:numPr>
        <w:jc w:val="both"/>
        <w:rPr>
          <w:rFonts w:ascii="Book Antiqua" w:hAnsi="Book Antiqua" w:cs="Arial"/>
        </w:rPr>
      </w:pPr>
      <w:r>
        <w:rPr>
          <w:rFonts w:ascii="Book Antiqua" w:hAnsi="Book Antiqua" w:cs="Arial"/>
        </w:rPr>
        <w:t>The respondent</w:t>
      </w:r>
      <w:r w:rsidR="0002473E">
        <w:rPr>
          <w:rFonts w:ascii="Book Antiqua" w:hAnsi="Book Antiqua" w:cs="Arial"/>
        </w:rPr>
        <w:t>,</w:t>
      </w:r>
      <w:r>
        <w:rPr>
          <w:rFonts w:ascii="Book Antiqua" w:hAnsi="Book Antiqua" w:cs="Arial"/>
        </w:rPr>
        <w:t xml:space="preserve"> in her Rule 24 reply of 27 November 2017</w:t>
      </w:r>
      <w:r w:rsidR="0002473E">
        <w:rPr>
          <w:rFonts w:ascii="Book Antiqua" w:hAnsi="Book Antiqua" w:cs="Arial"/>
        </w:rPr>
        <w:t>,</w:t>
      </w:r>
      <w:r>
        <w:rPr>
          <w:rFonts w:ascii="Book Antiqua" w:hAnsi="Book Antiqua" w:cs="Arial"/>
        </w:rPr>
        <w:t xml:space="preserve"> maintains the Judge properly considered the language report set out at paragraphs 20 to 47. The Judge was entitled to find the appellant was not from Syria and at paragraph 67 the Judge finds the appellant has family connections that can help him and sponsor him to obtain the appropriate documentation. </w:t>
      </w:r>
    </w:p>
    <w:p w:rsidR="00FD1BDB" w:rsidRPr="00D32B8A" w:rsidRDefault="00FD1BDB" w:rsidP="0002473E">
      <w:pPr>
        <w:ind w:left="360"/>
        <w:jc w:val="both"/>
        <w:rPr>
          <w:rFonts w:ascii="Book Antiqua" w:hAnsi="Book Antiqua" w:cs="Arial"/>
        </w:rPr>
      </w:pPr>
    </w:p>
    <w:p w:rsidR="00D32B8A" w:rsidRPr="00D32B8A" w:rsidRDefault="000558F1" w:rsidP="0002473E">
      <w:pPr>
        <w:pStyle w:val="Heading5"/>
        <w:jc w:val="both"/>
        <w:rPr>
          <w:rFonts w:ascii="Book Antiqua" w:hAnsi="Book Antiqua" w:cs="Arial"/>
          <w:sz w:val="24"/>
        </w:rPr>
      </w:pPr>
      <w:r>
        <w:rPr>
          <w:rFonts w:ascii="Book Antiqua" w:hAnsi="Book Antiqua" w:cs="Arial"/>
          <w:sz w:val="24"/>
        </w:rPr>
        <w:t xml:space="preserve">Error of </w:t>
      </w:r>
      <w:r w:rsidR="00FD1BDB">
        <w:rPr>
          <w:rFonts w:ascii="Book Antiqua" w:hAnsi="Book Antiqua" w:cs="Arial"/>
          <w:sz w:val="24"/>
        </w:rPr>
        <w:t>law</w:t>
      </w:r>
    </w:p>
    <w:p w:rsidR="00D32B8A" w:rsidRDefault="007D25C4" w:rsidP="00AC4BF0">
      <w:pPr>
        <w:numPr>
          <w:ilvl w:val="0"/>
          <w:numId w:val="3"/>
        </w:numPr>
        <w:spacing w:before="240"/>
        <w:ind w:left="1077"/>
        <w:jc w:val="both"/>
        <w:rPr>
          <w:rFonts w:ascii="Book Antiqua" w:hAnsi="Book Antiqua" w:cs="Arial"/>
        </w:rPr>
      </w:pPr>
      <w:r>
        <w:rPr>
          <w:rFonts w:ascii="Book Antiqua" w:hAnsi="Book Antiqua" w:cs="Arial"/>
        </w:rPr>
        <w:t>The appellant</w:t>
      </w:r>
      <w:r w:rsidR="00893D74">
        <w:rPr>
          <w:rFonts w:ascii="Book Antiqua" w:hAnsi="Book Antiqua" w:cs="Arial"/>
        </w:rPr>
        <w:t xml:space="preserve"> attacks the Judge’s treatment of the language analysis. The Judge sets out the results of the analysis between [22 – 44] of the decision under challenge. The Judge sets out the linguist</w:t>
      </w:r>
      <w:r w:rsidR="000558F1">
        <w:rPr>
          <w:rFonts w:ascii="Book Antiqua" w:hAnsi="Book Antiqua" w:cs="Arial"/>
        </w:rPr>
        <w:t>’</w:t>
      </w:r>
      <w:r w:rsidR="00893D74">
        <w:rPr>
          <w:rFonts w:ascii="Book Antiqua" w:hAnsi="Book Antiqua" w:cs="Arial"/>
        </w:rPr>
        <w:t>s professional qualifications and experience which are described as “impressive” at [42 – 44].</w:t>
      </w:r>
    </w:p>
    <w:p w:rsidR="00893D74" w:rsidRDefault="00893D74" w:rsidP="00AC4BF0">
      <w:pPr>
        <w:numPr>
          <w:ilvl w:val="0"/>
          <w:numId w:val="3"/>
        </w:numPr>
        <w:spacing w:before="240"/>
        <w:ind w:left="1077"/>
        <w:jc w:val="both"/>
        <w:rPr>
          <w:rFonts w:ascii="Book Antiqua" w:hAnsi="Book Antiqua" w:cs="Arial"/>
        </w:rPr>
      </w:pPr>
      <w:r>
        <w:rPr>
          <w:rFonts w:ascii="Book Antiqua" w:hAnsi="Book Antiqua" w:cs="Arial"/>
        </w:rPr>
        <w:t>The Judge recognises that there are limitations of any language analysis and the one being considered in particular</w:t>
      </w:r>
      <w:r w:rsidR="000558F1">
        <w:rPr>
          <w:rFonts w:ascii="Book Antiqua" w:hAnsi="Book Antiqua" w:cs="Arial"/>
        </w:rPr>
        <w:t>,</w:t>
      </w:r>
      <w:r>
        <w:rPr>
          <w:rFonts w:ascii="Book Antiqua" w:hAnsi="Book Antiqua" w:cs="Arial"/>
        </w:rPr>
        <w:t xml:space="preserve"> but concludes the report is detailed and provides cogent evidence of the appellants linguistic ability [47]. The Judge sets </w:t>
      </w:r>
      <w:r>
        <w:rPr>
          <w:rFonts w:ascii="Book Antiqua" w:hAnsi="Book Antiqua" w:cs="Arial"/>
        </w:rPr>
        <w:lastRenderedPageBreak/>
        <w:t xml:space="preserve">out the cases relied upon by the appellant’s representative before the First-tier Tribunal and now in support of this application for appeal at [49] </w:t>
      </w:r>
      <w:r w:rsidR="000558F1">
        <w:rPr>
          <w:rFonts w:ascii="Book Antiqua" w:hAnsi="Book Antiqua" w:cs="Arial"/>
        </w:rPr>
        <w:t xml:space="preserve">accepting </w:t>
      </w:r>
      <w:r>
        <w:rPr>
          <w:rFonts w:ascii="Book Antiqua" w:hAnsi="Book Antiqua" w:cs="Arial"/>
        </w:rPr>
        <w:t>at [50] that a report is not infallible but</w:t>
      </w:r>
      <w:r w:rsidR="000558F1">
        <w:rPr>
          <w:rFonts w:ascii="Book Antiqua" w:hAnsi="Book Antiqua" w:cs="Arial"/>
        </w:rPr>
        <w:t>,</w:t>
      </w:r>
      <w:r>
        <w:rPr>
          <w:rFonts w:ascii="Book Antiqua" w:hAnsi="Book Antiqua" w:cs="Arial"/>
        </w:rPr>
        <w:t xml:space="preserve"> having followed the guidance provided in the case law referred to the Judge</w:t>
      </w:r>
      <w:r w:rsidR="000558F1">
        <w:rPr>
          <w:rFonts w:ascii="Book Antiqua" w:hAnsi="Book Antiqua" w:cs="Arial"/>
        </w:rPr>
        <w:t>,</w:t>
      </w:r>
      <w:r>
        <w:rPr>
          <w:rFonts w:ascii="Book Antiqua" w:hAnsi="Book Antiqua" w:cs="Arial"/>
        </w:rPr>
        <w:t xml:space="preserve"> finds the expertise of the linguists to be very good and considers alternative submissions a</w:t>
      </w:r>
      <w:r w:rsidR="000558F1">
        <w:rPr>
          <w:rFonts w:ascii="Book Antiqua" w:hAnsi="Book Antiqua" w:cs="Arial"/>
        </w:rPr>
        <w:t>nd evidence provided a</w:t>
      </w:r>
      <w:r>
        <w:rPr>
          <w:rFonts w:ascii="Book Antiqua" w:hAnsi="Book Antiqua" w:cs="Arial"/>
        </w:rPr>
        <w:t>s not being convincing.</w:t>
      </w:r>
      <w:r w:rsidR="0002473E">
        <w:rPr>
          <w:rFonts w:ascii="Book Antiqua" w:hAnsi="Book Antiqua" w:cs="Arial"/>
        </w:rPr>
        <w:t xml:space="preserve"> The issue of the Judge referring to two linguists when there may have been three indicates confusion but not anything sufficiently material to lessen the degree of weight given by the Judge to the evidence.</w:t>
      </w:r>
    </w:p>
    <w:p w:rsidR="00893D74" w:rsidRDefault="00893D74" w:rsidP="00AC4BF0">
      <w:pPr>
        <w:numPr>
          <w:ilvl w:val="0"/>
          <w:numId w:val="3"/>
        </w:numPr>
        <w:spacing w:before="240"/>
        <w:ind w:left="1077"/>
        <w:jc w:val="both"/>
        <w:rPr>
          <w:rFonts w:ascii="Book Antiqua" w:hAnsi="Book Antiqua" w:cs="Arial"/>
        </w:rPr>
      </w:pPr>
      <w:r>
        <w:rPr>
          <w:rFonts w:ascii="Book Antiqua" w:hAnsi="Book Antiqua" w:cs="Arial"/>
        </w:rPr>
        <w:t>The Judge does not make the finding solely based upon the linguistic evidence a</w:t>
      </w:r>
      <w:r w:rsidR="000558F1">
        <w:rPr>
          <w:rFonts w:ascii="Book Antiqua" w:hAnsi="Book Antiqua" w:cs="Arial"/>
        </w:rPr>
        <w:t xml:space="preserve">nd </w:t>
      </w:r>
      <w:r>
        <w:rPr>
          <w:rFonts w:ascii="Book Antiqua" w:hAnsi="Book Antiqua" w:cs="Arial"/>
        </w:rPr>
        <w:t xml:space="preserve">refers to the fact that the appellant was asked a number of questions to establish his identity and nationality in his asylum interview the responses to which are noted at [19 – 20] of the reasons for refusal letter to be inaccurate or incorrect when compared to the background information relating to Syria. The Judge refers to inconsistent and inaccurate evidence [52] and the finding the appellant’s knowledge of Syria </w:t>
      </w:r>
      <w:r w:rsidR="000558F1">
        <w:rPr>
          <w:rFonts w:ascii="Book Antiqua" w:hAnsi="Book Antiqua" w:cs="Arial"/>
        </w:rPr>
        <w:t>‘</w:t>
      </w:r>
      <w:r>
        <w:rPr>
          <w:rFonts w:ascii="Book Antiqua" w:hAnsi="Book Antiqua" w:cs="Arial"/>
        </w:rPr>
        <w:t>is at best inconclusive</w:t>
      </w:r>
      <w:r w:rsidR="000558F1">
        <w:rPr>
          <w:rFonts w:ascii="Book Antiqua" w:hAnsi="Book Antiqua" w:cs="Arial"/>
        </w:rPr>
        <w:t>’</w:t>
      </w:r>
      <w:r w:rsidR="0002473E">
        <w:rPr>
          <w:rFonts w:ascii="Book Antiqua" w:hAnsi="Book Antiqua" w:cs="Arial"/>
        </w:rPr>
        <w:t xml:space="preserve">; </w:t>
      </w:r>
      <w:r>
        <w:rPr>
          <w:rFonts w:ascii="Book Antiqua" w:hAnsi="Book Antiqua" w:cs="Arial"/>
        </w:rPr>
        <w:t xml:space="preserve">a reference to </w:t>
      </w:r>
      <w:r w:rsidR="000558F1">
        <w:rPr>
          <w:rFonts w:ascii="Book Antiqua" w:hAnsi="Book Antiqua" w:cs="Arial"/>
        </w:rPr>
        <w:t xml:space="preserve">it </w:t>
      </w:r>
      <w:r>
        <w:rPr>
          <w:rFonts w:ascii="Book Antiqua" w:hAnsi="Book Antiqua" w:cs="Arial"/>
        </w:rPr>
        <w:t>not be</w:t>
      </w:r>
      <w:r w:rsidR="000558F1">
        <w:rPr>
          <w:rFonts w:ascii="Book Antiqua" w:hAnsi="Book Antiqua" w:cs="Arial"/>
        </w:rPr>
        <w:t xml:space="preserve">ing </w:t>
      </w:r>
      <w:r>
        <w:rPr>
          <w:rFonts w:ascii="Book Antiqua" w:hAnsi="Book Antiqua" w:cs="Arial"/>
        </w:rPr>
        <w:t>conclusive in establishing the appellant is from Syria.</w:t>
      </w:r>
    </w:p>
    <w:p w:rsidR="00893D74" w:rsidRDefault="00893D74" w:rsidP="00AC4BF0">
      <w:pPr>
        <w:numPr>
          <w:ilvl w:val="0"/>
          <w:numId w:val="3"/>
        </w:numPr>
        <w:spacing w:before="240"/>
        <w:ind w:left="1077"/>
        <w:jc w:val="both"/>
        <w:rPr>
          <w:rFonts w:ascii="Book Antiqua" w:hAnsi="Book Antiqua" w:cs="Arial"/>
        </w:rPr>
      </w:pPr>
      <w:r>
        <w:rPr>
          <w:rFonts w:ascii="Book Antiqua" w:hAnsi="Book Antiqua" w:cs="Arial"/>
        </w:rPr>
        <w:t xml:space="preserve">The Judge finds at [56] that the linguistic origin identification report </w:t>
      </w:r>
      <w:r w:rsidR="000558F1">
        <w:rPr>
          <w:rFonts w:ascii="Book Antiqua" w:hAnsi="Book Antiqua" w:cs="Arial"/>
        </w:rPr>
        <w:t xml:space="preserve">of </w:t>
      </w:r>
      <w:r>
        <w:rPr>
          <w:rFonts w:ascii="Book Antiqua" w:hAnsi="Book Antiqua" w:cs="Arial"/>
        </w:rPr>
        <w:t>14 September 2015 has not been successfully challenged and that the Judge did not have any detailed analysis th</w:t>
      </w:r>
      <w:r w:rsidR="000558F1">
        <w:rPr>
          <w:rFonts w:ascii="Book Antiqua" w:hAnsi="Book Antiqua" w:cs="Arial"/>
        </w:rPr>
        <w:t xml:space="preserve">at </w:t>
      </w:r>
      <w:r>
        <w:rPr>
          <w:rFonts w:ascii="Book Antiqua" w:hAnsi="Book Antiqua" w:cs="Arial"/>
        </w:rPr>
        <w:t xml:space="preserve">either the authors experience or the contents do not stand </w:t>
      </w:r>
      <w:r w:rsidR="0002473E">
        <w:rPr>
          <w:rFonts w:ascii="Book Antiqua" w:hAnsi="Book Antiqua" w:cs="Arial"/>
        </w:rPr>
        <w:t xml:space="preserve">up to </w:t>
      </w:r>
      <w:r>
        <w:rPr>
          <w:rFonts w:ascii="Book Antiqua" w:hAnsi="Book Antiqua" w:cs="Arial"/>
        </w:rPr>
        <w:t xml:space="preserve">scrutiny and that the Judge had no expert report to provide clear independent evidence that an appellant who speaks Kurdish </w:t>
      </w:r>
      <w:r w:rsidR="000558F1">
        <w:rPr>
          <w:rFonts w:ascii="Book Antiqua" w:hAnsi="Book Antiqua" w:cs="Arial"/>
        </w:rPr>
        <w:t xml:space="preserve">Kumanji </w:t>
      </w:r>
      <w:r>
        <w:rPr>
          <w:rFonts w:ascii="Book Antiqua" w:hAnsi="Book Antiqua" w:cs="Arial"/>
        </w:rPr>
        <w:t xml:space="preserve">can originate from Dereke in </w:t>
      </w:r>
      <w:r w:rsidR="000558F1">
        <w:rPr>
          <w:rFonts w:ascii="Book Antiqua" w:hAnsi="Book Antiqua" w:cs="Arial"/>
        </w:rPr>
        <w:t>Syria</w:t>
      </w:r>
      <w:r w:rsidR="0002473E">
        <w:rPr>
          <w:rFonts w:ascii="Book Antiqua" w:hAnsi="Book Antiqua" w:cs="Arial"/>
        </w:rPr>
        <w:t>,</w:t>
      </w:r>
      <w:r w:rsidR="000558F1">
        <w:rPr>
          <w:rFonts w:ascii="Book Antiqua" w:hAnsi="Book Antiqua" w:cs="Arial"/>
        </w:rPr>
        <w:t xml:space="preserve"> as </w:t>
      </w:r>
      <w:r>
        <w:rPr>
          <w:rFonts w:ascii="Book Antiqua" w:hAnsi="Book Antiqua" w:cs="Arial"/>
        </w:rPr>
        <w:t>the appellant claimed.</w:t>
      </w:r>
    </w:p>
    <w:p w:rsidR="00893D74" w:rsidRDefault="00893D74" w:rsidP="00AC4BF0">
      <w:pPr>
        <w:numPr>
          <w:ilvl w:val="0"/>
          <w:numId w:val="3"/>
        </w:numPr>
        <w:spacing w:before="240"/>
        <w:ind w:left="1077"/>
        <w:jc w:val="both"/>
        <w:rPr>
          <w:rFonts w:ascii="Book Antiqua" w:hAnsi="Book Antiqua" w:cs="Arial"/>
        </w:rPr>
      </w:pPr>
      <w:r>
        <w:rPr>
          <w:rFonts w:ascii="Book Antiqua" w:hAnsi="Book Antiqua" w:cs="Arial"/>
        </w:rPr>
        <w:t xml:space="preserve">The Judge refers to discrepancies highlighted in the reasons for refusal letter in the appellants responses which have not been successfully challenged. The Judge also notes that in the screening interview the appellant failed to mention his fear </w:t>
      </w:r>
      <w:r w:rsidR="000558F1">
        <w:rPr>
          <w:rFonts w:ascii="Book Antiqua" w:hAnsi="Book Antiqua" w:cs="Arial"/>
        </w:rPr>
        <w:t xml:space="preserve">of </w:t>
      </w:r>
      <w:r>
        <w:rPr>
          <w:rFonts w:ascii="Book Antiqua" w:hAnsi="Book Antiqua" w:cs="Arial"/>
        </w:rPr>
        <w:t>the Syrian authorities which the Judge, reasonably, concluded will be central to the appellants claim [58].</w:t>
      </w:r>
    </w:p>
    <w:p w:rsidR="000558F1" w:rsidRDefault="00893D74" w:rsidP="00AC4BF0">
      <w:pPr>
        <w:numPr>
          <w:ilvl w:val="0"/>
          <w:numId w:val="3"/>
        </w:numPr>
        <w:spacing w:before="240"/>
        <w:ind w:left="1077"/>
        <w:jc w:val="both"/>
        <w:rPr>
          <w:rFonts w:ascii="Book Antiqua" w:hAnsi="Book Antiqua" w:cs="Arial"/>
        </w:rPr>
      </w:pPr>
      <w:r>
        <w:rPr>
          <w:rFonts w:ascii="Book Antiqua" w:hAnsi="Book Antiqua" w:cs="Arial"/>
        </w:rPr>
        <w:t xml:space="preserve">The cases relied upon by the appellant before the Judge and in support of his grounds of appeal include </w:t>
      </w:r>
      <w:r w:rsidR="00FA666A" w:rsidRPr="00AC4BF0">
        <w:rPr>
          <w:rFonts w:ascii="Book Antiqua" w:hAnsi="Book Antiqua" w:cs="Arial"/>
          <w:i/>
        </w:rPr>
        <w:t>RB (Linguistic evidence – Sprakab) Somalia</w:t>
      </w:r>
      <w:r w:rsidR="00FA666A" w:rsidRPr="00FA666A">
        <w:rPr>
          <w:rFonts w:ascii="Book Antiqua" w:hAnsi="Book Antiqua" w:cs="Arial"/>
        </w:rPr>
        <w:t xml:space="preserve"> [2010] UKUT 329 (IAC) </w:t>
      </w:r>
      <w:r w:rsidR="000558F1">
        <w:rPr>
          <w:rFonts w:ascii="Book Antiqua" w:hAnsi="Book Antiqua" w:cs="Arial"/>
        </w:rPr>
        <w:t xml:space="preserve">in which </w:t>
      </w:r>
      <w:r w:rsidR="00FA666A" w:rsidRPr="00FA666A">
        <w:rPr>
          <w:rFonts w:ascii="Book Antiqua" w:hAnsi="Book Antiqua" w:cs="Arial"/>
        </w:rPr>
        <w:t xml:space="preserve">the Tribunal said that (i) Linguistic analysis reports from Sprakab are entitled to considerable weight. That conclusion derives from the data available to Sprakab and the process it uses. They should not be treated as infallible but evidence opposing them will need to deal with the particular factors identified in the report; (ii)  Recordings of all material derived from the appellant and used as material for linguistic analysis should be made available to all parties if the analysis is to be relied on in the Tribunal; and (iii) Sprakab linguists and analysts are not to be required to give their names (as distinct from their identifiers, experience and qualifications) unless there is a good reason particular to the individual case. The Tribunal also gave general guidance on the reports.  First, it stated that SPRAKAB’s process of language analysis, which required interaction between several employees, minimised the opportunities for incompetence or a false result.  Secondly, while origin should not be based solely on linguistic analysis, where there was a clear opinion expressed in terms of </w:t>
      </w:r>
      <w:r w:rsidR="00FA666A" w:rsidRPr="00FA666A">
        <w:rPr>
          <w:rFonts w:ascii="Book Antiqua" w:hAnsi="Book Antiqua" w:cs="Arial"/>
        </w:rPr>
        <w:lastRenderedPageBreak/>
        <w:t>certainty, little more would be required to justify a conclusion on whether an applicant had the history claimed.  Thirdly, parties must have an opportunity to challenge any linguistic assessment opposing them.  Finally, SPRAKAB’s request for anonymity for its employees was reasonable.</w:t>
      </w:r>
    </w:p>
    <w:p w:rsidR="00FA666A" w:rsidRPr="00FA666A" w:rsidRDefault="00FA666A" w:rsidP="00AC4BF0">
      <w:pPr>
        <w:numPr>
          <w:ilvl w:val="0"/>
          <w:numId w:val="3"/>
        </w:numPr>
        <w:spacing w:before="240"/>
        <w:ind w:left="1077"/>
        <w:jc w:val="both"/>
        <w:rPr>
          <w:rFonts w:ascii="Book Antiqua" w:hAnsi="Book Antiqua" w:cs="Arial"/>
        </w:rPr>
      </w:pPr>
      <w:r w:rsidRPr="00FA666A">
        <w:rPr>
          <w:rFonts w:ascii="Book Antiqua" w:hAnsi="Book Antiqua" w:cs="Arial"/>
        </w:rPr>
        <w:t xml:space="preserve">In </w:t>
      </w:r>
      <w:r w:rsidRPr="00AC4BF0">
        <w:rPr>
          <w:rFonts w:ascii="Book Antiqua" w:hAnsi="Book Antiqua" w:cs="Arial"/>
          <w:i/>
        </w:rPr>
        <w:t>RB (Somalia) v Secretary of State for the Home Department</w:t>
      </w:r>
      <w:r w:rsidRPr="00FA666A">
        <w:rPr>
          <w:rFonts w:ascii="Book Antiqua" w:hAnsi="Book Antiqua" w:cs="Arial"/>
        </w:rPr>
        <w:t xml:space="preserve"> [2012] EWCA Civ 277 the C</w:t>
      </w:r>
      <w:r w:rsidR="000558F1">
        <w:rPr>
          <w:rFonts w:ascii="Book Antiqua" w:hAnsi="Book Antiqua" w:cs="Arial"/>
        </w:rPr>
        <w:t xml:space="preserve">ourt of </w:t>
      </w:r>
      <w:r w:rsidRPr="00FA666A">
        <w:rPr>
          <w:rFonts w:ascii="Book Antiqua" w:hAnsi="Book Antiqua" w:cs="Arial"/>
        </w:rPr>
        <w:t>A</w:t>
      </w:r>
      <w:r w:rsidR="000558F1">
        <w:rPr>
          <w:rFonts w:ascii="Book Antiqua" w:hAnsi="Book Antiqua" w:cs="Arial"/>
        </w:rPr>
        <w:t>ppeal</w:t>
      </w:r>
      <w:r w:rsidRPr="00FA666A">
        <w:rPr>
          <w:rFonts w:ascii="Book Antiqua" w:hAnsi="Book Antiqua" w:cs="Arial"/>
        </w:rPr>
        <w:t xml:space="preserve"> endorsed the Tribunal's guidance and upheld </w:t>
      </w:r>
      <w:r w:rsidRPr="00AC4BF0">
        <w:rPr>
          <w:rFonts w:ascii="Book Antiqua" w:hAnsi="Book Antiqua" w:cs="Arial"/>
          <w:i/>
        </w:rPr>
        <w:t>RB</w:t>
      </w:r>
      <w:r w:rsidRPr="00FA666A">
        <w:rPr>
          <w:rFonts w:ascii="Book Antiqua" w:hAnsi="Book Antiqua" w:cs="Arial"/>
        </w:rPr>
        <w:t>.</w:t>
      </w:r>
    </w:p>
    <w:p w:rsidR="00FA666A" w:rsidRPr="00FA666A" w:rsidRDefault="00FA666A" w:rsidP="00AC4BF0">
      <w:pPr>
        <w:numPr>
          <w:ilvl w:val="0"/>
          <w:numId w:val="3"/>
        </w:numPr>
        <w:spacing w:before="240"/>
        <w:ind w:left="1077"/>
        <w:jc w:val="both"/>
        <w:rPr>
          <w:rFonts w:ascii="Book Antiqua" w:hAnsi="Book Antiqua" w:cs="Arial"/>
        </w:rPr>
      </w:pPr>
      <w:r w:rsidRPr="00FA666A">
        <w:rPr>
          <w:rFonts w:ascii="Book Antiqua" w:hAnsi="Book Antiqua" w:cs="Arial"/>
        </w:rPr>
        <w:tab/>
        <w:t xml:space="preserve">However, in </w:t>
      </w:r>
      <w:r w:rsidRPr="00AC4BF0">
        <w:rPr>
          <w:rFonts w:ascii="Book Antiqua" w:hAnsi="Book Antiqua" w:cs="Arial"/>
          <w:i/>
        </w:rPr>
        <w:t>M.AB.N. &amp; Anor v The Advocate General for Scotland &amp; Anor</w:t>
      </w:r>
      <w:r w:rsidRPr="00FA666A">
        <w:rPr>
          <w:rFonts w:ascii="Book Antiqua" w:hAnsi="Book Antiqua" w:cs="Arial"/>
        </w:rPr>
        <w:t xml:space="preserve"> [2013] ScotCS CSIH 68, the Secretary of State refused asylum to as a result of linguistic from ‘Sprakab’.  The Sprakab reports concluded that each Claimant did not speak a dialect of Somali found in the area they claimed to be from and that they had deficient knowledge of that area.  The key issue in each appeal was the evidential standing of the ‘Sprakab’ reports. The Court found that the author of each report was stepping outside their proper field of expertise and that there was no evidence that either analyst had any expertise in the identification of Somali dialects or their geographical and social distribution. On appeal in </w:t>
      </w:r>
      <w:r w:rsidRPr="00AC4BF0">
        <w:rPr>
          <w:rFonts w:ascii="Book Antiqua" w:hAnsi="Book Antiqua" w:cs="Arial"/>
          <w:i/>
        </w:rPr>
        <w:t>SSHD v MN and KY</w:t>
      </w:r>
      <w:r w:rsidRPr="00FA666A">
        <w:rPr>
          <w:rFonts w:ascii="Book Antiqua" w:hAnsi="Book Antiqua" w:cs="Arial"/>
        </w:rPr>
        <w:t xml:space="preserve"> [2014] UKSC 30, the decision in the Court of Sessions was upheld albeit that the Supreme Court held that regard could be had, by the Secretary of State determining asylum applications and tribunals in asylum appeals, to linguistic analysis reports provided by the organisation known as Sprakab.  Sprakab could report on language as evidence of place of origin and on familiarity with claimed place of origin provided that the expert's expertise was properly demonstrated and their reasoning adequately explained. By way of pointers the Supreme Court said "i) On the basis of the material we have seen, I see no reason in principle why Sprakab should not be able to report on both (a) language as evidence of place of origin and (b) familiarity with claimed place of origin provided, in both cases, their expertise is properly demonstrated and their reasoning adequately explained. (As will be seen below, the problem in relation to (b) was not the nature of the evidence, but the lack of demonstrated expertise.) ii) As to (a), language: a) The findings (on evidence) in </w:t>
      </w:r>
      <w:r w:rsidRPr="00AC4BF0">
        <w:rPr>
          <w:rFonts w:ascii="Book Antiqua" w:hAnsi="Book Antiqua" w:cs="Arial"/>
          <w:i/>
        </w:rPr>
        <w:t>RB</w:t>
      </w:r>
      <w:r w:rsidRPr="00FA666A">
        <w:rPr>
          <w:rFonts w:ascii="Book Antiqua" w:hAnsi="Book Antiqua" w:cs="Arial"/>
        </w:rPr>
        <w:t xml:space="preserve"> are to my mind sufficient to demonstrate acceptable expertise and method, which can properly be accepted unless the evidence in a particular case shows otherwise; b) The Upper Tribunal ought to give further consideration to how the basis for the geographical attribution of particular dialects or usages can be better explained and not (as it often currently seems to be) left implicit. The tribunal needs to be able to satisfy itself as to the data by reference to which analysts make judgements on the geographical range of a particular dialect or usage.  c) The </w:t>
      </w:r>
      <w:r w:rsidRPr="00AC4BF0">
        <w:rPr>
          <w:rFonts w:ascii="Book Antiqua" w:hAnsi="Book Antiqua" w:cs="Arial"/>
          <w:i/>
        </w:rPr>
        <w:t>RB</w:t>
      </w:r>
      <w:r w:rsidRPr="00FA666A">
        <w:rPr>
          <w:rFonts w:ascii="Book Antiqua" w:hAnsi="Book Antiqua" w:cs="Arial"/>
        </w:rPr>
        <w:t xml:space="preserve"> safeguard requiring the Secretary of State to make the recording available to any expert instructed for the claimant is not only sensible, but essential. iii) As to (b), familiarity: a) The report needs to explain the source and nature of the knowledge of the analyst on which the comments are based, and identify the error or lack of expected knowledge found in the interview material; b) </w:t>
      </w:r>
      <w:proofErr w:type="spellStart"/>
      <w:r w:rsidRPr="00FA666A">
        <w:rPr>
          <w:rFonts w:ascii="Book Antiqua" w:hAnsi="Book Antiqua" w:cs="Arial"/>
        </w:rPr>
        <w:t>Sprakab</w:t>
      </w:r>
      <w:proofErr w:type="spellEnd"/>
      <w:r w:rsidRPr="00FA666A">
        <w:rPr>
          <w:rFonts w:ascii="Book Antiqua" w:hAnsi="Book Antiqua" w:cs="Arial"/>
        </w:rPr>
        <w:t xml:space="preserve"> reporters should limit themselves to identifying such lack of knowledge, rather than offering opinions on the general question of whether the claimant speaks convincingly. (It is not the function of an expert in language use to offer an opinion on general credibility.) iv) On the issue of "anonymity", since the approach in </w:t>
      </w:r>
      <w:r w:rsidRPr="00AC4BF0">
        <w:rPr>
          <w:rFonts w:ascii="Book Antiqua" w:hAnsi="Book Antiqua" w:cs="Arial"/>
          <w:i/>
        </w:rPr>
        <w:t>RB</w:t>
      </w:r>
      <w:r w:rsidRPr="00FA666A">
        <w:rPr>
          <w:rFonts w:ascii="Book Antiqua" w:hAnsi="Book Antiqua" w:cs="Arial"/>
        </w:rPr>
        <w:t xml:space="preserve"> was a departure from the norm, it would </w:t>
      </w:r>
      <w:r w:rsidRPr="00FA666A">
        <w:rPr>
          <w:rFonts w:ascii="Book Antiqua" w:hAnsi="Book Antiqua" w:cs="Arial"/>
        </w:rPr>
        <w:lastRenderedPageBreak/>
        <w:t>be appropriate for the tribunal to satisfy itself both that the departure remains justified in the interests of security of Sprakab personnel or otherwise, and, if it does, as to the safeguards necessary to ensure that the evidence is reliable and that no prejudice arises in individual cases. Consideration for example could be given to requiring assurances that the identifying numbers remain with an individual throughout his work with Sprakab, and requiring disclosure of other work done in any related field by the individual (eg advice to Governments, interpretation, translation), and of any occasion on which his conclusions have been rejected by courts or tribunals.</w:t>
      </w:r>
      <w:r w:rsidRPr="00FA666A">
        <w:rPr>
          <w:rFonts w:ascii="Book Antiqua" w:hAnsi="Book Antiqua" w:cs="Arial"/>
        </w:rPr>
        <w:tab/>
      </w:r>
    </w:p>
    <w:p w:rsidR="00FA666A" w:rsidRDefault="00FA666A" w:rsidP="00AC4BF0">
      <w:pPr>
        <w:numPr>
          <w:ilvl w:val="0"/>
          <w:numId w:val="3"/>
        </w:numPr>
        <w:spacing w:before="240"/>
        <w:ind w:left="1077"/>
        <w:jc w:val="both"/>
        <w:rPr>
          <w:rFonts w:ascii="Book Antiqua" w:hAnsi="Book Antiqua" w:cs="Arial"/>
        </w:rPr>
      </w:pPr>
      <w:r w:rsidRPr="00FA666A">
        <w:rPr>
          <w:rFonts w:ascii="Book Antiqua" w:hAnsi="Book Antiqua" w:cs="Arial"/>
        </w:rPr>
        <w:tab/>
        <w:t xml:space="preserve">In </w:t>
      </w:r>
      <w:r w:rsidRPr="00AC4BF0">
        <w:rPr>
          <w:rFonts w:ascii="Book Antiqua" w:hAnsi="Book Antiqua" w:cs="Arial"/>
          <w:i/>
        </w:rPr>
        <w:t>RM</w:t>
      </w:r>
      <w:r w:rsidR="00AC4BF0" w:rsidRPr="00AC4BF0">
        <w:rPr>
          <w:rFonts w:ascii="Book Antiqua" w:hAnsi="Book Antiqua" w:cs="Arial"/>
          <w:i/>
        </w:rPr>
        <w:t xml:space="preserve"> </w:t>
      </w:r>
      <w:r w:rsidRPr="00AC4BF0">
        <w:rPr>
          <w:rFonts w:ascii="Book Antiqua" w:hAnsi="Book Antiqua" w:cs="Arial"/>
          <w:i/>
        </w:rPr>
        <w:t>(Sierra Leone)</w:t>
      </w:r>
      <w:r w:rsidRPr="00FA666A">
        <w:rPr>
          <w:rFonts w:ascii="Book Antiqua" w:hAnsi="Book Antiqua" w:cs="Arial"/>
        </w:rPr>
        <w:t xml:space="preserve"> 2015 EWCA Civ 541 it was held that </w:t>
      </w:r>
      <w:r w:rsidRPr="00AC4BF0">
        <w:rPr>
          <w:rFonts w:ascii="Book Antiqua" w:hAnsi="Book Antiqua" w:cs="Arial"/>
          <w:i/>
        </w:rPr>
        <w:t>RB (Linguistic evidence – Sprakab) Somalia</w:t>
      </w:r>
      <w:r w:rsidRPr="00FA666A">
        <w:rPr>
          <w:rFonts w:ascii="Book Antiqua" w:hAnsi="Book Antiqua" w:cs="Arial"/>
        </w:rPr>
        <w:t xml:space="preserve"> [2010] UKUT 329 (IAC) set out the approach to be taken to linguistic analysis reports. Those reports were entitled to considerable weight but should not be treated as infallible. The U</w:t>
      </w:r>
      <w:r w:rsidR="000558F1">
        <w:rPr>
          <w:rFonts w:ascii="Book Antiqua" w:hAnsi="Book Antiqua" w:cs="Arial"/>
        </w:rPr>
        <w:t xml:space="preserve">pper </w:t>
      </w:r>
      <w:r w:rsidRPr="00FA666A">
        <w:rPr>
          <w:rFonts w:ascii="Book Antiqua" w:hAnsi="Book Antiqua" w:cs="Arial"/>
        </w:rPr>
        <w:t>T</w:t>
      </w:r>
      <w:r w:rsidR="000558F1">
        <w:rPr>
          <w:rFonts w:ascii="Book Antiqua" w:hAnsi="Book Antiqua" w:cs="Arial"/>
        </w:rPr>
        <w:t>ribunal</w:t>
      </w:r>
      <w:r w:rsidRPr="00FA666A">
        <w:rPr>
          <w:rFonts w:ascii="Book Antiqua" w:hAnsi="Book Antiqua" w:cs="Arial"/>
        </w:rPr>
        <w:t xml:space="preserve"> was therefore entitled to take the report into account provided it adopted a properly critical approach. This decision is a practical application of the guidance given at paragraph 51 in the judgment of Lord Carnwath in </w:t>
      </w:r>
      <w:r w:rsidRPr="00AC4BF0">
        <w:rPr>
          <w:rFonts w:ascii="Book Antiqua" w:hAnsi="Book Antiqua" w:cs="Arial"/>
          <w:i/>
        </w:rPr>
        <w:t>Secretary of State for the Home Department v MN and KY</w:t>
      </w:r>
      <w:r w:rsidRPr="00FA666A">
        <w:rPr>
          <w:rFonts w:ascii="Book Antiqua" w:hAnsi="Book Antiqua" w:cs="Arial"/>
        </w:rPr>
        <w:t xml:space="preserve"> [2014] UKSC 30.  A Sprakab-based analysis now requires a proper nuanced assessment of the knowledge demonstrated by the analyst (see Lord Carnwath’s opinion at 51(i)), considering what the relevant expertise is of that expert.  </w:t>
      </w:r>
    </w:p>
    <w:p w:rsidR="00893D74" w:rsidRDefault="00893D74" w:rsidP="00AC4BF0">
      <w:pPr>
        <w:numPr>
          <w:ilvl w:val="0"/>
          <w:numId w:val="3"/>
        </w:numPr>
        <w:spacing w:before="240"/>
        <w:ind w:left="1077"/>
        <w:jc w:val="both"/>
        <w:rPr>
          <w:rFonts w:ascii="Book Antiqua" w:hAnsi="Book Antiqua" w:cs="Arial"/>
        </w:rPr>
      </w:pPr>
      <w:r>
        <w:rPr>
          <w:rFonts w:ascii="Book Antiqua" w:hAnsi="Book Antiqua" w:cs="Arial"/>
        </w:rPr>
        <w:t>It is not made out the Judge failed to approach the matter in the way identified by the Supreme Court</w:t>
      </w:r>
      <w:r w:rsidR="000558F1">
        <w:rPr>
          <w:rFonts w:ascii="Book Antiqua" w:hAnsi="Book Antiqua" w:cs="Arial"/>
        </w:rPr>
        <w:t>,</w:t>
      </w:r>
      <w:r>
        <w:rPr>
          <w:rFonts w:ascii="Book Antiqua" w:hAnsi="Book Antiqua" w:cs="Arial"/>
        </w:rPr>
        <w:t xml:space="preserve"> confirmed in </w:t>
      </w:r>
      <w:r w:rsidRPr="00AC4BF0">
        <w:rPr>
          <w:rFonts w:ascii="Book Antiqua" w:hAnsi="Book Antiqua" w:cs="Arial"/>
          <w:i/>
        </w:rPr>
        <w:t>RM (Sierra Leone)</w:t>
      </w:r>
      <w:r w:rsidR="000558F1">
        <w:rPr>
          <w:rFonts w:ascii="Book Antiqua" w:hAnsi="Book Antiqua" w:cs="Arial"/>
        </w:rPr>
        <w:t>,</w:t>
      </w:r>
      <w:r>
        <w:rPr>
          <w:rFonts w:ascii="Book Antiqua" w:hAnsi="Book Antiqua" w:cs="Arial"/>
        </w:rPr>
        <w:t xml:space="preserve"> or that the conclusions arrived at </w:t>
      </w:r>
      <w:r w:rsidR="000558F1">
        <w:rPr>
          <w:rFonts w:ascii="Book Antiqua" w:hAnsi="Book Antiqua" w:cs="Arial"/>
        </w:rPr>
        <w:t xml:space="preserve">or </w:t>
      </w:r>
      <w:r>
        <w:rPr>
          <w:rFonts w:ascii="Book Antiqua" w:hAnsi="Book Antiqua" w:cs="Arial"/>
        </w:rPr>
        <w:t xml:space="preserve">weight attached to the report </w:t>
      </w:r>
      <w:r w:rsidR="000558F1">
        <w:rPr>
          <w:rFonts w:ascii="Book Antiqua" w:hAnsi="Book Antiqua" w:cs="Arial"/>
        </w:rPr>
        <w:t xml:space="preserve">are </w:t>
      </w:r>
      <w:r>
        <w:rPr>
          <w:rFonts w:ascii="Book Antiqua" w:hAnsi="Book Antiqua" w:cs="Arial"/>
        </w:rPr>
        <w:t>outside the range of reasonable responses open to the Judge on the evidence. There is no report from the appellant before the Judge countering the language analysis or casting sufficient doubt upon the expertise of the linguistic assessors to warrant less weight be</w:t>
      </w:r>
      <w:r w:rsidR="000558F1">
        <w:rPr>
          <w:rFonts w:ascii="Book Antiqua" w:hAnsi="Book Antiqua" w:cs="Arial"/>
        </w:rPr>
        <w:t xml:space="preserve">ing </w:t>
      </w:r>
      <w:r>
        <w:rPr>
          <w:rFonts w:ascii="Book Antiqua" w:hAnsi="Book Antiqua" w:cs="Arial"/>
        </w:rPr>
        <w:t>attached th</w:t>
      </w:r>
      <w:r w:rsidR="000558F1">
        <w:rPr>
          <w:rFonts w:ascii="Book Antiqua" w:hAnsi="Book Antiqua" w:cs="Arial"/>
        </w:rPr>
        <w:t>a</w:t>
      </w:r>
      <w:r>
        <w:rPr>
          <w:rFonts w:ascii="Book Antiqua" w:hAnsi="Book Antiqua" w:cs="Arial"/>
        </w:rPr>
        <w:t>n that the Judge was willing to attach.</w:t>
      </w:r>
    </w:p>
    <w:p w:rsidR="00893D74" w:rsidRDefault="00893D74" w:rsidP="00AC4BF0">
      <w:pPr>
        <w:numPr>
          <w:ilvl w:val="0"/>
          <w:numId w:val="3"/>
        </w:numPr>
        <w:spacing w:before="240"/>
        <w:ind w:left="1077"/>
        <w:jc w:val="both"/>
        <w:rPr>
          <w:rFonts w:ascii="Book Antiqua" w:hAnsi="Book Antiqua" w:cs="Arial"/>
        </w:rPr>
      </w:pPr>
      <w:r>
        <w:rPr>
          <w:rFonts w:ascii="Book Antiqua" w:hAnsi="Book Antiqua" w:cs="Arial"/>
        </w:rPr>
        <w:t xml:space="preserve">The Judge considered the evidence with the required degree of anxious scrutiny and has given adequate reasons in support of the findings made. The weight to be given to the evidence was a matter for the Judge and </w:t>
      </w:r>
      <w:r w:rsidR="0002473E">
        <w:rPr>
          <w:rFonts w:ascii="Book Antiqua" w:hAnsi="Book Antiqua" w:cs="Arial"/>
        </w:rPr>
        <w:t xml:space="preserve">it </w:t>
      </w:r>
      <w:r>
        <w:rPr>
          <w:rFonts w:ascii="Book Antiqua" w:hAnsi="Book Antiqua" w:cs="Arial"/>
        </w:rPr>
        <w:t>has not been shown the weight given is in anyway arguably irrational, perverse, or contrary to the law.</w:t>
      </w:r>
    </w:p>
    <w:p w:rsidR="00893D74" w:rsidRDefault="00893D74" w:rsidP="00AC4BF0">
      <w:pPr>
        <w:numPr>
          <w:ilvl w:val="0"/>
          <w:numId w:val="3"/>
        </w:numPr>
        <w:spacing w:before="240"/>
        <w:ind w:left="1077"/>
        <w:jc w:val="both"/>
        <w:rPr>
          <w:rFonts w:ascii="Book Antiqua" w:hAnsi="Book Antiqua" w:cs="Arial"/>
        </w:rPr>
      </w:pPr>
      <w:r>
        <w:rPr>
          <w:rFonts w:ascii="Book Antiqua" w:hAnsi="Book Antiqua" w:cs="Arial"/>
        </w:rPr>
        <w:t xml:space="preserve">The assertion in the grounds the Judge failed to properly consider the country guidance case of </w:t>
      </w:r>
      <w:r w:rsidRPr="00AC4BF0">
        <w:rPr>
          <w:rFonts w:ascii="Book Antiqua" w:hAnsi="Book Antiqua" w:cs="Arial"/>
          <w:i/>
        </w:rPr>
        <w:t>AA (Iraq)</w:t>
      </w:r>
      <w:r>
        <w:rPr>
          <w:rFonts w:ascii="Book Antiqua" w:hAnsi="Book Antiqua" w:cs="Arial"/>
        </w:rPr>
        <w:t xml:space="preserve"> [2017] EWCA Civ 944 and the updated guidance on whether the appellant has a CSID and concluded the appellant had family in the IK</w:t>
      </w:r>
      <w:r w:rsidR="000558F1">
        <w:rPr>
          <w:rFonts w:ascii="Book Antiqua" w:hAnsi="Book Antiqua" w:cs="Arial"/>
        </w:rPr>
        <w:t xml:space="preserve">R </w:t>
      </w:r>
      <w:r>
        <w:rPr>
          <w:rFonts w:ascii="Book Antiqua" w:hAnsi="Book Antiqua" w:cs="Arial"/>
        </w:rPr>
        <w:t>when there was no evidential foundation to support this</w:t>
      </w:r>
      <w:r w:rsidR="000558F1">
        <w:rPr>
          <w:rFonts w:ascii="Book Antiqua" w:hAnsi="Book Antiqua" w:cs="Arial"/>
        </w:rPr>
        <w:t>,</w:t>
      </w:r>
      <w:r>
        <w:rPr>
          <w:rFonts w:ascii="Book Antiqua" w:hAnsi="Book Antiqua" w:cs="Arial"/>
        </w:rPr>
        <w:t xml:space="preserve"> has no arguable merit. The appellant claimed he was from Syria not from Iraq and there is no indication in the file that he led any evidence suggesting </w:t>
      </w:r>
      <w:r w:rsidR="00EA60C1">
        <w:rPr>
          <w:rFonts w:ascii="Book Antiqua" w:hAnsi="Book Antiqua" w:cs="Arial"/>
        </w:rPr>
        <w:t xml:space="preserve">he </w:t>
      </w:r>
      <w:r>
        <w:rPr>
          <w:rFonts w:ascii="Book Antiqua" w:hAnsi="Book Antiqua" w:cs="Arial"/>
        </w:rPr>
        <w:t>could not return to Iraq or meet the requirements of return to that area. The Judge noted that it was likely the appellant had family in the Kurdish re</w:t>
      </w:r>
      <w:r w:rsidR="00EA60C1">
        <w:rPr>
          <w:rFonts w:ascii="Book Antiqua" w:hAnsi="Book Antiqua" w:cs="Arial"/>
        </w:rPr>
        <w:t xml:space="preserve">gion </w:t>
      </w:r>
      <w:r>
        <w:rPr>
          <w:rFonts w:ascii="Book Antiqua" w:hAnsi="Book Antiqua" w:cs="Arial"/>
        </w:rPr>
        <w:t xml:space="preserve">as it was found the appellant is </w:t>
      </w:r>
      <w:r w:rsidR="00EA60C1">
        <w:rPr>
          <w:rFonts w:ascii="Book Antiqua" w:hAnsi="Book Antiqua" w:cs="Arial"/>
        </w:rPr>
        <w:t>a</w:t>
      </w:r>
      <w:r>
        <w:rPr>
          <w:rFonts w:ascii="Book Antiqua" w:hAnsi="Book Antiqua" w:cs="Arial"/>
        </w:rPr>
        <w:t xml:space="preserve">n Iraq Kurd from the IKR. The recent country guidance case does not enable the appellant to suggest he faces a real risk on return </w:t>
      </w:r>
      <w:r w:rsidR="00EA60C1">
        <w:rPr>
          <w:rFonts w:ascii="Book Antiqua" w:hAnsi="Book Antiqua" w:cs="Arial"/>
        </w:rPr>
        <w:t xml:space="preserve">and </w:t>
      </w:r>
      <w:r>
        <w:rPr>
          <w:rFonts w:ascii="Book Antiqua" w:hAnsi="Book Antiqua" w:cs="Arial"/>
        </w:rPr>
        <w:t>the Judge was arguably entitled to conclude that given the appellant’s lack of credibility</w:t>
      </w:r>
      <w:r w:rsidR="00F62B99">
        <w:rPr>
          <w:rFonts w:ascii="Book Antiqua" w:hAnsi="Book Antiqua" w:cs="Arial"/>
        </w:rPr>
        <w:t xml:space="preserve"> it is likely he has f</w:t>
      </w:r>
      <w:r w:rsidR="00EA60C1">
        <w:rPr>
          <w:rFonts w:ascii="Book Antiqua" w:hAnsi="Book Antiqua" w:cs="Arial"/>
        </w:rPr>
        <w:t xml:space="preserve">amily </w:t>
      </w:r>
      <w:r w:rsidR="00F62B99">
        <w:rPr>
          <w:rFonts w:ascii="Book Antiqua" w:hAnsi="Book Antiqua" w:cs="Arial"/>
        </w:rPr>
        <w:t xml:space="preserve">connections that can help him </w:t>
      </w:r>
      <w:r w:rsidR="00EA60C1">
        <w:rPr>
          <w:rFonts w:ascii="Book Antiqua" w:hAnsi="Book Antiqua" w:cs="Arial"/>
        </w:rPr>
        <w:t xml:space="preserve">and a </w:t>
      </w:r>
      <w:r w:rsidR="00F62B99">
        <w:rPr>
          <w:rFonts w:ascii="Book Antiqua" w:hAnsi="Book Antiqua" w:cs="Arial"/>
        </w:rPr>
        <w:t xml:space="preserve">sponsor who </w:t>
      </w:r>
      <w:r w:rsidR="00EA60C1">
        <w:rPr>
          <w:rFonts w:ascii="Book Antiqua" w:hAnsi="Book Antiqua" w:cs="Arial"/>
        </w:rPr>
        <w:t xml:space="preserve">can assist in </w:t>
      </w:r>
      <w:r w:rsidR="00F62B99">
        <w:rPr>
          <w:rFonts w:ascii="Book Antiqua" w:hAnsi="Book Antiqua" w:cs="Arial"/>
        </w:rPr>
        <w:t xml:space="preserve">obtaining all the appropriate documentation. As the appellant maintained he was from </w:t>
      </w:r>
      <w:r w:rsidR="0002473E">
        <w:rPr>
          <w:rFonts w:ascii="Book Antiqua" w:hAnsi="Book Antiqua" w:cs="Arial"/>
        </w:rPr>
        <w:t xml:space="preserve">a </w:t>
      </w:r>
      <w:r w:rsidR="00F62B99">
        <w:rPr>
          <w:rFonts w:ascii="Book Antiqua" w:hAnsi="Book Antiqua" w:cs="Arial"/>
        </w:rPr>
        <w:lastRenderedPageBreak/>
        <w:t xml:space="preserve">country that it was established he was </w:t>
      </w:r>
      <w:r w:rsidR="0002473E">
        <w:rPr>
          <w:rFonts w:ascii="Book Antiqua" w:hAnsi="Book Antiqua" w:cs="Arial"/>
        </w:rPr>
        <w:t>not, it</w:t>
      </w:r>
      <w:r w:rsidR="00EA60C1">
        <w:rPr>
          <w:rFonts w:ascii="Book Antiqua" w:hAnsi="Book Antiqua" w:cs="Arial"/>
        </w:rPr>
        <w:t xml:space="preserve"> is difficult to see </w:t>
      </w:r>
      <w:r w:rsidR="00F62B99">
        <w:rPr>
          <w:rFonts w:ascii="Book Antiqua" w:hAnsi="Book Antiqua" w:cs="Arial"/>
        </w:rPr>
        <w:t>what material</w:t>
      </w:r>
      <w:r w:rsidR="00EA60C1">
        <w:rPr>
          <w:rFonts w:ascii="Book Antiqua" w:hAnsi="Book Antiqua" w:cs="Arial"/>
        </w:rPr>
        <w:t xml:space="preserve"> wa</w:t>
      </w:r>
      <w:r w:rsidR="00F62B99">
        <w:rPr>
          <w:rFonts w:ascii="Book Antiqua" w:hAnsi="Book Antiqua" w:cs="Arial"/>
        </w:rPr>
        <w:t xml:space="preserve">s before the Judge other than that leading to the conclusions reached. The Judge may equally </w:t>
      </w:r>
      <w:r w:rsidR="0002473E">
        <w:rPr>
          <w:rFonts w:ascii="Book Antiqua" w:hAnsi="Book Antiqua" w:cs="Arial"/>
        </w:rPr>
        <w:t xml:space="preserve">have been </w:t>
      </w:r>
      <w:r w:rsidR="00F62B99">
        <w:rPr>
          <w:rFonts w:ascii="Book Antiqua" w:hAnsi="Book Antiqua" w:cs="Arial"/>
        </w:rPr>
        <w:t xml:space="preserve">able to </w:t>
      </w:r>
      <w:r w:rsidR="00EA60C1">
        <w:rPr>
          <w:rFonts w:ascii="Book Antiqua" w:hAnsi="Book Antiqua" w:cs="Arial"/>
        </w:rPr>
        <w:t xml:space="preserve">have </w:t>
      </w:r>
      <w:r w:rsidR="00F62B99">
        <w:rPr>
          <w:rFonts w:ascii="Book Antiqua" w:hAnsi="Book Antiqua" w:cs="Arial"/>
        </w:rPr>
        <w:t xml:space="preserve">found that the appellant had not discharged the burden of proof upon him to show he could not return to Iraq as that is </w:t>
      </w:r>
      <w:r w:rsidR="0002473E">
        <w:rPr>
          <w:rFonts w:ascii="Book Antiqua" w:hAnsi="Book Antiqua" w:cs="Arial"/>
        </w:rPr>
        <w:t xml:space="preserve">the </w:t>
      </w:r>
      <w:r w:rsidR="00F62B99">
        <w:rPr>
          <w:rFonts w:ascii="Book Antiqua" w:hAnsi="Book Antiqua" w:cs="Arial"/>
        </w:rPr>
        <w:t>consequence of the appellant adducing no evidence in support of that aspect of the case.</w:t>
      </w:r>
    </w:p>
    <w:p w:rsidR="00F62B99" w:rsidRDefault="00F62B99" w:rsidP="00AC4BF0">
      <w:pPr>
        <w:numPr>
          <w:ilvl w:val="0"/>
          <w:numId w:val="3"/>
        </w:numPr>
        <w:spacing w:before="240"/>
        <w:ind w:left="1077"/>
        <w:jc w:val="both"/>
        <w:rPr>
          <w:rFonts w:ascii="Book Antiqua" w:hAnsi="Book Antiqua" w:cs="Arial"/>
        </w:rPr>
      </w:pPr>
      <w:r>
        <w:rPr>
          <w:rFonts w:ascii="Book Antiqua" w:hAnsi="Book Antiqua" w:cs="Arial"/>
        </w:rPr>
        <w:t xml:space="preserve">In relation to the assertion the Judge failed to explain why 276ADE(vi) did not apply </w:t>
      </w:r>
      <w:r w:rsidR="00EA60C1">
        <w:rPr>
          <w:rFonts w:ascii="Book Antiqua" w:hAnsi="Book Antiqua" w:cs="Arial"/>
        </w:rPr>
        <w:t xml:space="preserve">in </w:t>
      </w:r>
      <w:r>
        <w:rPr>
          <w:rFonts w:ascii="Book Antiqua" w:hAnsi="Book Antiqua" w:cs="Arial"/>
        </w:rPr>
        <w:t>the appellant’s favour</w:t>
      </w:r>
      <w:r w:rsidR="00EA60C1">
        <w:rPr>
          <w:rFonts w:ascii="Book Antiqua" w:hAnsi="Book Antiqua" w:cs="Arial"/>
        </w:rPr>
        <w:t>,</w:t>
      </w:r>
      <w:r>
        <w:rPr>
          <w:rFonts w:ascii="Book Antiqua" w:hAnsi="Book Antiqua" w:cs="Arial"/>
        </w:rPr>
        <w:t xml:space="preserve"> the Judge did. The Judge considered the rule at [69] </w:t>
      </w:r>
      <w:r w:rsidR="00EA60C1">
        <w:rPr>
          <w:rFonts w:ascii="Book Antiqua" w:hAnsi="Book Antiqua" w:cs="Arial"/>
        </w:rPr>
        <w:t xml:space="preserve">and </w:t>
      </w:r>
      <w:r>
        <w:rPr>
          <w:rFonts w:ascii="Book Antiqua" w:hAnsi="Book Antiqua" w:cs="Arial"/>
        </w:rPr>
        <w:t xml:space="preserve">the appellant </w:t>
      </w:r>
      <w:r w:rsidR="00EA60C1">
        <w:rPr>
          <w:rFonts w:ascii="Book Antiqua" w:hAnsi="Book Antiqua" w:cs="Arial"/>
        </w:rPr>
        <w:t xml:space="preserve">adduced no </w:t>
      </w:r>
      <w:r>
        <w:rPr>
          <w:rFonts w:ascii="Book Antiqua" w:hAnsi="Book Antiqua" w:cs="Arial"/>
        </w:rPr>
        <w:t>evidence to show that he could satisfied this requirement of the rule such as to entitle him to a grant of leave to remain.</w:t>
      </w:r>
    </w:p>
    <w:p w:rsidR="00EA60C1" w:rsidRDefault="00EA60C1" w:rsidP="00AC4BF0">
      <w:pPr>
        <w:numPr>
          <w:ilvl w:val="0"/>
          <w:numId w:val="3"/>
        </w:numPr>
        <w:spacing w:before="240"/>
        <w:ind w:left="1077"/>
        <w:jc w:val="both"/>
        <w:rPr>
          <w:rFonts w:ascii="Book Antiqua" w:hAnsi="Book Antiqua" w:cs="Arial"/>
        </w:rPr>
      </w:pPr>
      <w:r>
        <w:rPr>
          <w:rFonts w:ascii="Book Antiqua" w:hAnsi="Book Antiqua" w:cs="Arial"/>
        </w:rPr>
        <w:t xml:space="preserve">Mr Sharif focused his submissions upon an assertion the Judge failed to properly consider all the evidence. There </w:t>
      </w:r>
      <w:r w:rsidR="0002473E">
        <w:rPr>
          <w:rFonts w:ascii="Book Antiqua" w:hAnsi="Book Antiqua" w:cs="Arial"/>
        </w:rPr>
        <w:t xml:space="preserve">was </w:t>
      </w:r>
      <w:r>
        <w:rPr>
          <w:rFonts w:ascii="Book Antiqua" w:hAnsi="Book Antiqua" w:cs="Arial"/>
        </w:rPr>
        <w:t>specific reference to a number of documents appearing between pages 70 – 86 of Section B of the appellant’s appeal bundle. These include a Certificate of Nationality and Family Registration of Syrian children, a Certificate of Identity and a Syrian Family</w:t>
      </w:r>
      <w:r w:rsidR="0002473E">
        <w:rPr>
          <w:rFonts w:ascii="Book Antiqua" w:hAnsi="Book Antiqua" w:cs="Arial"/>
        </w:rPr>
        <w:t xml:space="preserve"> Book</w:t>
      </w:r>
      <w:r>
        <w:rPr>
          <w:rFonts w:ascii="Book Antiqua" w:hAnsi="Book Antiqua" w:cs="Arial"/>
        </w:rPr>
        <w:t>. They are accompanied by translations.</w:t>
      </w:r>
    </w:p>
    <w:p w:rsidR="00EA60C1" w:rsidRDefault="00EA60C1" w:rsidP="00AC4BF0">
      <w:pPr>
        <w:numPr>
          <w:ilvl w:val="0"/>
          <w:numId w:val="3"/>
        </w:numPr>
        <w:spacing w:before="240"/>
        <w:ind w:left="1077"/>
        <w:jc w:val="both"/>
        <w:rPr>
          <w:rFonts w:ascii="Book Antiqua" w:hAnsi="Book Antiqua" w:cs="Arial"/>
        </w:rPr>
      </w:pPr>
      <w:r>
        <w:rPr>
          <w:rFonts w:ascii="Book Antiqua" w:hAnsi="Book Antiqua" w:cs="Arial"/>
        </w:rPr>
        <w:t xml:space="preserve">Although the Judge does not specifically </w:t>
      </w:r>
      <w:r w:rsidR="0002473E">
        <w:rPr>
          <w:rFonts w:ascii="Book Antiqua" w:hAnsi="Book Antiqua" w:cs="Arial"/>
        </w:rPr>
        <w:t>mention</w:t>
      </w:r>
      <w:r>
        <w:rPr>
          <w:rFonts w:ascii="Book Antiqua" w:hAnsi="Book Antiqua" w:cs="Arial"/>
        </w:rPr>
        <w:t xml:space="preserve"> these documents in the decision under challenge it is clear these were considered when Judge refers to </w:t>
      </w:r>
      <w:r w:rsidR="0002473E">
        <w:rPr>
          <w:rFonts w:ascii="Book Antiqua" w:hAnsi="Book Antiqua" w:cs="Arial"/>
        </w:rPr>
        <w:t>‘</w:t>
      </w:r>
      <w:r>
        <w:rPr>
          <w:rFonts w:ascii="Book Antiqua" w:hAnsi="Book Antiqua" w:cs="Arial"/>
        </w:rPr>
        <w:t>alternative evidence which was found not to be as convincing</w:t>
      </w:r>
      <w:r w:rsidR="0002473E">
        <w:rPr>
          <w:rFonts w:ascii="Book Antiqua" w:hAnsi="Book Antiqua" w:cs="Arial"/>
        </w:rPr>
        <w:t xml:space="preserve">’ at </w:t>
      </w:r>
      <w:r>
        <w:rPr>
          <w:rFonts w:ascii="Book Antiqua" w:hAnsi="Book Antiqua" w:cs="Arial"/>
        </w:rPr>
        <w:t>[50] and at [57] that the appellant’s knowledge of Syria is at best inconclusive.</w:t>
      </w:r>
    </w:p>
    <w:p w:rsidR="00EA60C1" w:rsidRDefault="00EA60C1" w:rsidP="00AC4BF0">
      <w:pPr>
        <w:numPr>
          <w:ilvl w:val="0"/>
          <w:numId w:val="3"/>
        </w:numPr>
        <w:spacing w:before="240"/>
        <w:ind w:left="1077"/>
        <w:jc w:val="both"/>
        <w:rPr>
          <w:rFonts w:ascii="Book Antiqua" w:hAnsi="Book Antiqua" w:cs="Arial"/>
        </w:rPr>
      </w:pPr>
      <w:r>
        <w:rPr>
          <w:rFonts w:ascii="Book Antiqua" w:hAnsi="Book Antiqua" w:cs="Arial"/>
        </w:rPr>
        <w:t>What the Judge had before him was three core pieces of evidence being the language analysis report confirming that the appellant is a citizen of Iraq</w:t>
      </w:r>
      <w:r w:rsidR="0002473E">
        <w:rPr>
          <w:rFonts w:ascii="Book Antiqua" w:hAnsi="Book Antiqua" w:cs="Arial"/>
        </w:rPr>
        <w:t>, t</w:t>
      </w:r>
      <w:r>
        <w:rPr>
          <w:rFonts w:ascii="Book Antiqua" w:hAnsi="Book Antiqua" w:cs="Arial"/>
        </w:rPr>
        <w:t>he appellants evidence contained in his appeal bundle, and the replies given to interviewing officers as part of the asylum process together with the reasons for refusal letter. The Judge clearly factored all this evidence into the decision-making process before concluding that the weight of the evidence supported the finding set out in the decision under challenge</w:t>
      </w:r>
      <w:r w:rsidR="0002473E">
        <w:rPr>
          <w:rFonts w:ascii="Book Antiqua" w:hAnsi="Book Antiqua" w:cs="Arial"/>
        </w:rPr>
        <w:t>;</w:t>
      </w:r>
      <w:r>
        <w:rPr>
          <w:rFonts w:ascii="Book Antiqua" w:hAnsi="Book Antiqua" w:cs="Arial"/>
        </w:rPr>
        <w:t xml:space="preserve"> namely that the appellants claim to be a national of Syria is not credible </w:t>
      </w:r>
      <w:r w:rsidR="0002473E">
        <w:rPr>
          <w:rFonts w:ascii="Book Antiqua" w:hAnsi="Book Antiqua" w:cs="Arial"/>
        </w:rPr>
        <w:t xml:space="preserve">and </w:t>
      </w:r>
      <w:r>
        <w:rPr>
          <w:rFonts w:ascii="Book Antiqua" w:hAnsi="Book Antiqua" w:cs="Arial"/>
        </w:rPr>
        <w:t>had not been made out. By inference the documentation provided by the appellant in support of his claim to be a national of Syria is clearly documentation upon which the Judge felt unable to place the weight he was invited to do by the appellant.</w:t>
      </w:r>
    </w:p>
    <w:p w:rsidR="00EA60C1" w:rsidRDefault="00EA60C1" w:rsidP="00AC4BF0">
      <w:pPr>
        <w:numPr>
          <w:ilvl w:val="0"/>
          <w:numId w:val="3"/>
        </w:numPr>
        <w:spacing w:before="240"/>
        <w:ind w:left="1077"/>
        <w:jc w:val="both"/>
        <w:rPr>
          <w:rFonts w:ascii="Book Antiqua" w:hAnsi="Book Antiqua" w:cs="Arial"/>
        </w:rPr>
      </w:pPr>
      <w:r>
        <w:rPr>
          <w:rFonts w:ascii="Book Antiqua" w:hAnsi="Book Antiqua" w:cs="Arial"/>
        </w:rPr>
        <w:t>It has not been made out the manner in which the Judge undertook the assessment of all the evidence in the round is infected by arguable material error.</w:t>
      </w:r>
    </w:p>
    <w:p w:rsidR="00F62B99" w:rsidRDefault="00F62B99" w:rsidP="00AC4BF0">
      <w:pPr>
        <w:numPr>
          <w:ilvl w:val="0"/>
          <w:numId w:val="3"/>
        </w:numPr>
        <w:spacing w:before="240"/>
        <w:ind w:left="1077"/>
        <w:jc w:val="both"/>
        <w:rPr>
          <w:rFonts w:ascii="Book Antiqua" w:hAnsi="Book Antiqua" w:cs="Arial"/>
        </w:rPr>
      </w:pPr>
      <w:r>
        <w:rPr>
          <w:rFonts w:ascii="Book Antiqua" w:hAnsi="Book Antiqua" w:cs="Arial"/>
        </w:rPr>
        <w:t>The</w:t>
      </w:r>
      <w:r w:rsidR="00EA60C1">
        <w:rPr>
          <w:rFonts w:ascii="Book Antiqua" w:hAnsi="Book Antiqua" w:cs="Arial"/>
        </w:rPr>
        <w:t>re</w:t>
      </w:r>
      <w:r>
        <w:rPr>
          <w:rFonts w:ascii="Book Antiqua" w:hAnsi="Book Antiqua" w:cs="Arial"/>
        </w:rPr>
        <w:t xml:space="preserve"> may </w:t>
      </w:r>
      <w:r w:rsidR="0002473E">
        <w:rPr>
          <w:rFonts w:ascii="Book Antiqua" w:hAnsi="Book Antiqua" w:cs="Arial"/>
        </w:rPr>
        <w:t xml:space="preserve">have been possible </w:t>
      </w:r>
      <w:r>
        <w:rPr>
          <w:rFonts w:ascii="Book Antiqua" w:hAnsi="Book Antiqua" w:cs="Arial"/>
        </w:rPr>
        <w:t xml:space="preserve">merit in the claim that certain aspects of the decision </w:t>
      </w:r>
      <w:r w:rsidR="00EA60C1">
        <w:rPr>
          <w:rFonts w:ascii="Book Antiqua" w:hAnsi="Book Antiqua" w:cs="Arial"/>
        </w:rPr>
        <w:t xml:space="preserve">have </w:t>
      </w:r>
      <w:r>
        <w:rPr>
          <w:rFonts w:ascii="Book Antiqua" w:hAnsi="Book Antiqua" w:cs="Arial"/>
        </w:rPr>
        <w:t xml:space="preserve">not </w:t>
      </w:r>
      <w:r w:rsidR="00EA60C1">
        <w:rPr>
          <w:rFonts w:ascii="Book Antiqua" w:hAnsi="Book Antiqua" w:cs="Arial"/>
        </w:rPr>
        <w:t xml:space="preserve">been </w:t>
      </w:r>
      <w:r>
        <w:rPr>
          <w:rFonts w:ascii="Book Antiqua" w:hAnsi="Book Antiqua" w:cs="Arial"/>
        </w:rPr>
        <w:t xml:space="preserve">adequately argued if it had been a case </w:t>
      </w:r>
      <w:r w:rsidR="00EA60C1">
        <w:rPr>
          <w:rFonts w:ascii="Book Antiqua" w:hAnsi="Book Antiqua" w:cs="Arial"/>
        </w:rPr>
        <w:t xml:space="preserve">of </w:t>
      </w:r>
      <w:r>
        <w:rPr>
          <w:rFonts w:ascii="Book Antiqua" w:hAnsi="Book Antiqua" w:cs="Arial"/>
        </w:rPr>
        <w:t>evidence be</w:t>
      </w:r>
      <w:r w:rsidR="00EA60C1">
        <w:rPr>
          <w:rFonts w:ascii="Book Antiqua" w:hAnsi="Book Antiqua" w:cs="Arial"/>
        </w:rPr>
        <w:t xml:space="preserve">ing </w:t>
      </w:r>
      <w:r>
        <w:rPr>
          <w:rFonts w:ascii="Book Antiqua" w:hAnsi="Book Antiqua" w:cs="Arial"/>
        </w:rPr>
        <w:t xml:space="preserve">called establishing a position adopted by the appellant in relation to a claim to be able to succeed </w:t>
      </w:r>
      <w:r w:rsidR="00F13A7D">
        <w:rPr>
          <w:rFonts w:ascii="Book Antiqua" w:hAnsi="Book Antiqua" w:cs="Arial"/>
        </w:rPr>
        <w:t xml:space="preserve">on </w:t>
      </w:r>
      <w:r>
        <w:rPr>
          <w:rFonts w:ascii="Book Antiqua" w:hAnsi="Book Antiqua" w:cs="Arial"/>
        </w:rPr>
        <w:t xml:space="preserve">a particular point. The difficulty for the Judge is that the whole of the appellant’s case was focused upon the scenario that was found not to be true. There was no evidence dealing with an alternative position </w:t>
      </w:r>
      <w:r w:rsidR="00F13A7D">
        <w:rPr>
          <w:rFonts w:ascii="Book Antiqua" w:hAnsi="Book Antiqua" w:cs="Arial"/>
        </w:rPr>
        <w:t xml:space="preserve">of </w:t>
      </w:r>
      <w:r>
        <w:rPr>
          <w:rFonts w:ascii="Book Antiqua" w:hAnsi="Book Antiqua" w:cs="Arial"/>
        </w:rPr>
        <w:t xml:space="preserve">either the appellant </w:t>
      </w:r>
      <w:r w:rsidR="00F13A7D">
        <w:rPr>
          <w:rFonts w:ascii="Book Antiqua" w:hAnsi="Book Antiqua" w:cs="Arial"/>
        </w:rPr>
        <w:t xml:space="preserve">being </w:t>
      </w:r>
      <w:r>
        <w:rPr>
          <w:rFonts w:ascii="Book Antiqua" w:hAnsi="Book Antiqua" w:cs="Arial"/>
        </w:rPr>
        <w:t xml:space="preserve">a Kurd from Iraq or exploring whether he was entitled to succeed on this basis. In the absence of </w:t>
      </w:r>
      <w:r w:rsidR="00987D38">
        <w:rPr>
          <w:rFonts w:ascii="Book Antiqua" w:hAnsi="Book Antiqua" w:cs="Arial"/>
        </w:rPr>
        <w:t>evidence,</w:t>
      </w:r>
      <w:r>
        <w:rPr>
          <w:rFonts w:ascii="Book Antiqua" w:hAnsi="Book Antiqua" w:cs="Arial"/>
        </w:rPr>
        <w:t xml:space="preserve"> the Judge was entitled to do the best </w:t>
      </w:r>
      <w:r w:rsidR="00F13A7D">
        <w:rPr>
          <w:rFonts w:ascii="Book Antiqua" w:hAnsi="Book Antiqua" w:cs="Arial"/>
        </w:rPr>
        <w:t xml:space="preserve">he </w:t>
      </w:r>
      <w:r>
        <w:rPr>
          <w:rFonts w:ascii="Book Antiqua" w:hAnsi="Book Antiqua" w:cs="Arial"/>
        </w:rPr>
        <w:lastRenderedPageBreak/>
        <w:t xml:space="preserve">could and it </w:t>
      </w:r>
      <w:r w:rsidR="00EA60C1">
        <w:rPr>
          <w:rFonts w:ascii="Book Antiqua" w:hAnsi="Book Antiqua" w:cs="Arial"/>
        </w:rPr>
        <w:t xml:space="preserve">has not </w:t>
      </w:r>
      <w:r>
        <w:rPr>
          <w:rFonts w:ascii="Book Antiqua" w:hAnsi="Book Antiqua" w:cs="Arial"/>
        </w:rPr>
        <w:t>been made out the findings made beyond the core finding the appellant is not from Syria but is from Iraq</w:t>
      </w:r>
      <w:r w:rsidR="00EA60C1">
        <w:rPr>
          <w:rFonts w:ascii="Book Antiqua" w:hAnsi="Book Antiqua" w:cs="Arial"/>
        </w:rPr>
        <w:t>,</w:t>
      </w:r>
      <w:r>
        <w:rPr>
          <w:rFonts w:ascii="Book Antiqua" w:hAnsi="Book Antiqua" w:cs="Arial"/>
        </w:rPr>
        <w:t xml:space="preserve"> are not within the range of reasonable findings the Judge was entitled to make on the basis of the limited evidence.</w:t>
      </w:r>
    </w:p>
    <w:p w:rsidR="00F62B99" w:rsidRDefault="00F62B99" w:rsidP="00AC4BF0">
      <w:pPr>
        <w:numPr>
          <w:ilvl w:val="0"/>
          <w:numId w:val="3"/>
        </w:numPr>
        <w:spacing w:before="240"/>
        <w:ind w:left="1077"/>
        <w:jc w:val="both"/>
        <w:rPr>
          <w:rFonts w:ascii="Book Antiqua" w:hAnsi="Book Antiqua" w:cs="Arial"/>
        </w:rPr>
      </w:pPr>
      <w:r>
        <w:rPr>
          <w:rFonts w:ascii="Book Antiqua" w:hAnsi="Book Antiqua" w:cs="Arial"/>
        </w:rPr>
        <w:t>The appellant fails to make out any arguable legal error material to the decision to dismiss the appeal.</w:t>
      </w:r>
    </w:p>
    <w:p w:rsidR="00F13A7D" w:rsidRPr="00D32B8A" w:rsidRDefault="00F13A7D" w:rsidP="00F13A7D">
      <w:pPr>
        <w:ind w:left="1080"/>
        <w:jc w:val="both"/>
        <w:rPr>
          <w:rFonts w:ascii="Book Antiqua" w:hAnsi="Book Antiqua" w:cs="Arial"/>
        </w:rPr>
      </w:pPr>
    </w:p>
    <w:p w:rsidR="00D32B8A" w:rsidRPr="00D32B8A" w:rsidRDefault="00D32B8A" w:rsidP="0002473E">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D32B8A" w:rsidRDefault="00D32B8A" w:rsidP="0002473E">
      <w:pPr>
        <w:pStyle w:val="BodyTextIndent"/>
        <w:ind w:left="0"/>
        <w:jc w:val="both"/>
        <w:rPr>
          <w:rFonts w:ascii="Book Antiqua" w:hAnsi="Book Antiqua" w:cs="Arial"/>
          <w:b/>
          <w:bCs/>
          <w:sz w:val="24"/>
          <w:u w:val="single"/>
        </w:rPr>
      </w:pPr>
    </w:p>
    <w:p w:rsidR="00D32B8A" w:rsidRPr="00D32B8A" w:rsidRDefault="00D32B8A" w:rsidP="0002473E">
      <w:pPr>
        <w:pStyle w:val="BodyTextIndent"/>
        <w:numPr>
          <w:ilvl w:val="0"/>
          <w:numId w:val="3"/>
        </w:numPr>
        <w:jc w:val="both"/>
        <w:rPr>
          <w:rFonts w:ascii="Book Antiqua" w:hAnsi="Book Antiqua" w:cs="Arial"/>
          <w:sz w:val="24"/>
          <w:u w:val="single"/>
        </w:rPr>
      </w:pPr>
      <w:r w:rsidRPr="00D32B8A">
        <w:rPr>
          <w:rFonts w:ascii="Book Antiqua" w:hAnsi="Book Antiqua" w:cs="Arial"/>
          <w:b/>
          <w:sz w:val="24"/>
        </w:rPr>
        <w:t xml:space="preserve">There is no material error of law in the Immigration Judge’s decision. The determination shall stand. </w:t>
      </w:r>
    </w:p>
    <w:p w:rsidR="00813355" w:rsidRDefault="00813355" w:rsidP="00813355">
      <w:pPr>
        <w:pStyle w:val="BodyTextIndent"/>
        <w:rPr>
          <w:rFonts w:ascii="Book Antiqua" w:hAnsi="Book Antiqua" w:cs="Arial"/>
          <w:b/>
          <w:sz w:val="24"/>
        </w:rPr>
      </w:pPr>
    </w:p>
    <w:p w:rsidR="00813355" w:rsidRPr="00DB5024" w:rsidRDefault="00813355" w:rsidP="00813355">
      <w:pPr>
        <w:pStyle w:val="BodyTextIndent"/>
        <w:ind w:left="360"/>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813355">
      <w:pPr>
        <w:pStyle w:val="BodyTextIndent"/>
        <w:ind w:left="360"/>
        <w:rPr>
          <w:rFonts w:ascii="Book Antiqua" w:hAnsi="Book Antiqua" w:cs="Arial"/>
          <w:sz w:val="24"/>
        </w:rPr>
      </w:pPr>
    </w:p>
    <w:p w:rsidR="00813355" w:rsidRPr="00DB5024" w:rsidRDefault="00813355" w:rsidP="00813355">
      <w:pPr>
        <w:pStyle w:val="BodyTextIndent"/>
        <w:numPr>
          <w:ilvl w:val="0"/>
          <w:numId w:val="3"/>
        </w:numPr>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45(4)(i) of the Asylum and Immigration Tribunal (Procedure) Rules 2005.</w:t>
      </w:r>
    </w:p>
    <w:p w:rsidR="00813355" w:rsidRPr="00DB5024" w:rsidRDefault="00813355" w:rsidP="00813355">
      <w:pPr>
        <w:pStyle w:val="BodyTextIndent"/>
        <w:ind w:left="360"/>
        <w:rPr>
          <w:rFonts w:ascii="Book Antiqua" w:hAnsi="Book Antiqua" w:cs="Arial"/>
          <w:sz w:val="24"/>
        </w:rPr>
      </w:pPr>
    </w:p>
    <w:p w:rsidR="00813355" w:rsidRPr="008E55FE" w:rsidRDefault="00813355" w:rsidP="00813355">
      <w:pPr>
        <w:pStyle w:val="BodyTextIndent"/>
        <w:rPr>
          <w:rFonts w:ascii="Book Antiqua" w:hAnsi="Book Antiqua" w:cs="Arial"/>
          <w:sz w:val="24"/>
          <w:u w:val="single"/>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sidRPr="00DB5024">
        <w:rPr>
          <w:rFonts w:ascii="Book Antiqua" w:hAnsi="Book Antiqua" w:cs="Arial"/>
          <w:sz w:val="24"/>
        </w:rPr>
        <w:tab/>
      </w:r>
      <w:r>
        <w:rPr>
          <w:rFonts w:ascii="Book Antiqua" w:eastAsia="Book Antiqua,Arial" w:hAnsi="Book Antiqua" w:cs="Book Antiqua,Arial"/>
          <w:sz w:val="24"/>
        </w:rPr>
        <w:t>(Upper Tribunal) Rules 2008</w:t>
      </w:r>
    </w:p>
    <w:p w:rsidR="008E55FE" w:rsidRPr="00D32B8A" w:rsidRDefault="008E55FE" w:rsidP="008E55FE">
      <w:pPr>
        <w:pStyle w:val="BodyTextIndent"/>
        <w:ind w:left="360"/>
        <w:rPr>
          <w:rFonts w:ascii="Book Antiqua" w:hAnsi="Book Antiqua" w:cs="Arial"/>
          <w:sz w:val="24"/>
          <w:u w:val="single"/>
        </w:rPr>
      </w:pPr>
    </w:p>
    <w:p w:rsidR="00774B23" w:rsidRDefault="00774B23" w:rsidP="00D32B8A">
      <w:pPr>
        <w:pStyle w:val="BodyTextIndent"/>
        <w:ind w:left="0"/>
        <w:rPr>
          <w:rFonts w:ascii="Book Antiqua" w:hAnsi="Book Antiqua" w:cs="Arial"/>
          <w:sz w:val="24"/>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774B23">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Pr="00D32B8A">
        <w:rPr>
          <w:rFonts w:ascii="Book Antiqua" w:hAnsi="Book Antiqua" w:cs="Arial"/>
          <w:sz w:val="24"/>
        </w:rPr>
        <w:fldChar w:fldCharType="begin">
          <w:ffData>
            <w:name w:val="Text23"/>
            <w:enabled/>
            <w:calcOnExit w:val="0"/>
            <w:textInput/>
          </w:ffData>
        </w:fldChar>
      </w:r>
      <w:bookmarkStart w:id="2" w:name="Text23"/>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sidR="00774B23">
        <w:rPr>
          <w:rFonts w:ascii="Book Antiqua" w:eastAsia="Arial Unicode MS" w:hAnsi="Arial Unicode MS" w:cs="Arial Unicode MS"/>
          <w:noProof/>
          <w:sz w:val="24"/>
        </w:rPr>
        <w:t>24 July 2018</w:t>
      </w:r>
      <w:r w:rsidRPr="00D32B8A">
        <w:rPr>
          <w:rFonts w:ascii="Book Antiqua" w:hAnsi="Book Antiqua" w:cs="Arial"/>
          <w:sz w:val="24"/>
        </w:rPr>
        <w:fldChar w:fldCharType="end"/>
      </w:r>
      <w:bookmarkEnd w:id="2"/>
    </w:p>
    <w:p w:rsidR="00BF23BB" w:rsidRPr="00D32B8A" w:rsidRDefault="00BF23BB" w:rsidP="00BF23BB">
      <w:pPr>
        <w:tabs>
          <w:tab w:val="left" w:pos="567"/>
        </w:tabs>
        <w:ind w:left="567" w:hanging="567"/>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69F" w:rsidRDefault="005D269F">
      <w:r>
        <w:separator/>
      </w:r>
    </w:p>
  </w:endnote>
  <w:endnote w:type="continuationSeparator" w:id="0">
    <w:p w:rsidR="005D269F" w:rsidRDefault="005D2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75D12">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69F" w:rsidRDefault="005D269F">
      <w:r>
        <w:separator/>
      </w:r>
    </w:p>
  </w:footnote>
  <w:footnote w:type="continuationSeparator" w:id="0">
    <w:p w:rsidR="005D269F" w:rsidRDefault="005D2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C5CE5" w:rsidRDefault="00FD1BDB" w:rsidP="00593795">
    <w:pPr>
      <w:pStyle w:val="Header"/>
      <w:jc w:val="right"/>
      <w:rPr>
        <w:rFonts w:ascii="Arial" w:hAnsi="Arial" w:cs="Arial"/>
        <w:sz w:val="16"/>
        <w:szCs w:val="16"/>
      </w:rPr>
    </w:pPr>
    <w:r>
      <w:rPr>
        <w:rFonts w:ascii="Arial" w:hAnsi="Arial" w:cs="Arial"/>
        <w:sz w:val="16"/>
        <w:szCs w:val="16"/>
      </w:rPr>
      <w:t xml:space="preserve">Appeal Number: </w:t>
    </w:r>
    <w:r w:rsidR="000558F1">
      <w:rPr>
        <w:rFonts w:ascii="Arial" w:hAnsi="Arial" w:cs="Arial"/>
        <w:sz w:val="16"/>
        <w:szCs w:val="16"/>
      </w:rPr>
      <w:t>PA/0353/2015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5D04A76"/>
    <w:multiLevelType w:val="hybridMultilevel"/>
    <w:tmpl w:val="86AE222A"/>
    <w:lvl w:ilvl="0" w:tplc="9B06BB28">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3"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6AFC610-817D-4F13-BACB-7A11D66FFB7E}"/>
    <w:docVar w:name="dgnword-eventsink" w:val="272516144"/>
  </w:docVars>
  <w:rsids>
    <w:rsidRoot w:val="00C26032"/>
    <w:rsid w:val="00000621"/>
    <w:rsid w:val="0000285C"/>
    <w:rsid w:val="000036C2"/>
    <w:rsid w:val="0002473E"/>
    <w:rsid w:val="00033D3D"/>
    <w:rsid w:val="000558F1"/>
    <w:rsid w:val="00057601"/>
    <w:rsid w:val="00062F02"/>
    <w:rsid w:val="00071A7E"/>
    <w:rsid w:val="000746C0"/>
    <w:rsid w:val="00074D1D"/>
    <w:rsid w:val="00090CF9"/>
    <w:rsid w:val="00092580"/>
    <w:rsid w:val="00093D4D"/>
    <w:rsid w:val="000D5D94"/>
    <w:rsid w:val="000F1A0E"/>
    <w:rsid w:val="001165A7"/>
    <w:rsid w:val="00167D3A"/>
    <w:rsid w:val="001A3082"/>
    <w:rsid w:val="001B186A"/>
    <w:rsid w:val="001B2F75"/>
    <w:rsid w:val="001F2716"/>
    <w:rsid w:val="00207617"/>
    <w:rsid w:val="0023134B"/>
    <w:rsid w:val="00237CDE"/>
    <w:rsid w:val="00243EB4"/>
    <w:rsid w:val="0026015E"/>
    <w:rsid w:val="002667BE"/>
    <w:rsid w:val="00270E13"/>
    <w:rsid w:val="00283659"/>
    <w:rsid w:val="002B5149"/>
    <w:rsid w:val="002C6BD4"/>
    <w:rsid w:val="002D68BF"/>
    <w:rsid w:val="002F6B98"/>
    <w:rsid w:val="00324927"/>
    <w:rsid w:val="00324B30"/>
    <w:rsid w:val="00336CBF"/>
    <w:rsid w:val="00343FE3"/>
    <w:rsid w:val="003446EF"/>
    <w:rsid w:val="003546C8"/>
    <w:rsid w:val="003A7CF2"/>
    <w:rsid w:val="003C5723"/>
    <w:rsid w:val="003C5CE5"/>
    <w:rsid w:val="003E267B"/>
    <w:rsid w:val="003E5773"/>
    <w:rsid w:val="003E7CD1"/>
    <w:rsid w:val="00402B9E"/>
    <w:rsid w:val="00412714"/>
    <w:rsid w:val="00420643"/>
    <w:rsid w:val="004249CB"/>
    <w:rsid w:val="0044127D"/>
    <w:rsid w:val="004448DB"/>
    <w:rsid w:val="00446C9A"/>
    <w:rsid w:val="00452F2B"/>
    <w:rsid w:val="00477193"/>
    <w:rsid w:val="004A1848"/>
    <w:rsid w:val="004A6F4A"/>
    <w:rsid w:val="004E4717"/>
    <w:rsid w:val="005035E7"/>
    <w:rsid w:val="00507FEC"/>
    <w:rsid w:val="00510F0E"/>
    <w:rsid w:val="00520CF2"/>
    <w:rsid w:val="00542C29"/>
    <w:rsid w:val="005479E1"/>
    <w:rsid w:val="00553E0A"/>
    <w:rsid w:val="005570FD"/>
    <w:rsid w:val="005575EA"/>
    <w:rsid w:val="0057790C"/>
    <w:rsid w:val="00593795"/>
    <w:rsid w:val="00593821"/>
    <w:rsid w:val="005A549B"/>
    <w:rsid w:val="005A75FF"/>
    <w:rsid w:val="005D10AB"/>
    <w:rsid w:val="005D269F"/>
    <w:rsid w:val="005F1F19"/>
    <w:rsid w:val="00601D8F"/>
    <w:rsid w:val="00611011"/>
    <w:rsid w:val="00611B31"/>
    <w:rsid w:val="00653E97"/>
    <w:rsid w:val="00676204"/>
    <w:rsid w:val="00684A74"/>
    <w:rsid w:val="00690B8A"/>
    <w:rsid w:val="006F2CF1"/>
    <w:rsid w:val="007038ED"/>
    <w:rsid w:val="00703BC3"/>
    <w:rsid w:val="00704B61"/>
    <w:rsid w:val="00710339"/>
    <w:rsid w:val="007334B3"/>
    <w:rsid w:val="007552A9"/>
    <w:rsid w:val="00761858"/>
    <w:rsid w:val="00767D59"/>
    <w:rsid w:val="00774B23"/>
    <w:rsid w:val="00776E97"/>
    <w:rsid w:val="00780F86"/>
    <w:rsid w:val="007912AD"/>
    <w:rsid w:val="007A37E8"/>
    <w:rsid w:val="007B0824"/>
    <w:rsid w:val="007B1716"/>
    <w:rsid w:val="007B5D3C"/>
    <w:rsid w:val="007D25C4"/>
    <w:rsid w:val="007E285C"/>
    <w:rsid w:val="0080410F"/>
    <w:rsid w:val="00813355"/>
    <w:rsid w:val="00821B72"/>
    <w:rsid w:val="00823EF2"/>
    <w:rsid w:val="00825708"/>
    <w:rsid w:val="008303B8"/>
    <w:rsid w:val="00833DCE"/>
    <w:rsid w:val="00870C49"/>
    <w:rsid w:val="00871D34"/>
    <w:rsid w:val="00883B02"/>
    <w:rsid w:val="00893D74"/>
    <w:rsid w:val="008B270C"/>
    <w:rsid w:val="008B382D"/>
    <w:rsid w:val="008B5078"/>
    <w:rsid w:val="008C3D3D"/>
    <w:rsid w:val="008D4131"/>
    <w:rsid w:val="008E55FE"/>
    <w:rsid w:val="008F1932"/>
    <w:rsid w:val="008F2F5B"/>
    <w:rsid w:val="00906FAF"/>
    <w:rsid w:val="00907F6B"/>
    <w:rsid w:val="00921062"/>
    <w:rsid w:val="00925AB2"/>
    <w:rsid w:val="009722BC"/>
    <w:rsid w:val="009727A3"/>
    <w:rsid w:val="00975D12"/>
    <w:rsid w:val="00987774"/>
    <w:rsid w:val="00987D38"/>
    <w:rsid w:val="00992DAB"/>
    <w:rsid w:val="009A11E8"/>
    <w:rsid w:val="009D595D"/>
    <w:rsid w:val="009F5220"/>
    <w:rsid w:val="00A15234"/>
    <w:rsid w:val="00A201AB"/>
    <w:rsid w:val="00A240AA"/>
    <w:rsid w:val="00A253BF"/>
    <w:rsid w:val="00A31C8B"/>
    <w:rsid w:val="00A509FA"/>
    <w:rsid w:val="00A845DC"/>
    <w:rsid w:val="00AB7916"/>
    <w:rsid w:val="00AC4BF0"/>
    <w:rsid w:val="00AE582E"/>
    <w:rsid w:val="00B26AA2"/>
    <w:rsid w:val="00B3524D"/>
    <w:rsid w:val="00B40F69"/>
    <w:rsid w:val="00B414F3"/>
    <w:rsid w:val="00B46616"/>
    <w:rsid w:val="00B467EA"/>
    <w:rsid w:val="00B7040A"/>
    <w:rsid w:val="00B83391"/>
    <w:rsid w:val="00B95326"/>
    <w:rsid w:val="00BD4196"/>
    <w:rsid w:val="00BE485D"/>
    <w:rsid w:val="00BF22CA"/>
    <w:rsid w:val="00BF23BB"/>
    <w:rsid w:val="00C12F97"/>
    <w:rsid w:val="00C26032"/>
    <w:rsid w:val="00C345E1"/>
    <w:rsid w:val="00C43BFD"/>
    <w:rsid w:val="00C51218"/>
    <w:rsid w:val="00CB6E35"/>
    <w:rsid w:val="00CE1A46"/>
    <w:rsid w:val="00D20757"/>
    <w:rsid w:val="00D22636"/>
    <w:rsid w:val="00D32B8A"/>
    <w:rsid w:val="00D40FD9"/>
    <w:rsid w:val="00D53769"/>
    <w:rsid w:val="00D63887"/>
    <w:rsid w:val="00D85C13"/>
    <w:rsid w:val="00D9111A"/>
    <w:rsid w:val="00D91BE3"/>
    <w:rsid w:val="00D94AFC"/>
    <w:rsid w:val="00DB70AE"/>
    <w:rsid w:val="00DD5071"/>
    <w:rsid w:val="00DD5C39"/>
    <w:rsid w:val="00DE7DB7"/>
    <w:rsid w:val="00E00A0A"/>
    <w:rsid w:val="00E066DE"/>
    <w:rsid w:val="00E07F57"/>
    <w:rsid w:val="00E26B20"/>
    <w:rsid w:val="00E303E0"/>
    <w:rsid w:val="00E30683"/>
    <w:rsid w:val="00E453D8"/>
    <w:rsid w:val="00E50BCE"/>
    <w:rsid w:val="00E533BA"/>
    <w:rsid w:val="00E54934"/>
    <w:rsid w:val="00E574BF"/>
    <w:rsid w:val="00E61292"/>
    <w:rsid w:val="00E77C4D"/>
    <w:rsid w:val="00E80AD9"/>
    <w:rsid w:val="00E81D01"/>
    <w:rsid w:val="00EA60C1"/>
    <w:rsid w:val="00EE43F3"/>
    <w:rsid w:val="00EE45D8"/>
    <w:rsid w:val="00F13A7D"/>
    <w:rsid w:val="00F22EDA"/>
    <w:rsid w:val="00F62B99"/>
    <w:rsid w:val="00F97703"/>
    <w:rsid w:val="00FA666A"/>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4CD51C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03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2954</Words>
  <Characters>14726</Characters>
  <Application>Microsoft Office Word</Application>
  <DocSecurity>0</DocSecurity>
  <Lines>122</Lines>
  <Paragraphs>35</Paragraphs>
  <ScaleCrop>false</ScaleCrop>
  <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2018-08-15T09:55:00Z</dcterms:created>
  <dcterms:modified xsi:type="dcterms:W3CDTF">2018-08-15T09:55:00Z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