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A75" w:rsidRPr="005D1286" w:rsidRDefault="00246A75" w:rsidP="005D1286">
      <w:pPr>
        <w:jc w:val="center"/>
        <w:rPr>
          <w:rFonts w:ascii="Book Antiqua" w:hAnsi="Book Antiqua" w:cs="Arial"/>
          <w:caps/>
          <w:color w:val="000000"/>
          <w:sz w:val="16"/>
          <w:szCs w:val="16"/>
        </w:rPr>
      </w:pPr>
      <w:r w:rsidRPr="005D1286">
        <w:rPr>
          <w:noProof/>
          <w:sz w:val="16"/>
          <w:szCs w:val="16"/>
          <w:lang w:val="en-US" w:eastAsia="en-US"/>
        </w:rPr>
        <w:drawing>
          <wp:inline distT="0" distB="0" distL="0" distR="0">
            <wp:extent cx="1041400" cy="90614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41400" cy="906145"/>
                    </a:xfrm>
                    <a:prstGeom prst="rect">
                      <a:avLst/>
                    </a:prstGeom>
                    <a:noFill/>
                    <a:ln w="9525">
                      <a:noFill/>
                      <a:miter lim="800000"/>
                      <a:headEnd/>
                      <a:tailEnd/>
                    </a:ln>
                  </pic:spPr>
                </pic:pic>
              </a:graphicData>
            </a:graphic>
          </wp:inline>
        </w:drawing>
      </w:r>
    </w:p>
    <w:p w:rsidR="00246A75" w:rsidRPr="005D1286" w:rsidRDefault="00246A75" w:rsidP="005D1286">
      <w:pPr>
        <w:jc w:val="center"/>
        <w:rPr>
          <w:rFonts w:ascii="Book Antiqua" w:hAnsi="Book Antiqua" w:cs="Arial"/>
          <w:color w:val="000000"/>
          <w:sz w:val="16"/>
          <w:szCs w:val="16"/>
        </w:rPr>
      </w:pPr>
    </w:p>
    <w:p w:rsidR="00246A75" w:rsidRPr="009B7433" w:rsidRDefault="00246A75" w:rsidP="005D1286">
      <w:pPr>
        <w:rPr>
          <w:rFonts w:ascii="Book Antiqua" w:hAnsi="Book Antiqua" w:cs="Arial"/>
          <w:b/>
          <w:color w:val="000000"/>
        </w:rPr>
      </w:pPr>
      <w:r w:rsidRPr="009B7433">
        <w:rPr>
          <w:rFonts w:ascii="Book Antiqua" w:hAnsi="Book Antiqua" w:cs="Arial"/>
          <w:b/>
          <w:color w:val="000000"/>
        </w:rPr>
        <w:t xml:space="preserve">Upper Tribunal </w:t>
      </w:r>
    </w:p>
    <w:p w:rsidR="00246A75" w:rsidRPr="009B7433" w:rsidRDefault="00246A75" w:rsidP="005D1286">
      <w:pPr>
        <w:tabs>
          <w:tab w:val="right" w:pos="8222"/>
        </w:tabs>
        <w:rPr>
          <w:rFonts w:ascii="Book Antiqua" w:hAnsi="Book Antiqua" w:cs="Arial"/>
          <w:color w:val="000000"/>
        </w:rPr>
      </w:pPr>
      <w:r w:rsidRPr="009B7433">
        <w:rPr>
          <w:rFonts w:ascii="Book Antiqua" w:hAnsi="Book Antiqua" w:cs="Arial"/>
          <w:b/>
          <w:color w:val="000000"/>
        </w:rPr>
        <w:t>(Immigration and Asylum Chamber)</w:t>
      </w:r>
      <w:r w:rsidR="005D1286">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9127C0">
        <w:rPr>
          <w:rFonts w:ascii="Book Antiqua" w:hAnsi="Book Antiqua" w:cs="Arial"/>
          <w:caps/>
          <w:color w:val="000000"/>
        </w:rPr>
        <w:t>PA/0</w:t>
      </w:r>
      <w:r>
        <w:rPr>
          <w:rFonts w:ascii="Book Antiqua" w:hAnsi="Book Antiqua" w:cs="Arial"/>
          <w:caps/>
          <w:color w:val="000000"/>
        </w:rPr>
        <w:t>3</w:t>
      </w:r>
      <w:r w:rsidR="009127C0">
        <w:rPr>
          <w:rFonts w:ascii="Book Antiqua" w:hAnsi="Book Antiqua" w:cs="Arial"/>
          <w:caps/>
          <w:color w:val="000000"/>
        </w:rPr>
        <w:t>536</w:t>
      </w:r>
      <w:r>
        <w:rPr>
          <w:rFonts w:ascii="Book Antiqua" w:hAnsi="Book Antiqua" w:cs="Arial"/>
          <w:caps/>
          <w:color w:val="000000"/>
        </w:rPr>
        <w:t>/201</w:t>
      </w:r>
      <w:r w:rsidR="009127C0">
        <w:rPr>
          <w:rFonts w:ascii="Book Antiqua" w:hAnsi="Book Antiqua" w:cs="Arial"/>
          <w:caps/>
          <w:color w:val="000000"/>
        </w:rPr>
        <w:t>7</w:t>
      </w:r>
      <w:bookmarkEnd w:id="0"/>
    </w:p>
    <w:p w:rsidR="00246A75" w:rsidRPr="009B7433" w:rsidRDefault="00246A75" w:rsidP="005D1286">
      <w:pPr>
        <w:jc w:val="center"/>
        <w:rPr>
          <w:rFonts w:ascii="Book Antiqua" w:hAnsi="Book Antiqua" w:cs="Arial"/>
          <w:color w:val="000000"/>
        </w:rPr>
      </w:pPr>
    </w:p>
    <w:p w:rsidR="005D1286" w:rsidRDefault="005D1286" w:rsidP="005D1286">
      <w:pPr>
        <w:jc w:val="center"/>
        <w:rPr>
          <w:rFonts w:ascii="Book Antiqua" w:hAnsi="Book Antiqua" w:cs="Arial"/>
          <w:b/>
          <w:color w:val="000000"/>
          <w:u w:val="single"/>
        </w:rPr>
      </w:pPr>
    </w:p>
    <w:p w:rsidR="00246A75" w:rsidRPr="009B7433" w:rsidRDefault="00246A75" w:rsidP="005D1286">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246A75" w:rsidRPr="009B7433" w:rsidRDefault="00246A75" w:rsidP="005D1286">
      <w:pPr>
        <w:jc w:val="center"/>
        <w:rPr>
          <w:rFonts w:ascii="Book Antiqua" w:hAnsi="Book Antiqua" w:cs="Arial"/>
          <w:b/>
          <w:u w:val="single"/>
        </w:rPr>
      </w:pPr>
    </w:p>
    <w:p w:rsidR="00246A75" w:rsidRPr="009B7433" w:rsidRDefault="00246A75" w:rsidP="005D1286">
      <w:pPr>
        <w:jc w:val="center"/>
        <w:rPr>
          <w:rFonts w:ascii="Book Antiqua" w:hAnsi="Book Antiqua" w:cs="Arial"/>
          <w:b/>
          <w:u w:val="single"/>
        </w:rPr>
      </w:pPr>
    </w:p>
    <w:tbl>
      <w:tblPr>
        <w:tblW w:w="5000" w:type="pct"/>
        <w:tblLook w:val="01E0" w:firstRow="1" w:lastRow="1" w:firstColumn="1" w:lastColumn="1" w:noHBand="0" w:noVBand="0"/>
      </w:tblPr>
      <w:tblGrid>
        <w:gridCol w:w="4153"/>
        <w:gridCol w:w="4153"/>
      </w:tblGrid>
      <w:tr w:rsidR="00246A75" w:rsidRPr="008D2A00" w:rsidTr="005D1286">
        <w:tc>
          <w:tcPr>
            <w:tcW w:w="2500" w:type="pct"/>
          </w:tcPr>
          <w:p w:rsidR="00246A75" w:rsidRPr="008D2A00" w:rsidRDefault="00246A75" w:rsidP="005D1286">
            <w:pPr>
              <w:jc w:val="both"/>
              <w:rPr>
                <w:rFonts w:ascii="Book Antiqua" w:hAnsi="Book Antiqua" w:cs="Arial"/>
                <w:b/>
              </w:rPr>
            </w:pPr>
            <w:r>
              <w:rPr>
                <w:rFonts w:ascii="Book Antiqua" w:hAnsi="Book Antiqua" w:cs="Arial"/>
                <w:b/>
              </w:rPr>
              <w:t>Heard at Field House</w:t>
            </w:r>
          </w:p>
        </w:tc>
        <w:tc>
          <w:tcPr>
            <w:tcW w:w="2500" w:type="pct"/>
          </w:tcPr>
          <w:p w:rsidR="00246A75" w:rsidRPr="008D2A00" w:rsidRDefault="00246A75" w:rsidP="005D1286">
            <w:pPr>
              <w:jc w:val="right"/>
              <w:rPr>
                <w:rFonts w:ascii="Book Antiqua" w:hAnsi="Book Antiqua" w:cs="Arial"/>
                <w:b/>
                <w:color w:val="000000"/>
              </w:rPr>
            </w:pPr>
            <w:r w:rsidRPr="008D2A00">
              <w:rPr>
                <w:rFonts w:ascii="Book Antiqua" w:hAnsi="Book Antiqua" w:cs="Arial"/>
                <w:b/>
                <w:color w:val="000000"/>
              </w:rPr>
              <w:t>Decision &amp; Reasons Promulgated</w:t>
            </w:r>
          </w:p>
        </w:tc>
      </w:tr>
      <w:tr w:rsidR="00246A75" w:rsidRPr="008D2A00" w:rsidTr="005D1286">
        <w:tc>
          <w:tcPr>
            <w:tcW w:w="2500" w:type="pct"/>
          </w:tcPr>
          <w:p w:rsidR="00246A75" w:rsidRPr="008D2A00" w:rsidRDefault="009127C0" w:rsidP="005D1286">
            <w:pPr>
              <w:jc w:val="both"/>
              <w:rPr>
                <w:rFonts w:ascii="Book Antiqua" w:hAnsi="Book Antiqua" w:cs="Arial"/>
                <w:b/>
              </w:rPr>
            </w:pPr>
            <w:r>
              <w:rPr>
                <w:rFonts w:ascii="Book Antiqua" w:hAnsi="Book Antiqua" w:cs="Arial"/>
                <w:b/>
              </w:rPr>
              <w:t>On 19 April</w:t>
            </w:r>
            <w:r w:rsidR="00246A75">
              <w:rPr>
                <w:rFonts w:ascii="Book Antiqua" w:hAnsi="Book Antiqua" w:cs="Arial"/>
                <w:b/>
              </w:rPr>
              <w:t xml:space="preserve"> 2018</w:t>
            </w:r>
          </w:p>
        </w:tc>
        <w:tc>
          <w:tcPr>
            <w:tcW w:w="2500" w:type="pct"/>
          </w:tcPr>
          <w:p w:rsidR="00246A75" w:rsidRPr="008D2A00" w:rsidRDefault="003B0116" w:rsidP="005D1286">
            <w:pPr>
              <w:jc w:val="right"/>
              <w:rPr>
                <w:rFonts w:ascii="Book Antiqua" w:hAnsi="Book Antiqua" w:cs="Arial"/>
                <w:b/>
              </w:rPr>
            </w:pPr>
            <w:r>
              <w:rPr>
                <w:rFonts w:ascii="Book Antiqua" w:hAnsi="Book Antiqua" w:cs="Arial"/>
                <w:b/>
              </w:rPr>
              <w:t>On 16 May 2018</w:t>
            </w:r>
          </w:p>
        </w:tc>
      </w:tr>
      <w:tr w:rsidR="00246A75" w:rsidRPr="008D2A00" w:rsidTr="005D1286">
        <w:tc>
          <w:tcPr>
            <w:tcW w:w="2500" w:type="pct"/>
          </w:tcPr>
          <w:p w:rsidR="00246A75" w:rsidRPr="008D2A00" w:rsidRDefault="00246A75" w:rsidP="005D1286">
            <w:pPr>
              <w:jc w:val="both"/>
              <w:rPr>
                <w:rFonts w:ascii="Book Antiqua" w:hAnsi="Book Antiqua" w:cs="Arial"/>
                <w:b/>
              </w:rPr>
            </w:pPr>
          </w:p>
        </w:tc>
        <w:tc>
          <w:tcPr>
            <w:tcW w:w="2500" w:type="pct"/>
          </w:tcPr>
          <w:p w:rsidR="00246A75" w:rsidRPr="008D2A00" w:rsidRDefault="00246A75" w:rsidP="005D1286">
            <w:pPr>
              <w:jc w:val="right"/>
              <w:rPr>
                <w:rFonts w:ascii="Book Antiqua" w:hAnsi="Book Antiqua" w:cs="Arial"/>
                <w:b/>
              </w:rPr>
            </w:pPr>
          </w:p>
        </w:tc>
      </w:tr>
    </w:tbl>
    <w:p w:rsidR="00246A75" w:rsidRPr="009B7433" w:rsidRDefault="00246A75" w:rsidP="005D1286">
      <w:pPr>
        <w:jc w:val="center"/>
        <w:rPr>
          <w:rFonts w:ascii="Book Antiqua" w:hAnsi="Book Antiqua" w:cs="Arial"/>
        </w:rPr>
      </w:pPr>
    </w:p>
    <w:p w:rsidR="00246A75" w:rsidRPr="009B7433" w:rsidRDefault="00246A75" w:rsidP="005D1286">
      <w:pPr>
        <w:jc w:val="center"/>
        <w:rPr>
          <w:rFonts w:ascii="Book Antiqua" w:hAnsi="Book Antiqua" w:cs="Arial"/>
          <w:b/>
        </w:rPr>
      </w:pPr>
      <w:r w:rsidRPr="009B7433">
        <w:rPr>
          <w:rFonts w:ascii="Book Antiqua" w:hAnsi="Book Antiqua" w:cs="Arial"/>
          <w:b/>
        </w:rPr>
        <w:t>Before</w:t>
      </w:r>
    </w:p>
    <w:p w:rsidR="00246A75" w:rsidRPr="009B7433" w:rsidRDefault="00246A75" w:rsidP="005D1286">
      <w:pPr>
        <w:jc w:val="center"/>
        <w:rPr>
          <w:rFonts w:ascii="Book Antiqua" w:hAnsi="Book Antiqua" w:cs="Arial"/>
          <w:b/>
        </w:rPr>
      </w:pPr>
    </w:p>
    <w:p w:rsidR="00246A75" w:rsidRPr="001C5703" w:rsidRDefault="00246A75" w:rsidP="005D1286">
      <w:pPr>
        <w:jc w:val="center"/>
        <w:rPr>
          <w:rFonts w:ascii="Book Antiqua" w:hAnsi="Book Antiqua" w:cs="Arial"/>
          <w:b/>
          <w:color w:val="000000"/>
        </w:rPr>
      </w:pPr>
      <w:r>
        <w:rPr>
          <w:rFonts w:ascii="Book Antiqua" w:hAnsi="Book Antiqua" w:cs="Arial"/>
          <w:b/>
          <w:color w:val="000000"/>
        </w:rPr>
        <w:t>DEPUTY UPPER TRIBUNAL JUDGE CHAPMAN</w:t>
      </w:r>
    </w:p>
    <w:p w:rsidR="00246A75" w:rsidRPr="009B7433" w:rsidRDefault="00246A75" w:rsidP="005D1286">
      <w:pPr>
        <w:jc w:val="center"/>
        <w:rPr>
          <w:rFonts w:ascii="Book Antiqua" w:hAnsi="Book Antiqua" w:cs="Arial"/>
          <w:b/>
        </w:rPr>
      </w:pPr>
    </w:p>
    <w:p w:rsidR="005D1286" w:rsidRDefault="005D1286" w:rsidP="005D1286">
      <w:pPr>
        <w:jc w:val="center"/>
        <w:rPr>
          <w:rFonts w:ascii="Book Antiqua" w:hAnsi="Book Antiqua" w:cs="Arial"/>
          <w:b/>
        </w:rPr>
      </w:pPr>
    </w:p>
    <w:p w:rsidR="00246A75" w:rsidRPr="009B7433" w:rsidRDefault="00246A75" w:rsidP="005D1286">
      <w:pPr>
        <w:jc w:val="center"/>
        <w:rPr>
          <w:rFonts w:ascii="Book Antiqua" w:hAnsi="Book Antiqua" w:cs="Arial"/>
          <w:b/>
        </w:rPr>
      </w:pPr>
      <w:r w:rsidRPr="009B7433">
        <w:rPr>
          <w:rFonts w:ascii="Book Antiqua" w:hAnsi="Book Antiqua" w:cs="Arial"/>
          <w:b/>
        </w:rPr>
        <w:t>Between</w:t>
      </w:r>
    </w:p>
    <w:p w:rsidR="00246A75" w:rsidRDefault="00246A75" w:rsidP="005D1286">
      <w:pPr>
        <w:jc w:val="center"/>
        <w:rPr>
          <w:rFonts w:ascii="Book Antiqua" w:hAnsi="Book Antiqua" w:cs="Arial"/>
          <w:b/>
        </w:rPr>
      </w:pPr>
    </w:p>
    <w:p w:rsidR="00246A75" w:rsidRDefault="009127C0" w:rsidP="005D1286">
      <w:pPr>
        <w:jc w:val="center"/>
        <w:rPr>
          <w:rFonts w:ascii="Book Antiqua" w:hAnsi="Book Antiqua" w:cs="Arial"/>
          <w:b/>
        </w:rPr>
      </w:pPr>
      <w:r w:rsidRPr="005804E3">
        <w:rPr>
          <w:rFonts w:ascii="Book Antiqua" w:hAnsi="Book Antiqua"/>
          <w:b/>
          <w:caps/>
        </w:rPr>
        <w:t>secretary of state for the home department</w:t>
      </w:r>
    </w:p>
    <w:p w:rsidR="00246A75" w:rsidRPr="009B7433" w:rsidRDefault="00246A75" w:rsidP="005D1286">
      <w:pPr>
        <w:jc w:val="right"/>
        <w:rPr>
          <w:rFonts w:ascii="Book Antiqua" w:hAnsi="Book Antiqua" w:cs="Arial"/>
          <w:u w:val="single"/>
        </w:rPr>
      </w:pPr>
      <w:r w:rsidRPr="009B7433">
        <w:rPr>
          <w:rFonts w:ascii="Book Antiqua" w:hAnsi="Book Antiqua" w:cs="Arial"/>
          <w:u w:val="single"/>
        </w:rPr>
        <w:t>Appellant</w:t>
      </w:r>
    </w:p>
    <w:p w:rsidR="00246A75" w:rsidRPr="009B7433" w:rsidRDefault="009127C0" w:rsidP="005D1286">
      <w:pPr>
        <w:jc w:val="center"/>
        <w:rPr>
          <w:rFonts w:ascii="Book Antiqua" w:hAnsi="Book Antiqua" w:cs="Arial"/>
          <w:b/>
        </w:rPr>
      </w:pPr>
      <w:r>
        <w:rPr>
          <w:rFonts w:ascii="Book Antiqua" w:hAnsi="Book Antiqua" w:cs="Arial"/>
          <w:b/>
        </w:rPr>
        <w:t>v</w:t>
      </w:r>
    </w:p>
    <w:p w:rsidR="00246A75" w:rsidRPr="005804E3" w:rsidRDefault="00246A75" w:rsidP="005D1286">
      <w:pPr>
        <w:jc w:val="center"/>
        <w:rPr>
          <w:rFonts w:ascii="Book Antiqua" w:hAnsi="Book Antiqua"/>
          <w:b/>
          <w:caps/>
        </w:rPr>
      </w:pPr>
    </w:p>
    <w:p w:rsidR="00246A75" w:rsidRPr="005804E3" w:rsidRDefault="009127C0" w:rsidP="005D1286">
      <w:pPr>
        <w:jc w:val="center"/>
        <w:rPr>
          <w:rFonts w:ascii="Book Antiqua" w:hAnsi="Book Antiqua"/>
          <w:b/>
          <w:caps/>
        </w:rPr>
      </w:pPr>
      <w:r>
        <w:rPr>
          <w:rFonts w:ascii="Book Antiqua" w:hAnsi="Book Antiqua"/>
          <w:b/>
          <w:caps/>
        </w:rPr>
        <w:t>RT</w:t>
      </w:r>
    </w:p>
    <w:p w:rsidR="00246A75" w:rsidRPr="009B7433" w:rsidRDefault="00246A75" w:rsidP="005D1286">
      <w:pPr>
        <w:jc w:val="right"/>
        <w:rPr>
          <w:rFonts w:ascii="Book Antiqua" w:hAnsi="Book Antiqua" w:cs="Arial"/>
          <w:u w:val="single"/>
        </w:rPr>
      </w:pPr>
      <w:r w:rsidRPr="009B7433">
        <w:rPr>
          <w:rFonts w:ascii="Book Antiqua" w:hAnsi="Book Antiqua" w:cs="Arial"/>
          <w:u w:val="single"/>
        </w:rPr>
        <w:t>Respondent</w:t>
      </w:r>
    </w:p>
    <w:p w:rsidR="00246A75" w:rsidRPr="009B7433" w:rsidRDefault="00246A75" w:rsidP="005D1286">
      <w:pPr>
        <w:rPr>
          <w:rFonts w:ascii="Book Antiqua" w:hAnsi="Book Antiqua" w:cs="Arial"/>
          <w:u w:val="single"/>
        </w:rPr>
      </w:pPr>
    </w:p>
    <w:p w:rsidR="00246A75" w:rsidRPr="009B7433" w:rsidRDefault="00246A75" w:rsidP="005D1286">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246A75" w:rsidRDefault="00246A75" w:rsidP="005D1286">
      <w:pPr>
        <w:tabs>
          <w:tab w:val="left" w:pos="2552"/>
        </w:tabs>
        <w:rPr>
          <w:rFonts w:ascii="Book Antiqua" w:hAnsi="Book Antiqua"/>
        </w:rPr>
      </w:pPr>
      <w:r>
        <w:rPr>
          <w:rFonts w:ascii="Book Antiqua" w:hAnsi="Book Antiqua"/>
        </w:rPr>
        <w:t xml:space="preserve">For the Appellant: </w:t>
      </w:r>
      <w:r w:rsidR="005D1286">
        <w:rPr>
          <w:rFonts w:ascii="Book Antiqua" w:hAnsi="Book Antiqua"/>
        </w:rPr>
        <w:tab/>
      </w:r>
      <w:r w:rsidR="009127C0">
        <w:rPr>
          <w:rFonts w:ascii="Book Antiqua" w:hAnsi="Book Antiqua"/>
        </w:rPr>
        <w:t>Mr. T. Melvin, Senior Presenting Officer</w:t>
      </w:r>
    </w:p>
    <w:p w:rsidR="00246A75" w:rsidRDefault="00246A75" w:rsidP="005D1286">
      <w:pPr>
        <w:tabs>
          <w:tab w:val="left" w:pos="2552"/>
        </w:tabs>
        <w:rPr>
          <w:rFonts w:ascii="Book Antiqua" w:hAnsi="Book Antiqua"/>
        </w:rPr>
      </w:pPr>
      <w:r>
        <w:rPr>
          <w:rFonts w:ascii="Book Antiqua" w:hAnsi="Book Antiqua"/>
        </w:rPr>
        <w:t xml:space="preserve">For the Respondent: </w:t>
      </w:r>
      <w:r w:rsidR="005D1286">
        <w:rPr>
          <w:rFonts w:ascii="Book Antiqua" w:hAnsi="Book Antiqua"/>
        </w:rPr>
        <w:tab/>
      </w:r>
      <w:r w:rsidR="00912EB5">
        <w:rPr>
          <w:rFonts w:ascii="Book Antiqua" w:hAnsi="Book Antiqua"/>
        </w:rPr>
        <w:t xml:space="preserve">Mr. I. </w:t>
      </w:r>
      <w:proofErr w:type="spellStart"/>
      <w:r w:rsidR="00912EB5">
        <w:rPr>
          <w:rFonts w:ascii="Book Antiqua" w:hAnsi="Book Antiqua"/>
        </w:rPr>
        <w:t>Komus</w:t>
      </w:r>
      <w:r w:rsidR="009127C0">
        <w:rPr>
          <w:rFonts w:ascii="Book Antiqua" w:hAnsi="Book Antiqua"/>
        </w:rPr>
        <w:t>anac</w:t>
      </w:r>
      <w:proofErr w:type="spellEnd"/>
      <w:r w:rsidR="009127C0">
        <w:rPr>
          <w:rFonts w:ascii="Book Antiqua" w:hAnsi="Book Antiqua"/>
        </w:rPr>
        <w:t>, Igor &amp; Co solicitors</w:t>
      </w:r>
    </w:p>
    <w:p w:rsidR="00246A75" w:rsidRDefault="00246A75" w:rsidP="005D1286">
      <w:pPr>
        <w:jc w:val="center"/>
        <w:rPr>
          <w:rFonts w:ascii="Book Antiqua" w:hAnsi="Book Antiqua"/>
        </w:rPr>
      </w:pPr>
      <w:r>
        <w:rPr>
          <w:rFonts w:ascii="Book Antiqua" w:hAnsi="Book Antiqua"/>
        </w:rPr>
        <w:t>_______________________</w:t>
      </w:r>
    </w:p>
    <w:p w:rsidR="00246A75" w:rsidRDefault="00246A75" w:rsidP="005D1286">
      <w:pPr>
        <w:jc w:val="center"/>
        <w:rPr>
          <w:rFonts w:ascii="Book Antiqua" w:hAnsi="Book Antiqua"/>
        </w:rPr>
      </w:pPr>
    </w:p>
    <w:p w:rsidR="00246A75" w:rsidRDefault="00246A75" w:rsidP="005D1286">
      <w:pPr>
        <w:jc w:val="center"/>
        <w:rPr>
          <w:rFonts w:ascii="Book Antiqua" w:hAnsi="Book Antiqua"/>
          <w:b/>
        </w:rPr>
      </w:pPr>
      <w:r>
        <w:rPr>
          <w:rFonts w:ascii="Book Antiqua" w:hAnsi="Book Antiqua"/>
          <w:b/>
        </w:rPr>
        <w:t>DECISION &amp; REASONS</w:t>
      </w:r>
    </w:p>
    <w:p w:rsidR="00246A75" w:rsidRPr="00EA0800" w:rsidRDefault="00246A75" w:rsidP="005D1286">
      <w:pPr>
        <w:jc w:val="center"/>
        <w:rPr>
          <w:rFonts w:ascii="Book Antiqua" w:hAnsi="Book Antiqua"/>
          <w:b/>
        </w:rPr>
      </w:pPr>
      <w:r>
        <w:rPr>
          <w:rFonts w:ascii="Book Antiqua" w:hAnsi="Book Antiqua"/>
          <w:b/>
        </w:rPr>
        <w:t>_______________________</w:t>
      </w:r>
    </w:p>
    <w:p w:rsidR="009127C0" w:rsidRDefault="009127C0" w:rsidP="005D1286">
      <w:pPr>
        <w:jc w:val="center"/>
      </w:pPr>
    </w:p>
    <w:p w:rsidR="00004426" w:rsidRDefault="009127C0">
      <w:pPr>
        <w:rPr>
          <w:rFonts w:ascii="Book Antiqua" w:hAnsi="Book Antiqua"/>
        </w:rPr>
      </w:pPr>
      <w:r>
        <w:rPr>
          <w:rFonts w:ascii="Book Antiqua" w:hAnsi="Book Antiqua"/>
        </w:rPr>
        <w:t xml:space="preserve">1. The Respondent is a national of Cameroon, born in January 1985. He last arrived in the United Kingdom on </w:t>
      </w:r>
      <w:r w:rsidR="0006570A">
        <w:rPr>
          <w:rFonts w:ascii="Book Antiqua" w:hAnsi="Book Antiqua"/>
        </w:rPr>
        <w:t xml:space="preserve">21 February 2013 and was granted further leave to remain </w:t>
      </w:r>
      <w:r w:rsidR="002A41D2">
        <w:rPr>
          <w:rFonts w:ascii="Book Antiqua" w:hAnsi="Book Antiqua"/>
        </w:rPr>
        <w:t>until 24 November 2015. This leave was curtailed due to the fact that the licence at his college was revoked but he was granted further leave until 4 October 2016. The Appellant claimed asylum on that date, on the basis of a feud</w:t>
      </w:r>
      <w:r w:rsidR="00004426">
        <w:rPr>
          <w:rFonts w:ascii="Book Antiqua" w:hAnsi="Book Antiqua"/>
        </w:rPr>
        <w:t xml:space="preserve"> with the elders of his village, as a result of his bringing a court case which found in his favour as his father’s rightful heir. The Respondent received death threats after the Court decision in 2009 and was attached in March 2010 resulting in hospitalisation. He was advised to come to the United </w:t>
      </w:r>
      <w:r w:rsidR="00004426">
        <w:rPr>
          <w:rFonts w:ascii="Book Antiqua" w:hAnsi="Book Antiqua"/>
        </w:rPr>
        <w:lastRenderedPageBreak/>
        <w:t xml:space="preserve">Kingdom but on his return to Cameroon in February 2012 he was again attacked an injured as a result of which he relocated to </w:t>
      </w:r>
      <w:proofErr w:type="spellStart"/>
      <w:r w:rsidR="00004426">
        <w:rPr>
          <w:rFonts w:ascii="Book Antiqua" w:hAnsi="Book Antiqua"/>
        </w:rPr>
        <w:t>Soa</w:t>
      </w:r>
      <w:proofErr w:type="spellEnd"/>
      <w:r w:rsidR="00004426">
        <w:rPr>
          <w:rFonts w:ascii="Book Antiqua" w:hAnsi="Book Antiqua"/>
        </w:rPr>
        <w:t xml:space="preserve"> for 7 months and applied to return to the United Kingdom. On Christmas Eve 2012 his sister was raped by individuals seeking him. The Appellant relocated to </w:t>
      </w:r>
      <w:proofErr w:type="spellStart"/>
      <w:r w:rsidR="00004426">
        <w:rPr>
          <w:rFonts w:ascii="Book Antiqua" w:hAnsi="Book Antiqua"/>
        </w:rPr>
        <w:t>Biteng</w:t>
      </w:r>
      <w:proofErr w:type="spellEnd"/>
      <w:r w:rsidR="00004426">
        <w:rPr>
          <w:rFonts w:ascii="Book Antiqua" w:hAnsi="Book Antiqua"/>
        </w:rPr>
        <w:t xml:space="preserve"> and returned to the United Kingdom in February 2013. He stated that he had sought police help but nothing was done. His mother has been missing since June 2016.</w:t>
      </w:r>
    </w:p>
    <w:p w:rsidR="00004426" w:rsidRDefault="00004426">
      <w:pPr>
        <w:rPr>
          <w:rFonts w:ascii="Book Antiqua" w:hAnsi="Book Antiqua"/>
        </w:rPr>
      </w:pPr>
    </w:p>
    <w:p w:rsidR="00004426" w:rsidRDefault="00004426">
      <w:pPr>
        <w:rPr>
          <w:rFonts w:ascii="Book Antiqua" w:hAnsi="Book Antiqua"/>
        </w:rPr>
      </w:pPr>
      <w:r>
        <w:rPr>
          <w:rFonts w:ascii="Book Antiqua" w:hAnsi="Book Antiqua"/>
        </w:rPr>
        <w:t xml:space="preserve">2. The asylum application was refused by the Secretary of State in a decision dated 27 March 2017. He appealed against that decision and his appeal came before First </w:t>
      </w:r>
      <w:proofErr w:type="gramStart"/>
      <w:r>
        <w:rPr>
          <w:rFonts w:ascii="Book Antiqua" w:hAnsi="Book Antiqua"/>
        </w:rPr>
        <w:t>tier</w:t>
      </w:r>
      <w:proofErr w:type="gramEnd"/>
      <w:r>
        <w:rPr>
          <w:rFonts w:ascii="Book Antiqua" w:hAnsi="Book Antiqua"/>
        </w:rPr>
        <w:t xml:space="preserve"> Tribunal Judge Saunders for hearing on 13 November 2017. In a decision promulgated on 20 December 2017 the appeal was allowed. The Secretary of State sought permission to appeal, in time, on the basis that the Judge had erred materially in law in failing to give adequate reasons for the findings on internal relocation and sufficiency of protection and the Appellant’s credibility. Permission to appeal to the Upper Tribunal was granted in a decision dated 6 February 2018 by First </w:t>
      </w:r>
      <w:proofErr w:type="gramStart"/>
      <w:r>
        <w:rPr>
          <w:rFonts w:ascii="Book Antiqua" w:hAnsi="Book Antiqua"/>
        </w:rPr>
        <w:t>tier</w:t>
      </w:r>
      <w:proofErr w:type="gramEnd"/>
      <w:r>
        <w:rPr>
          <w:rFonts w:ascii="Book Antiqua" w:hAnsi="Book Antiqua"/>
        </w:rPr>
        <w:t xml:space="preserve"> Tribunal Judge Ford solely in respect of the first ground of appeal.</w:t>
      </w:r>
    </w:p>
    <w:p w:rsidR="00004426" w:rsidRDefault="00004426">
      <w:pPr>
        <w:rPr>
          <w:rFonts w:ascii="Book Antiqua" w:hAnsi="Book Antiqua"/>
        </w:rPr>
      </w:pPr>
    </w:p>
    <w:p w:rsidR="00004426" w:rsidRDefault="00004426">
      <w:pPr>
        <w:rPr>
          <w:rFonts w:ascii="Book Antiqua" w:hAnsi="Book Antiqua"/>
        </w:rPr>
      </w:pPr>
      <w:r>
        <w:rPr>
          <w:rFonts w:ascii="Book Antiqua" w:hAnsi="Book Antiqua"/>
          <w:i/>
        </w:rPr>
        <w:t>Hearing</w:t>
      </w:r>
    </w:p>
    <w:p w:rsidR="00004426" w:rsidRDefault="00004426">
      <w:pPr>
        <w:rPr>
          <w:rFonts w:ascii="Book Antiqua" w:hAnsi="Book Antiqua"/>
        </w:rPr>
      </w:pPr>
    </w:p>
    <w:p w:rsidR="00004426" w:rsidRDefault="00004426" w:rsidP="00004426">
      <w:pPr>
        <w:rPr>
          <w:rFonts w:ascii="Book Antiqua" w:hAnsi="Book Antiqua"/>
        </w:rPr>
      </w:pPr>
      <w:r>
        <w:rPr>
          <w:rFonts w:ascii="Book Antiqua" w:hAnsi="Book Antiqua"/>
        </w:rPr>
        <w:t>3. At the hearing before me, Mr Melvin on behalf of the Secretary of State submitted that the Judge’s finding at [32] concerned the issue of internal relocation and found that it would neither be reasonable nor safe for the Resp</w:t>
      </w:r>
      <w:r w:rsidR="00030338">
        <w:rPr>
          <w:rFonts w:ascii="Book Antiqua" w:hAnsi="Book Antiqua"/>
        </w:rPr>
        <w:t xml:space="preserve">ondent to internally relocate, without </w:t>
      </w:r>
      <w:r>
        <w:rPr>
          <w:rFonts w:ascii="Book Antiqua" w:hAnsi="Book Antiqua"/>
        </w:rPr>
        <w:t>reveal</w:t>
      </w:r>
      <w:r w:rsidR="00030338">
        <w:rPr>
          <w:rFonts w:ascii="Book Antiqua" w:hAnsi="Book Antiqua"/>
        </w:rPr>
        <w:t xml:space="preserve">ing his whereabouts. He submitted that the </w:t>
      </w:r>
      <w:r>
        <w:rPr>
          <w:rFonts w:ascii="Book Antiqua" w:hAnsi="Book Antiqua"/>
        </w:rPr>
        <w:t xml:space="preserve">Judge has not addressed the issue of </w:t>
      </w:r>
      <w:r w:rsidR="00030338">
        <w:rPr>
          <w:rFonts w:ascii="Book Antiqua" w:hAnsi="Book Antiqua"/>
        </w:rPr>
        <w:t>relocation to Douala and that there had been</w:t>
      </w:r>
      <w:r>
        <w:rPr>
          <w:rFonts w:ascii="Book Antiqua" w:hAnsi="Book Antiqua"/>
        </w:rPr>
        <w:t xml:space="preserve"> no consideration of whether particular tribesmen would seek him out in Cameroon and whether elders of the tribe have any power outside the home area. </w:t>
      </w:r>
      <w:r w:rsidR="00030338">
        <w:rPr>
          <w:rFonts w:ascii="Book Antiqua" w:hAnsi="Book Antiqua"/>
        </w:rPr>
        <w:t xml:space="preserve">Mr Melvin submitted that the Judge’s findings </w:t>
      </w:r>
      <w:r>
        <w:rPr>
          <w:rFonts w:ascii="Book Antiqua" w:hAnsi="Book Antiqua"/>
        </w:rPr>
        <w:t xml:space="preserve">on reasonableness are legally flawed on this particular point. </w:t>
      </w:r>
      <w:r w:rsidR="00030338">
        <w:rPr>
          <w:rFonts w:ascii="Book Antiqua" w:hAnsi="Book Antiqua"/>
        </w:rPr>
        <w:t>He submitted that n</w:t>
      </w:r>
      <w:r>
        <w:rPr>
          <w:rFonts w:ascii="Book Antiqua" w:hAnsi="Book Antiqua"/>
        </w:rPr>
        <w:t xml:space="preserve">o reasons </w:t>
      </w:r>
      <w:r w:rsidR="00030338">
        <w:rPr>
          <w:rFonts w:ascii="Book Antiqua" w:hAnsi="Book Antiqua"/>
        </w:rPr>
        <w:t xml:space="preserve">had been </w:t>
      </w:r>
      <w:r>
        <w:rPr>
          <w:rFonts w:ascii="Book Antiqua" w:hAnsi="Book Antiqua"/>
        </w:rPr>
        <w:t xml:space="preserve">given </w:t>
      </w:r>
      <w:r w:rsidR="00030338">
        <w:rPr>
          <w:rFonts w:ascii="Book Antiqua" w:hAnsi="Book Antiqua"/>
        </w:rPr>
        <w:t>as to why the Respondent</w:t>
      </w:r>
      <w:r>
        <w:rPr>
          <w:rFonts w:ascii="Book Antiqua" w:hAnsi="Book Antiqua"/>
        </w:rPr>
        <w:t xml:space="preserve"> cannot </w:t>
      </w:r>
      <w:r w:rsidR="00030338">
        <w:rPr>
          <w:rFonts w:ascii="Book Antiqua" w:hAnsi="Book Antiqua"/>
        </w:rPr>
        <w:t>re-</w:t>
      </w:r>
      <w:r>
        <w:rPr>
          <w:rFonts w:ascii="Book Antiqua" w:hAnsi="Book Antiqua"/>
        </w:rPr>
        <w:t>e</w:t>
      </w:r>
      <w:r w:rsidR="00030338">
        <w:rPr>
          <w:rFonts w:ascii="Book Antiqua" w:hAnsi="Book Antiqua"/>
        </w:rPr>
        <w:t>stablish himself, given that h</w:t>
      </w:r>
      <w:r>
        <w:rPr>
          <w:rFonts w:ascii="Book Antiqua" w:hAnsi="Book Antiqua"/>
        </w:rPr>
        <w:t>e has c</w:t>
      </w:r>
      <w:r w:rsidR="00030338">
        <w:rPr>
          <w:rFonts w:ascii="Book Antiqua" w:hAnsi="Book Antiqua"/>
        </w:rPr>
        <w:t>onsiderable assets in Cameroon and</w:t>
      </w:r>
      <w:r>
        <w:rPr>
          <w:rFonts w:ascii="Book Antiqua" w:hAnsi="Book Antiqua"/>
        </w:rPr>
        <w:t xml:space="preserve"> a considerable length of time has passed – 5 years – since the atte</w:t>
      </w:r>
      <w:r w:rsidR="00030338">
        <w:rPr>
          <w:rFonts w:ascii="Book Antiqua" w:hAnsi="Book Antiqua"/>
        </w:rPr>
        <w:t>mpt by the tribe to murder him. He submitted that</w:t>
      </w:r>
      <w:r>
        <w:rPr>
          <w:rFonts w:ascii="Book Antiqua" w:hAnsi="Book Antiqua"/>
        </w:rPr>
        <w:t xml:space="preserve"> little reason has been given why this should</w:t>
      </w:r>
      <w:r w:rsidR="00030338">
        <w:rPr>
          <w:rFonts w:ascii="Book Antiqua" w:hAnsi="Book Antiqua"/>
        </w:rPr>
        <w:t xml:space="preserve"> no</w:t>
      </w:r>
      <w:r>
        <w:rPr>
          <w:rFonts w:ascii="Book Antiqua" w:hAnsi="Book Antiqua"/>
        </w:rPr>
        <w:t>t be included in the assessment of internal rel</w:t>
      </w:r>
      <w:r w:rsidR="00030338">
        <w:rPr>
          <w:rFonts w:ascii="Book Antiqua" w:hAnsi="Book Antiqua"/>
        </w:rPr>
        <w:t xml:space="preserve">ocation and sufficiency of protection. He submitted that </w:t>
      </w:r>
      <w:r>
        <w:rPr>
          <w:rFonts w:ascii="Book Antiqua" w:hAnsi="Book Antiqua"/>
        </w:rPr>
        <w:t xml:space="preserve">the police in the capital </w:t>
      </w:r>
      <w:r w:rsidR="00030338">
        <w:rPr>
          <w:rFonts w:ascii="Book Antiqua" w:hAnsi="Book Antiqua"/>
        </w:rPr>
        <w:t>may</w:t>
      </w:r>
      <w:r>
        <w:rPr>
          <w:rFonts w:ascii="Book Antiqua" w:hAnsi="Book Antiqua"/>
        </w:rPr>
        <w:t xml:space="preserve"> behave differently </w:t>
      </w:r>
      <w:r w:rsidR="00030338">
        <w:rPr>
          <w:rFonts w:ascii="Book Antiqua" w:hAnsi="Book Antiqua"/>
        </w:rPr>
        <w:t>if the Respondent sought protection from them but the Judge’s</w:t>
      </w:r>
      <w:r>
        <w:rPr>
          <w:rFonts w:ascii="Book Antiqua" w:hAnsi="Book Antiqua"/>
        </w:rPr>
        <w:t xml:space="preserve"> consideration</w:t>
      </w:r>
      <w:r w:rsidR="00030338">
        <w:rPr>
          <w:rFonts w:ascii="Book Antiqua" w:hAnsi="Book Antiqua"/>
        </w:rPr>
        <w:t xml:space="preserve"> is confined to the home area. Mr Melvin submitted that this</w:t>
      </w:r>
      <w:r>
        <w:rPr>
          <w:rFonts w:ascii="Book Antiqua" w:hAnsi="Book Antiqua"/>
        </w:rPr>
        <w:t xml:space="preserve"> is</w:t>
      </w:r>
      <w:r w:rsidR="00030338">
        <w:rPr>
          <w:rFonts w:ascii="Book Antiqua" w:hAnsi="Book Antiqua"/>
        </w:rPr>
        <w:t xml:space="preserve"> a</w:t>
      </w:r>
      <w:r>
        <w:rPr>
          <w:rFonts w:ascii="Book Antiqua" w:hAnsi="Book Antiqua"/>
        </w:rPr>
        <w:t xml:space="preserve"> material </w:t>
      </w:r>
      <w:r w:rsidR="00030338">
        <w:rPr>
          <w:rFonts w:ascii="Book Antiqua" w:hAnsi="Book Antiqua"/>
        </w:rPr>
        <w:t xml:space="preserve">error </w:t>
      </w:r>
      <w:r>
        <w:rPr>
          <w:rFonts w:ascii="Book Antiqua" w:hAnsi="Book Antiqua"/>
        </w:rPr>
        <w:t>and the Judge has not considered properly internal relocatio</w:t>
      </w:r>
      <w:r w:rsidR="00030338">
        <w:rPr>
          <w:rFonts w:ascii="Book Antiqua" w:hAnsi="Book Antiqua"/>
        </w:rPr>
        <w:t>n. He further submitted that there are</w:t>
      </w:r>
      <w:r>
        <w:rPr>
          <w:rFonts w:ascii="Book Antiqua" w:hAnsi="Book Antiqua"/>
        </w:rPr>
        <w:t xml:space="preserve"> numerous cities of over 1 million people and </w:t>
      </w:r>
      <w:r w:rsidR="00030338">
        <w:rPr>
          <w:rFonts w:ascii="Book Antiqua" w:hAnsi="Book Antiqua"/>
        </w:rPr>
        <w:t xml:space="preserve">this was </w:t>
      </w:r>
      <w:r>
        <w:rPr>
          <w:rFonts w:ascii="Book Antiqua" w:hAnsi="Book Antiqua"/>
        </w:rPr>
        <w:t xml:space="preserve">not considered by the Judge. </w:t>
      </w:r>
    </w:p>
    <w:p w:rsidR="00004426" w:rsidRDefault="00004426" w:rsidP="00004426">
      <w:pPr>
        <w:rPr>
          <w:rFonts w:ascii="Book Antiqua" w:hAnsi="Book Antiqua"/>
        </w:rPr>
      </w:pPr>
    </w:p>
    <w:p w:rsidR="00912EB5" w:rsidRDefault="00030338" w:rsidP="00912EB5">
      <w:pPr>
        <w:rPr>
          <w:rFonts w:ascii="Book Antiqua" w:hAnsi="Book Antiqua"/>
        </w:rPr>
      </w:pPr>
      <w:r>
        <w:rPr>
          <w:rFonts w:ascii="Book Antiqua" w:hAnsi="Book Antiqua"/>
        </w:rPr>
        <w:t xml:space="preserve">4. In his submissions, </w:t>
      </w:r>
      <w:r w:rsidR="00912EB5">
        <w:rPr>
          <w:rFonts w:ascii="Book Antiqua" w:hAnsi="Book Antiqua"/>
        </w:rPr>
        <w:t xml:space="preserve">Mr </w:t>
      </w:r>
      <w:proofErr w:type="spellStart"/>
      <w:r w:rsidR="00912EB5">
        <w:rPr>
          <w:rFonts w:ascii="Book Antiqua" w:hAnsi="Book Antiqua"/>
        </w:rPr>
        <w:t>Komus</w:t>
      </w:r>
      <w:r w:rsidR="00004426">
        <w:rPr>
          <w:rFonts w:ascii="Book Antiqua" w:hAnsi="Book Antiqua"/>
        </w:rPr>
        <w:t>anac</w:t>
      </w:r>
      <w:proofErr w:type="spellEnd"/>
      <w:r>
        <w:rPr>
          <w:rFonts w:ascii="Book Antiqua" w:hAnsi="Book Antiqua"/>
        </w:rPr>
        <w:t xml:space="preserve"> </w:t>
      </w:r>
      <w:r w:rsidR="006B30CF">
        <w:rPr>
          <w:rFonts w:ascii="Book Antiqua" w:hAnsi="Book Antiqua"/>
        </w:rPr>
        <w:t xml:space="preserve">relied on his skeleton argument and </w:t>
      </w:r>
      <w:r>
        <w:rPr>
          <w:rFonts w:ascii="Book Antiqua" w:hAnsi="Book Antiqua"/>
        </w:rPr>
        <w:t>submitted that a</w:t>
      </w:r>
      <w:r w:rsidR="00004426">
        <w:rPr>
          <w:rFonts w:ascii="Book Antiqua" w:hAnsi="Book Antiqua"/>
        </w:rPr>
        <w:t>t [32] the Judge mad</w:t>
      </w:r>
      <w:r>
        <w:rPr>
          <w:rFonts w:ascii="Book Antiqua" w:hAnsi="Book Antiqua"/>
        </w:rPr>
        <w:t xml:space="preserve">e sustainable findings of fact. She </w:t>
      </w:r>
      <w:r w:rsidR="00004426">
        <w:rPr>
          <w:rFonts w:ascii="Book Antiqua" w:hAnsi="Book Antiqua"/>
        </w:rPr>
        <w:t xml:space="preserve">accepted </w:t>
      </w:r>
      <w:r>
        <w:rPr>
          <w:rFonts w:ascii="Book Antiqua" w:hAnsi="Book Antiqua"/>
        </w:rPr>
        <w:t>the evidence the Respondent</w:t>
      </w:r>
      <w:r w:rsidR="00004426">
        <w:rPr>
          <w:rFonts w:ascii="Book Antiqua" w:hAnsi="Book Antiqua"/>
        </w:rPr>
        <w:t xml:space="preserve"> provided</w:t>
      </w:r>
      <w:r>
        <w:rPr>
          <w:rFonts w:ascii="Book Antiqua" w:hAnsi="Book Antiqua"/>
        </w:rPr>
        <w:t>,</w:t>
      </w:r>
      <w:r w:rsidR="00004426">
        <w:rPr>
          <w:rFonts w:ascii="Book Antiqua" w:hAnsi="Book Antiqua"/>
        </w:rPr>
        <w:t xml:space="preserve"> including the fact that he is the legal heir to his father and relocated </w:t>
      </w:r>
      <w:r>
        <w:rPr>
          <w:rFonts w:ascii="Book Antiqua" w:hAnsi="Book Antiqua"/>
        </w:rPr>
        <w:t>within Cameroon three</w:t>
      </w:r>
      <w:r w:rsidR="00004426">
        <w:rPr>
          <w:rFonts w:ascii="Book Antiqua" w:hAnsi="Book Antiqua"/>
        </w:rPr>
        <w:t xml:space="preserve"> times and </w:t>
      </w:r>
      <w:r w:rsidR="00004426">
        <w:rPr>
          <w:rFonts w:ascii="Book Antiqua" w:hAnsi="Book Antiqua"/>
        </w:rPr>
        <w:lastRenderedPageBreak/>
        <w:t xml:space="preserve">was not able to relocate safely. </w:t>
      </w:r>
      <w:r>
        <w:rPr>
          <w:rFonts w:ascii="Book Antiqua" w:hAnsi="Book Antiqua"/>
        </w:rPr>
        <w:t>The Judge further c</w:t>
      </w:r>
      <w:r w:rsidR="00004426">
        <w:rPr>
          <w:rFonts w:ascii="Book Antiqua" w:hAnsi="Book Antiqua"/>
        </w:rPr>
        <w:t>onsi</w:t>
      </w:r>
      <w:r>
        <w:rPr>
          <w:rFonts w:ascii="Book Antiqua" w:hAnsi="Book Antiqua"/>
        </w:rPr>
        <w:t>dered the medical evidence the Respondent</w:t>
      </w:r>
      <w:r w:rsidR="00004426">
        <w:rPr>
          <w:rFonts w:ascii="Book Antiqua" w:hAnsi="Book Antiqua"/>
        </w:rPr>
        <w:t xml:space="preserve"> provided </w:t>
      </w:r>
      <w:r w:rsidR="00912EB5">
        <w:rPr>
          <w:rFonts w:ascii="Book Antiqua" w:hAnsi="Book Antiqua"/>
        </w:rPr>
        <w:t>and found that the evidence of the Respondent</w:t>
      </w:r>
      <w:r w:rsidR="00004426">
        <w:rPr>
          <w:rFonts w:ascii="Book Antiqua" w:hAnsi="Book Antiqua"/>
        </w:rPr>
        <w:t xml:space="preserve"> was consistent with his claim. </w:t>
      </w:r>
      <w:r w:rsidR="00912EB5">
        <w:rPr>
          <w:rFonts w:ascii="Book Antiqua" w:hAnsi="Book Antiqua"/>
        </w:rPr>
        <w:t>He submitted that the test was that set out in</w:t>
      </w:r>
      <w:r w:rsidR="00004426">
        <w:rPr>
          <w:rFonts w:ascii="Book Antiqua" w:hAnsi="Book Antiqua"/>
        </w:rPr>
        <w:t xml:space="preserve"> </w:t>
      </w:r>
      <w:proofErr w:type="spellStart"/>
      <w:r w:rsidR="00004426" w:rsidRPr="00912EB5">
        <w:rPr>
          <w:rFonts w:ascii="Book Antiqua" w:hAnsi="Book Antiqua"/>
          <w:u w:val="single"/>
        </w:rPr>
        <w:t>Januzi</w:t>
      </w:r>
      <w:proofErr w:type="spellEnd"/>
      <w:r w:rsidR="00004426" w:rsidRPr="00912EB5">
        <w:rPr>
          <w:rFonts w:ascii="Book Antiqua" w:hAnsi="Book Antiqua"/>
          <w:u w:val="single"/>
        </w:rPr>
        <w:t xml:space="preserve"> </w:t>
      </w:r>
      <w:r w:rsidR="00912EB5">
        <w:rPr>
          <w:rFonts w:ascii="Book Antiqua" w:hAnsi="Book Antiqua"/>
        </w:rPr>
        <w:t xml:space="preserve">[2006] UKHL 5 </w:t>
      </w:r>
      <w:proofErr w:type="gramStart"/>
      <w:r w:rsidR="005D1286">
        <w:rPr>
          <w:rFonts w:ascii="Book Antiqua" w:hAnsi="Book Antiqua"/>
        </w:rPr>
        <w:t>i.e.</w:t>
      </w:r>
      <w:r w:rsidR="00912EB5">
        <w:rPr>
          <w:rFonts w:ascii="Book Antiqua" w:hAnsi="Book Antiqua"/>
        </w:rPr>
        <w:t>.</w:t>
      </w:r>
      <w:proofErr w:type="gramEnd"/>
      <w:r w:rsidR="00912EB5">
        <w:rPr>
          <w:rFonts w:ascii="Book Antiqua" w:hAnsi="Book Antiqua"/>
        </w:rPr>
        <w:t xml:space="preserve"> </w:t>
      </w:r>
      <w:r w:rsidR="00004426">
        <w:rPr>
          <w:rFonts w:ascii="Book Antiqua" w:hAnsi="Book Antiqua"/>
        </w:rPr>
        <w:t>would it be unduly harsh</w:t>
      </w:r>
      <w:r w:rsidR="00912EB5">
        <w:rPr>
          <w:rFonts w:ascii="Book Antiqua" w:hAnsi="Book Antiqua"/>
        </w:rPr>
        <w:t xml:space="preserve"> to expect him to internally </w:t>
      </w:r>
      <w:proofErr w:type="gramStart"/>
      <w:r w:rsidR="00912EB5">
        <w:rPr>
          <w:rFonts w:ascii="Book Antiqua" w:hAnsi="Book Antiqua"/>
        </w:rPr>
        <w:t>relocate</w:t>
      </w:r>
      <w:r w:rsidR="00004426">
        <w:rPr>
          <w:rFonts w:ascii="Book Antiqua" w:hAnsi="Book Antiqua"/>
        </w:rPr>
        <w:t>.</w:t>
      </w:r>
      <w:proofErr w:type="gramEnd"/>
      <w:r w:rsidR="00004426">
        <w:rPr>
          <w:rFonts w:ascii="Book Antiqua" w:hAnsi="Book Antiqua"/>
        </w:rPr>
        <w:t xml:space="preserve"> On that basis the Judge made sustainable findings of fact </w:t>
      </w:r>
      <w:r w:rsidR="00912EB5">
        <w:rPr>
          <w:rFonts w:ascii="Book Antiqua" w:hAnsi="Book Antiqua"/>
        </w:rPr>
        <w:t xml:space="preserve">that </w:t>
      </w:r>
      <w:r w:rsidR="00004426">
        <w:rPr>
          <w:rFonts w:ascii="Book Antiqua" w:hAnsi="Book Antiqua"/>
        </w:rPr>
        <w:t xml:space="preserve">it would not be reasonable. </w:t>
      </w:r>
      <w:r w:rsidR="00D25BB8">
        <w:rPr>
          <w:rFonts w:ascii="Book Antiqua" w:hAnsi="Book Antiqua"/>
        </w:rPr>
        <w:t xml:space="preserve">Mr </w:t>
      </w:r>
      <w:proofErr w:type="spellStart"/>
      <w:r w:rsidR="00D25BB8">
        <w:rPr>
          <w:rFonts w:ascii="Book Antiqua" w:hAnsi="Book Antiqua"/>
        </w:rPr>
        <w:t>Komusanac</w:t>
      </w:r>
      <w:proofErr w:type="spellEnd"/>
      <w:r w:rsidR="00912EB5">
        <w:rPr>
          <w:rFonts w:ascii="Book Antiqua" w:hAnsi="Book Antiqua"/>
        </w:rPr>
        <w:t xml:space="preserve"> submitted that in the far north of the country there were kidnaps of civilians [B1 page 74] and that the Respondent had</w:t>
      </w:r>
      <w:r w:rsidR="00004426">
        <w:rPr>
          <w:rFonts w:ascii="Book Antiqua" w:hAnsi="Book Antiqua"/>
        </w:rPr>
        <w:t xml:space="preserve"> no social network outside the area and would </w:t>
      </w:r>
      <w:r w:rsidR="00912EB5">
        <w:rPr>
          <w:rFonts w:ascii="Book Antiqua" w:hAnsi="Book Antiqua"/>
        </w:rPr>
        <w:t xml:space="preserve">have no access to accommodation. The Respondent’s evidence was that </w:t>
      </w:r>
      <w:r w:rsidR="00004426">
        <w:rPr>
          <w:rFonts w:ascii="Book Antiqua" w:hAnsi="Book Antiqua"/>
        </w:rPr>
        <w:t xml:space="preserve">he would not be able to live in Douala </w:t>
      </w:r>
      <w:r w:rsidR="00912EB5">
        <w:rPr>
          <w:rFonts w:ascii="Book Antiqua" w:hAnsi="Book Antiqua"/>
        </w:rPr>
        <w:t xml:space="preserve">and the Judge at </w:t>
      </w:r>
      <w:r w:rsidR="00004426">
        <w:rPr>
          <w:rFonts w:ascii="Book Antiqua" w:hAnsi="Book Antiqua"/>
        </w:rPr>
        <w:t xml:space="preserve">[32] </w:t>
      </w:r>
      <w:r w:rsidR="00912EB5">
        <w:rPr>
          <w:rFonts w:ascii="Book Antiqua" w:hAnsi="Book Antiqua"/>
        </w:rPr>
        <w:t xml:space="preserve">found that </w:t>
      </w:r>
      <w:r w:rsidR="00004426">
        <w:rPr>
          <w:rFonts w:ascii="Book Antiqua" w:hAnsi="Book Antiqua"/>
        </w:rPr>
        <w:t>if the</w:t>
      </w:r>
      <w:r w:rsidR="00912EB5">
        <w:rPr>
          <w:rFonts w:ascii="Book Antiqua" w:hAnsi="Book Antiqua"/>
        </w:rPr>
        <w:t xml:space="preserve"> Respondent</w:t>
      </w:r>
      <w:r w:rsidR="00004426">
        <w:rPr>
          <w:rFonts w:ascii="Book Antiqua" w:hAnsi="Book Antiqua"/>
        </w:rPr>
        <w:t xml:space="preserve"> went to manage or use his assets he would be at risk</w:t>
      </w:r>
      <w:r w:rsidR="00912EB5">
        <w:rPr>
          <w:rFonts w:ascii="Book Antiqua" w:hAnsi="Book Antiqua"/>
        </w:rPr>
        <w:t xml:space="preserve"> there</w:t>
      </w:r>
      <w:r w:rsidR="00004426">
        <w:rPr>
          <w:rFonts w:ascii="Book Antiqua" w:hAnsi="Book Antiqua"/>
        </w:rPr>
        <w:t>. If</w:t>
      </w:r>
      <w:r w:rsidR="00912EB5">
        <w:rPr>
          <w:rFonts w:ascii="Book Antiqua" w:hAnsi="Book Antiqua"/>
        </w:rPr>
        <w:t xml:space="preserve"> he would be unable to do that they he could not use family assets, given that his a</w:t>
      </w:r>
      <w:r w:rsidR="00004426">
        <w:rPr>
          <w:rFonts w:ascii="Book Antiqua" w:hAnsi="Book Antiqua"/>
        </w:rPr>
        <w:t>ssets a</w:t>
      </w:r>
      <w:r w:rsidR="00912EB5">
        <w:rPr>
          <w:rFonts w:ascii="Book Antiqua" w:hAnsi="Book Antiqua"/>
        </w:rPr>
        <w:t xml:space="preserve">re in the </w:t>
      </w:r>
      <w:proofErr w:type="spellStart"/>
      <w:r w:rsidR="00912EB5">
        <w:rPr>
          <w:rFonts w:ascii="Book Antiqua" w:hAnsi="Book Antiqua"/>
        </w:rPr>
        <w:t>Yaounde</w:t>
      </w:r>
      <w:proofErr w:type="spellEnd"/>
      <w:r w:rsidR="00912EB5">
        <w:rPr>
          <w:rFonts w:ascii="Book Antiqua" w:hAnsi="Book Antiqua"/>
        </w:rPr>
        <w:t xml:space="preserve"> area broadly. Mr </w:t>
      </w:r>
      <w:proofErr w:type="spellStart"/>
      <w:r w:rsidR="00912EB5">
        <w:rPr>
          <w:rFonts w:ascii="Book Antiqua" w:hAnsi="Book Antiqua"/>
        </w:rPr>
        <w:t>Komusanac</w:t>
      </w:r>
      <w:proofErr w:type="spellEnd"/>
      <w:r w:rsidR="00912EB5">
        <w:rPr>
          <w:rFonts w:ascii="Book Antiqua" w:hAnsi="Book Antiqua"/>
        </w:rPr>
        <w:t xml:space="preserve"> submitted that the Judge found that the Respondent could not have a relatively normal life without undue hardship and that the appeal by the Secretary of State should be dismissed.</w:t>
      </w:r>
    </w:p>
    <w:p w:rsidR="00004426" w:rsidRDefault="00004426" w:rsidP="00004426">
      <w:pPr>
        <w:rPr>
          <w:rFonts w:ascii="Book Antiqua" w:hAnsi="Book Antiqua"/>
        </w:rPr>
      </w:pPr>
    </w:p>
    <w:p w:rsidR="00004426" w:rsidRDefault="00912EB5" w:rsidP="00004426">
      <w:pPr>
        <w:rPr>
          <w:rFonts w:ascii="Book Antiqua" w:hAnsi="Book Antiqua"/>
        </w:rPr>
      </w:pPr>
      <w:r>
        <w:rPr>
          <w:rFonts w:ascii="Book Antiqua" w:hAnsi="Book Antiqua"/>
        </w:rPr>
        <w:t xml:space="preserve">5. In reply, </w:t>
      </w:r>
      <w:r w:rsidR="00004426">
        <w:rPr>
          <w:rFonts w:ascii="Book Antiqua" w:hAnsi="Book Antiqua"/>
        </w:rPr>
        <w:t>Mr Melvin</w:t>
      </w:r>
      <w:r>
        <w:rPr>
          <w:rFonts w:ascii="Book Antiqua" w:hAnsi="Book Antiqua"/>
        </w:rPr>
        <w:t xml:space="preserve"> submitted that all the major cities are</w:t>
      </w:r>
      <w:r w:rsidR="00004426">
        <w:rPr>
          <w:rFonts w:ascii="Book Antiqua" w:hAnsi="Book Antiqua"/>
        </w:rPr>
        <w:t xml:space="preserve"> in the south of Cameroon </w:t>
      </w:r>
      <w:r>
        <w:rPr>
          <w:rFonts w:ascii="Book Antiqua" w:hAnsi="Book Antiqua"/>
        </w:rPr>
        <w:t xml:space="preserve">and there was </w:t>
      </w:r>
      <w:r w:rsidR="00004426">
        <w:rPr>
          <w:rFonts w:ascii="Book Antiqua" w:hAnsi="Book Antiqua"/>
        </w:rPr>
        <w:t>no evidence of Boko Haram burning down the buildings in those cities.</w:t>
      </w:r>
      <w:r>
        <w:rPr>
          <w:rFonts w:ascii="Book Antiqua" w:hAnsi="Book Antiqua"/>
        </w:rPr>
        <w:t xml:space="preserve"> He submitted that the Respondent </w:t>
      </w:r>
      <w:r w:rsidR="00004426">
        <w:rPr>
          <w:rFonts w:ascii="Book Antiqua" w:hAnsi="Book Antiqua"/>
        </w:rPr>
        <w:t xml:space="preserve">would have access </w:t>
      </w:r>
      <w:r>
        <w:rPr>
          <w:rFonts w:ascii="Book Antiqua" w:hAnsi="Book Antiqua"/>
        </w:rPr>
        <w:t>to wealth via his grandmother. He reiterated that the Secretary of State</w:t>
      </w:r>
      <w:r w:rsidR="00004426">
        <w:rPr>
          <w:rFonts w:ascii="Book Antiqua" w:hAnsi="Book Antiqua"/>
        </w:rPr>
        <w:t>’s position is that he could internally reloca</w:t>
      </w:r>
      <w:r>
        <w:rPr>
          <w:rFonts w:ascii="Book Antiqua" w:hAnsi="Book Antiqua"/>
        </w:rPr>
        <w:t>te to another city in the south and that there was a l</w:t>
      </w:r>
      <w:r w:rsidR="00004426">
        <w:rPr>
          <w:rFonts w:ascii="Book Antiqua" w:hAnsi="Book Antiqua"/>
        </w:rPr>
        <w:t>ack of consideration of sufficiency of protection or internal relocation</w:t>
      </w:r>
      <w:r>
        <w:rPr>
          <w:rFonts w:ascii="Book Antiqua" w:hAnsi="Book Antiqua"/>
        </w:rPr>
        <w:t xml:space="preserve"> to Douala in the Judge’s decision.</w:t>
      </w:r>
    </w:p>
    <w:p w:rsidR="00004426" w:rsidRDefault="00004426" w:rsidP="00004426">
      <w:pPr>
        <w:rPr>
          <w:rFonts w:ascii="Book Antiqua" w:hAnsi="Book Antiqua"/>
        </w:rPr>
      </w:pPr>
    </w:p>
    <w:p w:rsidR="00912EB5" w:rsidRDefault="00912EB5" w:rsidP="00004426">
      <w:pPr>
        <w:rPr>
          <w:rFonts w:ascii="Book Antiqua" w:hAnsi="Book Antiqua"/>
        </w:rPr>
      </w:pPr>
      <w:r>
        <w:rPr>
          <w:rFonts w:ascii="Book Antiqua" w:hAnsi="Book Antiqua"/>
        </w:rPr>
        <w:t>6. I r</w:t>
      </w:r>
      <w:r w:rsidR="00004426">
        <w:rPr>
          <w:rFonts w:ascii="Book Antiqua" w:hAnsi="Book Antiqua"/>
        </w:rPr>
        <w:t>eserve</w:t>
      </w:r>
      <w:r>
        <w:rPr>
          <w:rFonts w:ascii="Book Antiqua" w:hAnsi="Book Antiqua"/>
        </w:rPr>
        <w:t>d my decision in order</w:t>
      </w:r>
      <w:r w:rsidR="00004426">
        <w:rPr>
          <w:rFonts w:ascii="Book Antiqua" w:hAnsi="Book Antiqua"/>
        </w:rPr>
        <w:t xml:space="preserve"> to consider the evidence </w:t>
      </w:r>
      <w:r>
        <w:rPr>
          <w:rFonts w:ascii="Book Antiqua" w:hAnsi="Book Antiqua"/>
        </w:rPr>
        <w:t xml:space="preserve">before the First </w:t>
      </w:r>
      <w:proofErr w:type="gramStart"/>
      <w:r>
        <w:rPr>
          <w:rFonts w:ascii="Book Antiqua" w:hAnsi="Book Antiqua"/>
        </w:rPr>
        <w:t>tier</w:t>
      </w:r>
      <w:proofErr w:type="gramEnd"/>
      <w:r>
        <w:rPr>
          <w:rFonts w:ascii="Book Antiqua" w:hAnsi="Book Antiqua"/>
        </w:rPr>
        <w:t xml:space="preserve"> Tribunal Judge.</w:t>
      </w:r>
    </w:p>
    <w:p w:rsidR="00912EB5" w:rsidRDefault="00912EB5" w:rsidP="00004426">
      <w:pPr>
        <w:rPr>
          <w:rFonts w:ascii="Book Antiqua" w:hAnsi="Book Antiqua"/>
        </w:rPr>
      </w:pPr>
    </w:p>
    <w:p w:rsidR="00004426" w:rsidRPr="00912EB5" w:rsidRDefault="00912EB5" w:rsidP="00004426">
      <w:pPr>
        <w:rPr>
          <w:rFonts w:ascii="Book Antiqua" w:hAnsi="Book Antiqua"/>
          <w:i/>
        </w:rPr>
      </w:pPr>
      <w:r>
        <w:rPr>
          <w:rFonts w:ascii="Book Antiqua" w:hAnsi="Book Antiqua"/>
          <w:i/>
        </w:rPr>
        <w:t>Findings</w:t>
      </w:r>
    </w:p>
    <w:p w:rsidR="00004426" w:rsidRDefault="00004426" w:rsidP="00004426">
      <w:pPr>
        <w:rPr>
          <w:rFonts w:ascii="Book Antiqua" w:hAnsi="Book Antiqua"/>
        </w:rPr>
      </w:pPr>
    </w:p>
    <w:p w:rsidR="00912EB5" w:rsidRDefault="00912EB5" w:rsidP="00004426">
      <w:pPr>
        <w:rPr>
          <w:rFonts w:ascii="Book Antiqua" w:hAnsi="Book Antiqua"/>
        </w:rPr>
      </w:pPr>
      <w:r>
        <w:rPr>
          <w:rFonts w:ascii="Book Antiqua" w:hAnsi="Book Antiqua"/>
        </w:rPr>
        <w:t xml:space="preserve">7. Having considered the evidence upon which the findings of the First </w:t>
      </w:r>
      <w:proofErr w:type="gramStart"/>
      <w:r>
        <w:rPr>
          <w:rFonts w:ascii="Book Antiqua" w:hAnsi="Book Antiqua"/>
        </w:rPr>
        <w:t>tier</w:t>
      </w:r>
      <w:proofErr w:type="gramEnd"/>
      <w:r>
        <w:rPr>
          <w:rFonts w:ascii="Book Antiqua" w:hAnsi="Book Antiqua"/>
        </w:rPr>
        <w:t xml:space="preserve"> Tribunal Judge were based, I find no error of law in her decision and reasons.</w:t>
      </w:r>
    </w:p>
    <w:p w:rsidR="00912EB5" w:rsidRDefault="00912EB5" w:rsidP="00004426">
      <w:pPr>
        <w:rPr>
          <w:rFonts w:ascii="Book Antiqua" w:hAnsi="Book Antiqua"/>
        </w:rPr>
      </w:pPr>
    </w:p>
    <w:p w:rsidR="006B30CF" w:rsidRDefault="00912EB5" w:rsidP="00004426">
      <w:pPr>
        <w:rPr>
          <w:rFonts w:ascii="Book Antiqua" w:hAnsi="Book Antiqua"/>
        </w:rPr>
      </w:pPr>
      <w:r>
        <w:rPr>
          <w:rFonts w:ascii="Book Antiqua" w:hAnsi="Book Antiqua"/>
        </w:rPr>
        <w:t xml:space="preserve">8. Whilst the focus of the submissions before me was in respect of the adequacy of the reasons for finding that it would not be reasonable or safe for the Respondent to internally relocate, the grounds of appeal also raise the issue of sufficiency of protection, specifically that at [31] the Judge failed to identify the range of influence the </w:t>
      </w:r>
      <w:proofErr w:type="spellStart"/>
      <w:r>
        <w:rPr>
          <w:rFonts w:ascii="Book Antiqua" w:hAnsi="Book Antiqua"/>
        </w:rPr>
        <w:t>Bamileke</w:t>
      </w:r>
      <w:proofErr w:type="spellEnd"/>
      <w:r>
        <w:rPr>
          <w:rFonts w:ascii="Book Antiqua" w:hAnsi="Book Antiqua"/>
        </w:rPr>
        <w:t xml:space="preserve"> tribe are understood to have and</w:t>
      </w:r>
      <w:r w:rsidR="006B30CF">
        <w:rPr>
          <w:rFonts w:ascii="Book Antiqua" w:hAnsi="Book Antiqua"/>
        </w:rPr>
        <w:t xml:space="preserve"> presumes that the Respondent would be unable to seek any effective protection in the entirety of the country.</w:t>
      </w:r>
    </w:p>
    <w:p w:rsidR="006B30CF" w:rsidRDefault="006B30CF" w:rsidP="00004426">
      <w:pPr>
        <w:rPr>
          <w:rFonts w:ascii="Book Antiqua" w:hAnsi="Book Antiqua"/>
        </w:rPr>
      </w:pPr>
    </w:p>
    <w:p w:rsidR="006B30CF" w:rsidRDefault="006B30CF" w:rsidP="00004426">
      <w:pPr>
        <w:rPr>
          <w:rFonts w:ascii="Book Antiqua" w:hAnsi="Book Antiqua"/>
        </w:rPr>
      </w:pPr>
      <w:r>
        <w:rPr>
          <w:rFonts w:ascii="Book Antiqua" w:hAnsi="Book Antiqua"/>
        </w:rPr>
        <w:t xml:space="preserve">9. At [31] the Judge accepted the Respondent’s evidence that he had sought protection from the police in respect of threats of harm and actual harm and that, in her view, no reasonable steps were taken to either further investigate the attempts against him or the attack against his sister, or even to respond to the complaint of inactivity that he subsequently made. She also found that the Respondent had provided details of those he suspected – the tribal elders – </w:t>
      </w:r>
      <w:r>
        <w:rPr>
          <w:rFonts w:ascii="Book Antiqua" w:hAnsi="Book Antiqua"/>
        </w:rPr>
        <w:lastRenderedPageBreak/>
        <w:t>but this was not followed up by the police. The Judge found that the absence of any attempt to investigate any of the matters reported was significant and that this was confirmed by both lawyer and police letters. The Judge further found that it was reasonable for the Respondent to conclude that the police were not willing to assist him. She noted that the background evidence (USSD 2006, Bundle B1 at page 23) makes clear that the police are corrupt and that the Respondent’s evidence was broadly consistent with the background material.</w:t>
      </w:r>
    </w:p>
    <w:p w:rsidR="006B30CF" w:rsidRDefault="006B30CF" w:rsidP="00004426">
      <w:pPr>
        <w:rPr>
          <w:rFonts w:ascii="Book Antiqua" w:hAnsi="Book Antiqua"/>
        </w:rPr>
      </w:pPr>
    </w:p>
    <w:p w:rsidR="00D0726C" w:rsidRDefault="006B30CF" w:rsidP="00004426">
      <w:pPr>
        <w:rPr>
          <w:rFonts w:ascii="Book Antiqua" w:hAnsi="Book Antiqua"/>
        </w:rPr>
      </w:pPr>
      <w:r>
        <w:rPr>
          <w:rFonts w:ascii="Book Antiqua" w:hAnsi="Book Antiqua"/>
        </w:rPr>
        <w:t xml:space="preserve">10. The Judge found the Respondent’s evidence to be credible, in the context of both specific evidence and the background country materials. No successful challenge has been made to her credibility findings and I find that the reasons provided for finding that there would not be sufficient protection for the Respondent if returned to Cameroon were perfectly adequate. I do not consider the fact that the Judge made no express reference to the range of the </w:t>
      </w:r>
      <w:proofErr w:type="spellStart"/>
      <w:r>
        <w:rPr>
          <w:rFonts w:ascii="Book Antiqua" w:hAnsi="Book Antiqua"/>
        </w:rPr>
        <w:t>Bamileke</w:t>
      </w:r>
      <w:proofErr w:type="spellEnd"/>
      <w:r>
        <w:rPr>
          <w:rFonts w:ascii="Book Antiqua" w:hAnsi="Book Antiqua"/>
        </w:rPr>
        <w:t xml:space="preserve"> tribe to undermine the safety of her findings, given her finding that the police generally in Cameroon are corrupt and had on a number of occasions in the past failed to even attempt to investigate his</w:t>
      </w:r>
      <w:r w:rsidR="00D0726C">
        <w:rPr>
          <w:rFonts w:ascii="Book Antiqua" w:hAnsi="Book Antiqua"/>
        </w:rPr>
        <w:t xml:space="preserve"> complaints. </w:t>
      </w:r>
    </w:p>
    <w:p w:rsidR="00D0726C" w:rsidRDefault="00D0726C" w:rsidP="00004426">
      <w:pPr>
        <w:rPr>
          <w:rFonts w:ascii="Book Antiqua" w:hAnsi="Book Antiqua"/>
        </w:rPr>
      </w:pPr>
    </w:p>
    <w:p w:rsidR="00E05D35" w:rsidRDefault="00D0726C" w:rsidP="00004426">
      <w:pPr>
        <w:rPr>
          <w:rFonts w:ascii="Book Antiqua" w:hAnsi="Book Antiqua"/>
        </w:rPr>
      </w:pPr>
      <w:r>
        <w:rPr>
          <w:rFonts w:ascii="Book Antiqua" w:hAnsi="Book Antiqua"/>
        </w:rPr>
        <w:t xml:space="preserve">11. </w:t>
      </w:r>
      <w:r w:rsidR="00324E2B">
        <w:rPr>
          <w:rFonts w:ascii="Book Antiqua" w:hAnsi="Book Antiqua"/>
        </w:rPr>
        <w:t>Moreover, t</w:t>
      </w:r>
      <w:r w:rsidR="007C74C9">
        <w:rPr>
          <w:rFonts w:ascii="Book Antiqua" w:hAnsi="Book Antiqua"/>
        </w:rPr>
        <w:t xml:space="preserve">he issue of sufficiency of protection is inextricably entwined with that of internal relocation and whether there is an area of the country to which the Respondent might reasonably be expected to relocate where he would not be reasonably likely to be traced by elders of the </w:t>
      </w:r>
      <w:proofErr w:type="spellStart"/>
      <w:r w:rsidR="007C74C9">
        <w:rPr>
          <w:rFonts w:ascii="Book Antiqua" w:hAnsi="Book Antiqua"/>
        </w:rPr>
        <w:t>Bamileke</w:t>
      </w:r>
      <w:proofErr w:type="spellEnd"/>
      <w:r w:rsidR="007C74C9">
        <w:rPr>
          <w:rFonts w:ascii="Book Antiqua" w:hAnsi="Book Antiqua"/>
        </w:rPr>
        <w:t xml:space="preserve"> tribe. The Judge dealt with this issue at [32] of the decision, where she correctly directed herself as to the law. She took into consideration the fact that the Respondent’s family and business interests are all located in the area around the capital, </w:t>
      </w:r>
      <w:proofErr w:type="spellStart"/>
      <w:r w:rsidR="007C74C9">
        <w:rPr>
          <w:rFonts w:ascii="Book Antiqua" w:hAnsi="Book Antiqua"/>
        </w:rPr>
        <w:t>Yaounde</w:t>
      </w:r>
      <w:proofErr w:type="spellEnd"/>
      <w:r w:rsidR="007C74C9">
        <w:rPr>
          <w:rFonts w:ascii="Book Antiqua" w:hAnsi="Book Antiqua"/>
        </w:rPr>
        <w:t xml:space="preserve"> and his previous attempts at relocation had taken</w:t>
      </w:r>
      <w:r w:rsidR="00E05D35">
        <w:rPr>
          <w:rFonts w:ascii="Book Antiqua" w:hAnsi="Book Antiqua"/>
        </w:rPr>
        <w:t xml:space="preserve"> place “</w:t>
      </w:r>
      <w:r w:rsidR="00E05D35" w:rsidRPr="00E05D35">
        <w:rPr>
          <w:rFonts w:ascii="Book Antiqua" w:hAnsi="Book Antiqua"/>
          <w:i/>
        </w:rPr>
        <w:t xml:space="preserve">within this broad area, from </w:t>
      </w:r>
      <w:proofErr w:type="spellStart"/>
      <w:r w:rsidR="00E05D35" w:rsidRPr="00E05D35">
        <w:rPr>
          <w:rFonts w:ascii="Book Antiqua" w:hAnsi="Book Antiqua"/>
          <w:i/>
        </w:rPr>
        <w:t>Mbalmayo</w:t>
      </w:r>
      <w:proofErr w:type="spellEnd"/>
      <w:r w:rsidR="00E05D35" w:rsidRPr="00E05D35">
        <w:rPr>
          <w:rFonts w:ascii="Book Antiqua" w:hAnsi="Book Antiqua"/>
          <w:i/>
        </w:rPr>
        <w:t xml:space="preserve"> to </w:t>
      </w:r>
      <w:proofErr w:type="spellStart"/>
      <w:r w:rsidR="00E05D35" w:rsidRPr="00E05D35">
        <w:rPr>
          <w:rFonts w:ascii="Book Antiqua" w:hAnsi="Book Antiqua"/>
          <w:i/>
        </w:rPr>
        <w:t>Ekie</w:t>
      </w:r>
      <w:proofErr w:type="spellEnd"/>
      <w:r w:rsidR="00E05D35" w:rsidRPr="00E05D35">
        <w:rPr>
          <w:rFonts w:ascii="Book Antiqua" w:hAnsi="Book Antiqua"/>
          <w:i/>
        </w:rPr>
        <w:t xml:space="preserve">, then to </w:t>
      </w:r>
      <w:proofErr w:type="spellStart"/>
      <w:r w:rsidR="00E05D35" w:rsidRPr="00E05D35">
        <w:rPr>
          <w:rFonts w:ascii="Book Antiqua" w:hAnsi="Book Antiqua"/>
          <w:i/>
        </w:rPr>
        <w:t>Soa</w:t>
      </w:r>
      <w:proofErr w:type="spellEnd"/>
      <w:r w:rsidR="00E05D35" w:rsidRPr="00E05D35">
        <w:rPr>
          <w:rFonts w:ascii="Book Antiqua" w:hAnsi="Book Antiqua"/>
          <w:i/>
        </w:rPr>
        <w:t xml:space="preserve"> and then to </w:t>
      </w:r>
      <w:proofErr w:type="spellStart"/>
      <w:r w:rsidR="00E05D35" w:rsidRPr="00E05D35">
        <w:rPr>
          <w:rFonts w:ascii="Book Antiqua" w:hAnsi="Book Antiqua"/>
          <w:i/>
        </w:rPr>
        <w:t>Biteng</w:t>
      </w:r>
      <w:proofErr w:type="spellEnd"/>
      <w:r w:rsidR="00E05D35">
        <w:rPr>
          <w:rFonts w:ascii="Book Antiqua" w:hAnsi="Book Antiqua"/>
        </w:rPr>
        <w:t xml:space="preserve">.” The Judge went on to find that the durability of any future relocation was undermined by the fact that </w:t>
      </w:r>
      <w:r w:rsidR="00324E2B">
        <w:rPr>
          <w:rFonts w:ascii="Book Antiqua" w:hAnsi="Book Antiqua"/>
        </w:rPr>
        <w:t xml:space="preserve">in his previous attempts at relocation </w:t>
      </w:r>
      <w:r w:rsidR="00E05D35">
        <w:rPr>
          <w:rFonts w:ascii="Book Antiqua" w:hAnsi="Book Antiqua"/>
        </w:rPr>
        <w:t>he was eventually found. She further found that the fact that his assets and family members are in this area would reasonably draw the Respondent back there and eventually reveal his whereabouts and that it was his management and use of those assets that had given rise to the risk in the first place and it was not reasonable for him to abandon these in order to avoid future risks.</w:t>
      </w:r>
    </w:p>
    <w:p w:rsidR="00E05D35" w:rsidRDefault="00E05D35" w:rsidP="00004426">
      <w:pPr>
        <w:rPr>
          <w:rFonts w:ascii="Book Antiqua" w:hAnsi="Book Antiqua"/>
        </w:rPr>
      </w:pPr>
    </w:p>
    <w:p w:rsidR="00DA21C3" w:rsidRDefault="00E05D35">
      <w:pPr>
        <w:rPr>
          <w:rFonts w:ascii="Book Antiqua" w:hAnsi="Book Antiqua"/>
        </w:rPr>
      </w:pPr>
      <w:r>
        <w:rPr>
          <w:rFonts w:ascii="Book Antiqua" w:hAnsi="Book Antiqua"/>
        </w:rPr>
        <w:t xml:space="preserve">12. I find that, contrary to the assertions in the grounds of appeal, that the First </w:t>
      </w:r>
      <w:proofErr w:type="gramStart"/>
      <w:r>
        <w:rPr>
          <w:rFonts w:ascii="Book Antiqua" w:hAnsi="Book Antiqua"/>
        </w:rPr>
        <w:t>tier</w:t>
      </w:r>
      <w:proofErr w:type="gramEnd"/>
      <w:r>
        <w:rPr>
          <w:rFonts w:ascii="Book Antiqua" w:hAnsi="Book Antiqua"/>
        </w:rPr>
        <w:t xml:space="preserve"> Tribunal Judge gave adequate reasons for her finding that it would not be safe or reasonable to expect the Respondent to internally relocate. I am also mindful of the recent Court of Appeal judgment in </w:t>
      </w:r>
      <w:r w:rsidR="00004426" w:rsidRPr="00E05D35">
        <w:rPr>
          <w:rFonts w:ascii="Book Antiqua" w:hAnsi="Book Antiqua"/>
          <w:u w:val="single"/>
        </w:rPr>
        <w:t>MD</w:t>
      </w:r>
      <w:r w:rsidR="00004426">
        <w:rPr>
          <w:rFonts w:ascii="Book Antiqua" w:hAnsi="Book Antiqua"/>
        </w:rPr>
        <w:t xml:space="preserve"> </w:t>
      </w:r>
      <w:r>
        <w:rPr>
          <w:rFonts w:ascii="Book Antiqua" w:hAnsi="Book Antiqua"/>
        </w:rPr>
        <w:t>(</w:t>
      </w:r>
      <w:r w:rsidR="00004426">
        <w:rPr>
          <w:rFonts w:ascii="Book Antiqua" w:hAnsi="Book Antiqua"/>
        </w:rPr>
        <w:t>Turkey</w:t>
      </w:r>
      <w:r>
        <w:rPr>
          <w:rFonts w:ascii="Book Antiqua" w:hAnsi="Book Antiqua"/>
        </w:rPr>
        <w:t>)</w:t>
      </w:r>
      <w:r w:rsidR="00004426">
        <w:rPr>
          <w:rFonts w:ascii="Book Antiqua" w:hAnsi="Book Antiqua"/>
        </w:rPr>
        <w:t xml:space="preserve"> </w:t>
      </w:r>
      <w:r w:rsidR="00DA21C3">
        <w:rPr>
          <w:rFonts w:ascii="Book Antiqua" w:hAnsi="Book Antiqua"/>
        </w:rPr>
        <w:t xml:space="preserve">[2017] EWCA </w:t>
      </w:r>
      <w:proofErr w:type="spellStart"/>
      <w:r w:rsidR="00DA21C3">
        <w:rPr>
          <w:rFonts w:ascii="Book Antiqua" w:hAnsi="Book Antiqua"/>
        </w:rPr>
        <w:t>Civ</w:t>
      </w:r>
      <w:proofErr w:type="spellEnd"/>
      <w:r w:rsidR="00DA21C3">
        <w:rPr>
          <w:rFonts w:ascii="Book Antiqua" w:hAnsi="Book Antiqua"/>
        </w:rPr>
        <w:t xml:space="preserve"> 1958, where Lord Justice Singh held </w:t>
      </w:r>
      <w:r w:rsidR="00DA21C3">
        <w:rPr>
          <w:rFonts w:ascii="Book Antiqua" w:hAnsi="Book Antiqua"/>
          <w:i/>
        </w:rPr>
        <w:t xml:space="preserve">inter alia </w:t>
      </w:r>
      <w:r w:rsidR="00DA21C3">
        <w:rPr>
          <w:rFonts w:ascii="Book Antiqua" w:hAnsi="Book Antiqua"/>
        </w:rPr>
        <w:t>as follows:</w:t>
      </w:r>
    </w:p>
    <w:p w:rsidR="00DA21C3" w:rsidRDefault="00DA21C3">
      <w:pPr>
        <w:rPr>
          <w:rFonts w:ascii="Book Antiqua" w:hAnsi="Book Antiqua"/>
        </w:rPr>
      </w:pPr>
    </w:p>
    <w:p w:rsidR="00D25BB8" w:rsidRDefault="00D25BB8" w:rsidP="00D25BB8">
      <w:pPr>
        <w:pStyle w:val="NormalWeb"/>
        <w:spacing w:before="2" w:after="2"/>
        <w:ind w:left="360"/>
        <w:rPr>
          <w:rFonts w:ascii="Book Antiqua" w:hAnsi="Book Antiqua"/>
          <w:i/>
          <w:sz w:val="24"/>
          <w:szCs w:val="24"/>
        </w:rPr>
      </w:pPr>
      <w:r>
        <w:rPr>
          <w:rFonts w:ascii="Book Antiqua" w:hAnsi="Book Antiqua"/>
          <w:i/>
          <w:sz w:val="24"/>
        </w:rPr>
        <w:t>“</w:t>
      </w:r>
      <w:r w:rsidR="00DA21C3" w:rsidRPr="00D25BB8">
        <w:rPr>
          <w:rFonts w:ascii="Book Antiqua" w:hAnsi="Book Antiqua"/>
          <w:i/>
          <w:sz w:val="24"/>
        </w:rPr>
        <w:t xml:space="preserve">26. </w:t>
      </w:r>
      <w:r w:rsidR="00DA21C3" w:rsidRPr="00D25BB8">
        <w:rPr>
          <w:rFonts w:ascii="Book Antiqua" w:hAnsi="Book Antiqua"/>
          <w:i/>
          <w:sz w:val="24"/>
          <w:szCs w:val="24"/>
        </w:rPr>
        <w:t xml:space="preserve">The duty to give reasons requires that reasons must be proper, intelligible and adequate: see the classic authority of this court in Re </w:t>
      </w:r>
      <w:proofErr w:type="spellStart"/>
      <w:r w:rsidR="00DA21C3" w:rsidRPr="00D25BB8">
        <w:rPr>
          <w:rFonts w:ascii="Book Antiqua" w:hAnsi="Book Antiqua"/>
          <w:i/>
          <w:sz w:val="24"/>
          <w:szCs w:val="24"/>
        </w:rPr>
        <w:t>Poyser</w:t>
      </w:r>
      <w:proofErr w:type="spellEnd"/>
      <w:r w:rsidR="00DA21C3" w:rsidRPr="00D25BB8">
        <w:rPr>
          <w:rFonts w:ascii="Book Antiqua" w:hAnsi="Book Antiqua"/>
          <w:i/>
          <w:sz w:val="24"/>
          <w:szCs w:val="24"/>
        </w:rPr>
        <w:t xml:space="preserve"> and Mills’ Arbitration [1964] 2 QB 467. The only dispute in the present case relates to the last of those elements, that is the adequacy of the reasons given by the </w:t>
      </w:r>
      <w:proofErr w:type="spellStart"/>
      <w:r w:rsidR="00DA21C3" w:rsidRPr="00D25BB8">
        <w:rPr>
          <w:rFonts w:ascii="Book Antiqua" w:hAnsi="Book Antiqua"/>
          <w:i/>
          <w:sz w:val="24"/>
          <w:szCs w:val="24"/>
        </w:rPr>
        <w:t>FtT</w:t>
      </w:r>
      <w:proofErr w:type="spellEnd"/>
      <w:r w:rsidR="00DA21C3" w:rsidRPr="00D25BB8">
        <w:rPr>
          <w:rFonts w:ascii="Book Antiqua" w:hAnsi="Book Antiqua"/>
          <w:i/>
          <w:sz w:val="24"/>
          <w:szCs w:val="24"/>
        </w:rPr>
        <w:t xml:space="preserve"> for its </w:t>
      </w:r>
      <w:r w:rsidR="00DA21C3" w:rsidRPr="00D25BB8">
        <w:rPr>
          <w:rFonts w:ascii="Book Antiqua" w:hAnsi="Book Antiqua"/>
          <w:i/>
          <w:sz w:val="24"/>
          <w:szCs w:val="24"/>
        </w:rPr>
        <w:lastRenderedPageBreak/>
        <w:t xml:space="preserve">decision allowing the appellant’s appeal. It is important to appreciate that adequacy in this context is precisely that, no more and no less. It is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It is also to enable an appellate court or tribunal to see what the reasons for the decision are so that they can be examined in case some error of approach has been committed. </w:t>
      </w:r>
    </w:p>
    <w:p w:rsidR="00DA21C3" w:rsidRPr="00D25BB8" w:rsidRDefault="00DA21C3" w:rsidP="00D25BB8">
      <w:pPr>
        <w:pStyle w:val="NormalWeb"/>
        <w:spacing w:before="2" w:after="2"/>
        <w:ind w:left="360"/>
        <w:rPr>
          <w:rFonts w:ascii="Book Antiqua" w:hAnsi="Book Antiqua"/>
          <w:i/>
          <w:sz w:val="24"/>
          <w:szCs w:val="24"/>
        </w:rPr>
      </w:pPr>
    </w:p>
    <w:p w:rsidR="00DA21C3" w:rsidRPr="00D25BB8" w:rsidRDefault="00DA21C3" w:rsidP="005D1286">
      <w:pPr>
        <w:pStyle w:val="NormalWeb"/>
        <w:numPr>
          <w:ilvl w:val="0"/>
          <w:numId w:val="3"/>
        </w:numPr>
        <w:spacing w:before="2" w:after="2"/>
        <w:ind w:left="357" w:firstLine="0"/>
        <w:rPr>
          <w:rFonts w:ascii="Book Antiqua" w:hAnsi="Book Antiqua"/>
          <w:i/>
          <w:sz w:val="24"/>
          <w:szCs w:val="24"/>
        </w:rPr>
      </w:pPr>
      <w:r w:rsidRPr="00D25BB8">
        <w:rPr>
          <w:rFonts w:ascii="Book Antiqua" w:hAnsi="Book Antiqua"/>
          <w:i/>
          <w:sz w:val="24"/>
          <w:szCs w:val="24"/>
        </w:rPr>
        <w:t xml:space="preserve">In the present case, in my view, it was tolerably clear why the </w:t>
      </w:r>
      <w:proofErr w:type="spellStart"/>
      <w:r w:rsidRPr="00D25BB8">
        <w:rPr>
          <w:rFonts w:ascii="Book Antiqua" w:hAnsi="Book Antiqua"/>
          <w:i/>
          <w:sz w:val="24"/>
          <w:szCs w:val="24"/>
        </w:rPr>
        <w:t>FtT</w:t>
      </w:r>
      <w:proofErr w:type="spellEnd"/>
      <w:r w:rsidRPr="00D25BB8">
        <w:rPr>
          <w:rFonts w:ascii="Book Antiqua" w:hAnsi="Book Antiqua"/>
          <w:i/>
          <w:sz w:val="24"/>
          <w:szCs w:val="24"/>
        </w:rPr>
        <w:t xml:space="preserve"> decided the case against the Secretary of State as it did</w:t>
      </w:r>
      <w:r w:rsidR="00D25BB8">
        <w:rPr>
          <w:rFonts w:ascii="Book Antiqua" w:hAnsi="Book Antiqua"/>
          <w:i/>
          <w:sz w:val="24"/>
          <w:szCs w:val="24"/>
        </w:rPr>
        <w:t>…</w:t>
      </w:r>
      <w:r w:rsidRPr="00D25BB8">
        <w:rPr>
          <w:rFonts w:ascii="Book Antiqua" w:hAnsi="Book Antiqua"/>
          <w:i/>
          <w:sz w:val="24"/>
          <w:szCs w:val="24"/>
        </w:rPr>
        <w:t xml:space="preserve"> </w:t>
      </w:r>
    </w:p>
    <w:p w:rsidR="00DA21C3" w:rsidRPr="00D25BB8" w:rsidRDefault="00DA21C3">
      <w:pPr>
        <w:rPr>
          <w:rFonts w:ascii="Book Antiqua" w:hAnsi="Book Antiqua"/>
          <w:i/>
        </w:rPr>
      </w:pPr>
    </w:p>
    <w:p w:rsidR="00DA21C3" w:rsidRPr="00D25BB8" w:rsidRDefault="00DA21C3" w:rsidP="00DA21C3">
      <w:pPr>
        <w:pStyle w:val="NormalWeb"/>
        <w:spacing w:before="2" w:after="2"/>
        <w:ind w:left="360"/>
        <w:rPr>
          <w:rFonts w:ascii="Book Antiqua" w:hAnsi="Book Antiqua"/>
          <w:i/>
          <w:sz w:val="24"/>
          <w:szCs w:val="24"/>
        </w:rPr>
      </w:pPr>
      <w:r w:rsidRPr="00D25BB8">
        <w:rPr>
          <w:rFonts w:ascii="Book Antiqua" w:hAnsi="Book Antiqua"/>
          <w:i/>
          <w:sz w:val="24"/>
          <w:szCs w:val="24"/>
        </w:rPr>
        <w:t xml:space="preserve">35. I have come to the view that it was the UT which fell into error. It should not have interfered with the decision of the </w:t>
      </w:r>
      <w:proofErr w:type="spellStart"/>
      <w:r w:rsidRPr="00D25BB8">
        <w:rPr>
          <w:rFonts w:ascii="Book Antiqua" w:hAnsi="Book Antiqua"/>
          <w:i/>
          <w:sz w:val="24"/>
          <w:szCs w:val="24"/>
        </w:rPr>
        <w:t>FtT</w:t>
      </w:r>
      <w:proofErr w:type="spellEnd"/>
      <w:r w:rsidRPr="00D25BB8">
        <w:rPr>
          <w:rFonts w:ascii="Book Antiqua" w:hAnsi="Book Antiqua"/>
          <w:i/>
          <w:sz w:val="24"/>
          <w:szCs w:val="24"/>
        </w:rPr>
        <w:t xml:space="preserve">, even if it disagreed with the reasons of the </w:t>
      </w:r>
      <w:proofErr w:type="spellStart"/>
      <w:r w:rsidRPr="00D25BB8">
        <w:rPr>
          <w:rFonts w:ascii="Book Antiqua" w:hAnsi="Book Antiqua"/>
          <w:i/>
          <w:sz w:val="24"/>
          <w:szCs w:val="24"/>
        </w:rPr>
        <w:t>FtT</w:t>
      </w:r>
      <w:proofErr w:type="spellEnd"/>
      <w:r w:rsidRPr="00D25BB8">
        <w:rPr>
          <w:rFonts w:ascii="Book Antiqua" w:hAnsi="Book Antiqua"/>
          <w:i/>
          <w:sz w:val="24"/>
          <w:szCs w:val="24"/>
        </w:rPr>
        <w:t xml:space="preserve"> or perhaps found them surprising. They were in the circumstances of this case adequate so as to comply with the requirements of the legal duty to give reasons. There was therefore, in my view, no material error of law made by the </w:t>
      </w:r>
      <w:proofErr w:type="spellStart"/>
      <w:r w:rsidRPr="00D25BB8">
        <w:rPr>
          <w:rFonts w:ascii="Book Antiqua" w:hAnsi="Book Antiqua"/>
          <w:i/>
          <w:sz w:val="24"/>
          <w:szCs w:val="24"/>
        </w:rPr>
        <w:t>FtT</w:t>
      </w:r>
      <w:proofErr w:type="spellEnd"/>
      <w:r w:rsidRPr="00D25BB8">
        <w:rPr>
          <w:rFonts w:ascii="Book Antiqua" w:hAnsi="Book Antiqua"/>
          <w:i/>
          <w:sz w:val="24"/>
          <w:szCs w:val="24"/>
        </w:rPr>
        <w:t>, and the UT was wrong to set its decision asi</w:t>
      </w:r>
      <w:r w:rsidR="00D25BB8">
        <w:rPr>
          <w:rFonts w:ascii="Book Antiqua" w:hAnsi="Book Antiqua"/>
          <w:i/>
          <w:sz w:val="24"/>
          <w:szCs w:val="24"/>
        </w:rPr>
        <w:t>de.”</w:t>
      </w:r>
    </w:p>
    <w:p w:rsidR="00D25BB8" w:rsidRDefault="00D25BB8">
      <w:pPr>
        <w:rPr>
          <w:rFonts w:ascii="Book Antiqua" w:hAnsi="Book Antiqua"/>
        </w:rPr>
      </w:pPr>
    </w:p>
    <w:p w:rsidR="00D25BB8" w:rsidRDefault="00D25BB8">
      <w:pPr>
        <w:rPr>
          <w:rFonts w:ascii="Book Antiqua" w:hAnsi="Book Antiqua"/>
        </w:rPr>
      </w:pPr>
      <w:r>
        <w:rPr>
          <w:rFonts w:ascii="Book Antiqua" w:hAnsi="Book Antiqua"/>
          <w:i/>
        </w:rPr>
        <w:t>Decision</w:t>
      </w:r>
    </w:p>
    <w:p w:rsidR="00D25BB8" w:rsidRDefault="00D25BB8">
      <w:pPr>
        <w:rPr>
          <w:rFonts w:ascii="Book Antiqua" w:hAnsi="Book Antiqua"/>
        </w:rPr>
      </w:pPr>
    </w:p>
    <w:p w:rsidR="00D25BB8" w:rsidRDefault="00D25BB8">
      <w:pPr>
        <w:rPr>
          <w:rFonts w:ascii="Book Antiqua" w:hAnsi="Book Antiqua"/>
        </w:rPr>
      </w:pPr>
      <w:r>
        <w:rPr>
          <w:rFonts w:ascii="Book Antiqua" w:hAnsi="Book Antiqua"/>
        </w:rPr>
        <w:t xml:space="preserve">13. For the reasons set out above, I find no errors of law in the decision of First </w:t>
      </w:r>
      <w:proofErr w:type="gramStart"/>
      <w:r>
        <w:rPr>
          <w:rFonts w:ascii="Book Antiqua" w:hAnsi="Book Antiqua"/>
        </w:rPr>
        <w:t>tier</w:t>
      </w:r>
      <w:proofErr w:type="gramEnd"/>
      <w:r>
        <w:rPr>
          <w:rFonts w:ascii="Book Antiqua" w:hAnsi="Book Antiqua"/>
        </w:rPr>
        <w:t xml:space="preserve"> Tribunal Judge Saunders, which I uphold. The appeal by the Secretary of State is accordingly dismissed.</w:t>
      </w:r>
    </w:p>
    <w:p w:rsidR="00D25BB8" w:rsidRDefault="00D25BB8">
      <w:pPr>
        <w:rPr>
          <w:rFonts w:ascii="Book Antiqua" w:hAnsi="Book Antiqua"/>
        </w:rPr>
      </w:pPr>
    </w:p>
    <w:p w:rsidR="005D1286" w:rsidRDefault="005D1286">
      <w:pPr>
        <w:rPr>
          <w:rFonts w:ascii="Book Antiqua" w:hAnsi="Book Antiqua"/>
        </w:rPr>
      </w:pPr>
    </w:p>
    <w:p w:rsidR="00D25BB8" w:rsidRPr="00D25BB8" w:rsidRDefault="00D25BB8">
      <w:pPr>
        <w:rPr>
          <w:rFonts w:ascii="Lucida Calligraphy" w:hAnsi="Lucida Calligraphy"/>
        </w:rPr>
      </w:pPr>
      <w:r>
        <w:rPr>
          <w:rFonts w:ascii="Lucida Calligraphy" w:hAnsi="Lucida Calligraphy"/>
        </w:rPr>
        <w:t>Rebecca Chapman</w:t>
      </w:r>
    </w:p>
    <w:p w:rsidR="00D25BB8" w:rsidRDefault="00D25BB8">
      <w:pPr>
        <w:rPr>
          <w:rFonts w:ascii="Book Antiqua" w:hAnsi="Book Antiqua"/>
        </w:rPr>
      </w:pPr>
      <w:r>
        <w:rPr>
          <w:rFonts w:ascii="Book Antiqua" w:hAnsi="Book Antiqua"/>
        </w:rPr>
        <w:t>Deputy Upper Tribunal Judge Chapman</w:t>
      </w:r>
    </w:p>
    <w:p w:rsidR="00D25BB8" w:rsidRDefault="00D25BB8">
      <w:pPr>
        <w:rPr>
          <w:rFonts w:ascii="Book Antiqua" w:hAnsi="Book Antiqua"/>
        </w:rPr>
      </w:pPr>
    </w:p>
    <w:p w:rsidR="0006570A" w:rsidRPr="00D25BB8" w:rsidRDefault="00D25BB8">
      <w:pPr>
        <w:rPr>
          <w:rFonts w:ascii="Book Antiqua" w:hAnsi="Book Antiqua"/>
        </w:rPr>
      </w:pPr>
      <w:r>
        <w:rPr>
          <w:rFonts w:ascii="Book Antiqua" w:hAnsi="Book Antiqua"/>
        </w:rPr>
        <w:t>11 May 2018</w:t>
      </w:r>
    </w:p>
    <w:sectPr w:rsidR="0006570A" w:rsidRPr="00D25BB8" w:rsidSect="005D1286">
      <w:headerReference w:type="default" r:id="rId9"/>
      <w:footerReference w:type="even" r:id="rId10"/>
      <w:footerReference w:type="default" r:id="rId11"/>
      <w:footerReference w:type="first" r:id="rId12"/>
      <w:pgSz w:w="11900" w:h="16840" w:code="9"/>
      <w:pgMar w:top="1440" w:right="1797" w:bottom="1440" w:left="1797"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2C2" w:rsidRDefault="008879E1">
      <w:r>
        <w:separator/>
      </w:r>
    </w:p>
  </w:endnote>
  <w:endnote w:type="continuationSeparator" w:id="0">
    <w:p w:rsidR="00A712C2" w:rsidRDefault="0088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BB8" w:rsidRDefault="00D25BB8" w:rsidP="00004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5BB8" w:rsidRDefault="00D25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BB8" w:rsidRPr="005D1286" w:rsidRDefault="00D25BB8" w:rsidP="00004426">
    <w:pPr>
      <w:pStyle w:val="Footer"/>
      <w:framePr w:wrap="around" w:vAnchor="text" w:hAnchor="margin" w:xAlign="center" w:y="1"/>
      <w:rPr>
        <w:rStyle w:val="PageNumber"/>
        <w:rFonts w:ascii="Book Antiqua" w:hAnsi="Book Antiqua"/>
        <w:sz w:val="20"/>
        <w:szCs w:val="20"/>
      </w:rPr>
    </w:pPr>
    <w:r w:rsidRPr="005D1286">
      <w:rPr>
        <w:rStyle w:val="PageNumber"/>
        <w:rFonts w:ascii="Book Antiqua" w:hAnsi="Book Antiqua"/>
        <w:sz w:val="20"/>
        <w:szCs w:val="20"/>
      </w:rPr>
      <w:fldChar w:fldCharType="begin"/>
    </w:r>
    <w:r w:rsidRPr="005D1286">
      <w:rPr>
        <w:rStyle w:val="PageNumber"/>
        <w:rFonts w:ascii="Book Antiqua" w:hAnsi="Book Antiqua"/>
        <w:sz w:val="20"/>
        <w:szCs w:val="20"/>
      </w:rPr>
      <w:instrText xml:space="preserve">PAGE  </w:instrText>
    </w:r>
    <w:r w:rsidRPr="005D1286">
      <w:rPr>
        <w:rStyle w:val="PageNumber"/>
        <w:rFonts w:ascii="Book Antiqua" w:hAnsi="Book Antiqua"/>
        <w:sz w:val="20"/>
        <w:szCs w:val="20"/>
      </w:rPr>
      <w:fldChar w:fldCharType="separate"/>
    </w:r>
    <w:r w:rsidR="000D53D1">
      <w:rPr>
        <w:rStyle w:val="PageNumber"/>
        <w:rFonts w:ascii="Book Antiqua" w:hAnsi="Book Antiqua"/>
        <w:noProof/>
        <w:sz w:val="20"/>
        <w:szCs w:val="20"/>
      </w:rPr>
      <w:t>5</w:t>
    </w:r>
    <w:r w:rsidRPr="005D1286">
      <w:rPr>
        <w:rStyle w:val="PageNumber"/>
        <w:rFonts w:ascii="Book Antiqua" w:hAnsi="Book Antiqua"/>
        <w:sz w:val="20"/>
        <w:szCs w:val="20"/>
      </w:rPr>
      <w:fldChar w:fldCharType="end"/>
    </w:r>
  </w:p>
  <w:p w:rsidR="00D25BB8" w:rsidRPr="005D1286" w:rsidRDefault="00D25BB8">
    <w:pPr>
      <w:pStyle w:val="Footer"/>
      <w:rPr>
        <w:rFonts w:ascii="Book Antiqua" w:hAnsi="Book Antiqu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86" w:rsidRDefault="005D1286" w:rsidP="005D1286">
    <w:pPr>
      <w:pStyle w:val="Footer"/>
      <w:tabs>
        <w:tab w:val="clear" w:pos="4320"/>
        <w:tab w:val="clear" w:pos="8640"/>
      </w:tabs>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2C2" w:rsidRDefault="008879E1">
      <w:r>
        <w:separator/>
      </w:r>
    </w:p>
  </w:footnote>
  <w:footnote w:type="continuationSeparator" w:id="0">
    <w:p w:rsidR="00A712C2" w:rsidRDefault="0088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86" w:rsidRPr="005D1286" w:rsidRDefault="005D1286" w:rsidP="005D1286">
    <w:pPr>
      <w:pStyle w:val="Header"/>
      <w:jc w:val="right"/>
      <w:rPr>
        <w:sz w:val="20"/>
        <w:szCs w:val="20"/>
      </w:rPr>
    </w:pPr>
    <w:r w:rsidRPr="005D1286">
      <w:rPr>
        <w:rFonts w:ascii="Book Antiqua" w:hAnsi="Book Antiqua" w:cs="Arial"/>
        <w:color w:val="000000"/>
        <w:sz w:val="20"/>
        <w:szCs w:val="20"/>
      </w:rPr>
      <w:t xml:space="preserve">Appeal Number: </w:t>
    </w:r>
    <w:r w:rsidRPr="005D1286">
      <w:rPr>
        <w:rFonts w:ascii="Book Antiqua" w:hAnsi="Book Antiqua" w:cs="Arial"/>
        <w:caps/>
        <w:color w:val="000000"/>
        <w:sz w:val="20"/>
        <w:szCs w:val="20"/>
      </w:rPr>
      <w:t>PA/03536/2017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8F3"/>
    <w:multiLevelType w:val="multilevel"/>
    <w:tmpl w:val="9F1EEC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80455"/>
    <w:multiLevelType w:val="multilevel"/>
    <w:tmpl w:val="9F1EEC2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F3DBD"/>
    <w:multiLevelType w:val="multilevel"/>
    <w:tmpl w:val="9F1EEC2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75"/>
    <w:rsid w:val="00004426"/>
    <w:rsid w:val="00030338"/>
    <w:rsid w:val="0006570A"/>
    <w:rsid w:val="000D53D1"/>
    <w:rsid w:val="00246A75"/>
    <w:rsid w:val="002A41D2"/>
    <w:rsid w:val="00324E2B"/>
    <w:rsid w:val="003B0116"/>
    <w:rsid w:val="005D1286"/>
    <w:rsid w:val="006B30CF"/>
    <w:rsid w:val="007C74C9"/>
    <w:rsid w:val="008879E1"/>
    <w:rsid w:val="009127C0"/>
    <w:rsid w:val="00912EB5"/>
    <w:rsid w:val="00A712C2"/>
    <w:rsid w:val="00D0726C"/>
    <w:rsid w:val="00D25BB8"/>
    <w:rsid w:val="00DA21C3"/>
    <w:rsid w:val="00E05D3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0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A75"/>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04426"/>
    <w:pPr>
      <w:tabs>
        <w:tab w:val="center" w:pos="4320"/>
        <w:tab w:val="right" w:pos="8640"/>
      </w:tabs>
    </w:pPr>
  </w:style>
  <w:style w:type="character" w:customStyle="1" w:styleId="FooterChar">
    <w:name w:val="Footer Char"/>
    <w:basedOn w:val="DefaultParagraphFont"/>
    <w:link w:val="Footer"/>
    <w:rsid w:val="00004426"/>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004426"/>
  </w:style>
  <w:style w:type="paragraph" w:styleId="NormalWeb">
    <w:name w:val="Normal (Web)"/>
    <w:basedOn w:val="Normal"/>
    <w:uiPriority w:val="99"/>
    <w:rsid w:val="00DA21C3"/>
    <w:pPr>
      <w:spacing w:beforeLines="1" w:afterLines="1"/>
    </w:pPr>
    <w:rPr>
      <w:rFonts w:ascii="Times" w:eastAsiaTheme="minorHAnsi" w:hAnsi="Times"/>
      <w:sz w:val="20"/>
      <w:szCs w:val="20"/>
      <w:lang w:eastAsia="en-US"/>
    </w:rPr>
  </w:style>
  <w:style w:type="paragraph" w:styleId="Header">
    <w:name w:val="header"/>
    <w:basedOn w:val="Normal"/>
    <w:link w:val="HeaderChar"/>
    <w:uiPriority w:val="99"/>
    <w:unhideWhenUsed/>
    <w:rsid w:val="005D1286"/>
    <w:pPr>
      <w:tabs>
        <w:tab w:val="center" w:pos="4513"/>
        <w:tab w:val="right" w:pos="9026"/>
      </w:tabs>
    </w:pPr>
  </w:style>
  <w:style w:type="character" w:customStyle="1" w:styleId="HeaderChar">
    <w:name w:val="Header Char"/>
    <w:basedOn w:val="DefaultParagraphFont"/>
    <w:link w:val="Header"/>
    <w:uiPriority w:val="99"/>
    <w:rsid w:val="005D1286"/>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639627">
      <w:bodyDiv w:val="1"/>
      <w:marLeft w:val="0"/>
      <w:marRight w:val="0"/>
      <w:marTop w:val="0"/>
      <w:marBottom w:val="0"/>
      <w:divBdr>
        <w:top w:val="none" w:sz="0" w:space="0" w:color="auto"/>
        <w:left w:val="none" w:sz="0" w:space="0" w:color="auto"/>
        <w:bottom w:val="none" w:sz="0" w:space="0" w:color="auto"/>
        <w:right w:val="none" w:sz="0" w:space="0" w:color="auto"/>
      </w:divBdr>
      <w:divsChild>
        <w:div w:id="684479519">
          <w:marLeft w:val="0"/>
          <w:marRight w:val="0"/>
          <w:marTop w:val="0"/>
          <w:marBottom w:val="0"/>
          <w:divBdr>
            <w:top w:val="none" w:sz="0" w:space="0" w:color="auto"/>
            <w:left w:val="none" w:sz="0" w:space="0" w:color="auto"/>
            <w:bottom w:val="none" w:sz="0" w:space="0" w:color="auto"/>
            <w:right w:val="none" w:sz="0" w:space="0" w:color="auto"/>
          </w:divBdr>
          <w:divsChild>
            <w:div w:id="478621156">
              <w:marLeft w:val="0"/>
              <w:marRight w:val="0"/>
              <w:marTop w:val="0"/>
              <w:marBottom w:val="0"/>
              <w:divBdr>
                <w:top w:val="none" w:sz="0" w:space="0" w:color="auto"/>
                <w:left w:val="none" w:sz="0" w:space="0" w:color="auto"/>
                <w:bottom w:val="none" w:sz="0" w:space="0" w:color="auto"/>
                <w:right w:val="none" w:sz="0" w:space="0" w:color="auto"/>
              </w:divBdr>
              <w:divsChild>
                <w:div w:id="8721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6021">
      <w:bodyDiv w:val="1"/>
      <w:marLeft w:val="0"/>
      <w:marRight w:val="0"/>
      <w:marTop w:val="0"/>
      <w:marBottom w:val="0"/>
      <w:divBdr>
        <w:top w:val="none" w:sz="0" w:space="0" w:color="auto"/>
        <w:left w:val="none" w:sz="0" w:space="0" w:color="auto"/>
        <w:bottom w:val="none" w:sz="0" w:space="0" w:color="auto"/>
        <w:right w:val="none" w:sz="0" w:space="0" w:color="auto"/>
      </w:divBdr>
      <w:divsChild>
        <w:div w:id="1513295366">
          <w:marLeft w:val="0"/>
          <w:marRight w:val="0"/>
          <w:marTop w:val="0"/>
          <w:marBottom w:val="0"/>
          <w:divBdr>
            <w:top w:val="none" w:sz="0" w:space="0" w:color="auto"/>
            <w:left w:val="none" w:sz="0" w:space="0" w:color="auto"/>
            <w:bottom w:val="none" w:sz="0" w:space="0" w:color="auto"/>
            <w:right w:val="none" w:sz="0" w:space="0" w:color="auto"/>
          </w:divBdr>
          <w:divsChild>
            <w:div w:id="409892861">
              <w:marLeft w:val="0"/>
              <w:marRight w:val="0"/>
              <w:marTop w:val="0"/>
              <w:marBottom w:val="0"/>
              <w:divBdr>
                <w:top w:val="none" w:sz="0" w:space="0" w:color="auto"/>
                <w:left w:val="none" w:sz="0" w:space="0" w:color="auto"/>
                <w:bottom w:val="none" w:sz="0" w:space="0" w:color="auto"/>
                <w:right w:val="none" w:sz="0" w:space="0" w:color="auto"/>
              </w:divBdr>
              <w:divsChild>
                <w:div w:id="1619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47">
          <w:marLeft w:val="0"/>
          <w:marRight w:val="0"/>
          <w:marTop w:val="0"/>
          <w:marBottom w:val="0"/>
          <w:divBdr>
            <w:top w:val="none" w:sz="0" w:space="0" w:color="auto"/>
            <w:left w:val="none" w:sz="0" w:space="0" w:color="auto"/>
            <w:bottom w:val="none" w:sz="0" w:space="0" w:color="auto"/>
            <w:right w:val="none" w:sz="0" w:space="0" w:color="auto"/>
          </w:divBdr>
          <w:divsChild>
            <w:div w:id="456024451">
              <w:marLeft w:val="0"/>
              <w:marRight w:val="0"/>
              <w:marTop w:val="0"/>
              <w:marBottom w:val="0"/>
              <w:divBdr>
                <w:top w:val="none" w:sz="0" w:space="0" w:color="auto"/>
                <w:left w:val="none" w:sz="0" w:space="0" w:color="auto"/>
                <w:bottom w:val="none" w:sz="0" w:space="0" w:color="auto"/>
                <w:right w:val="none" w:sz="0" w:space="0" w:color="auto"/>
              </w:divBdr>
              <w:divsChild>
                <w:div w:id="15794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0B90-3DFD-46F2-BA85-6FC6DC14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2018-06-07T11:51:00Z</dcterms:created>
  <dcterms:modified xsi:type="dcterms:W3CDTF">2018-06-07T11:51:00Z</dcterms:modified>
</cp:coreProperties>
</file>