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5E4A1" w14:textId="08C3EDD8" w:rsidR="00041662" w:rsidRPr="00A56832" w:rsidRDefault="00243281" w:rsidP="00625594">
      <w:pPr>
        <w:widowControl w:val="0"/>
        <w:jc w:val="center"/>
        <w:rPr>
          <w:rFonts w:ascii="Book Antiqua" w:hAnsi="Book Antiqua" w:cs="Arial"/>
          <w:sz w:val="16"/>
          <w:szCs w:val="16"/>
        </w:rPr>
      </w:pPr>
      <w:r>
        <w:rPr>
          <w:noProof/>
        </w:rPr>
        <w:drawing>
          <wp:inline distT="0" distB="0" distL="0" distR="0" wp14:anchorId="5BA9BBC3" wp14:editId="40BF5F9D">
            <wp:extent cx="1038225"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8225" cy="904875"/>
                    </a:xfrm>
                    <a:prstGeom prst="rect">
                      <a:avLst/>
                    </a:prstGeom>
                    <a:noFill/>
                    <a:ln>
                      <a:noFill/>
                    </a:ln>
                  </pic:spPr>
                </pic:pic>
              </a:graphicData>
            </a:graphic>
          </wp:inline>
        </w:drawing>
      </w:r>
    </w:p>
    <w:p w14:paraId="2B90B9F3" w14:textId="77777777" w:rsidR="00041662" w:rsidRPr="00A56832" w:rsidRDefault="00600177" w:rsidP="00625594">
      <w:pPr>
        <w:widowControl w:val="0"/>
        <w:tabs>
          <w:tab w:val="right" w:pos="9639"/>
        </w:tabs>
        <w:rPr>
          <w:rFonts w:ascii="Book Antiqua" w:hAnsi="Book Antiqua" w:cs="Arial"/>
          <w:b/>
        </w:rPr>
      </w:pPr>
      <w:r>
        <w:rPr>
          <w:rFonts w:ascii="Book Antiqua" w:hAnsi="Book Antiqua" w:cs="Arial"/>
          <w:b/>
        </w:rPr>
        <w:t>Upper</w:t>
      </w:r>
      <w:r w:rsidR="00041662" w:rsidRPr="00A56832">
        <w:rPr>
          <w:rFonts w:ascii="Book Antiqua" w:hAnsi="Book Antiqua" w:cs="Arial"/>
          <w:b/>
        </w:rPr>
        <w:t xml:space="preserve"> Tribunal </w:t>
      </w:r>
    </w:p>
    <w:p w14:paraId="6A3A615D" w14:textId="77777777" w:rsidR="007B0824" w:rsidRPr="00A56832" w:rsidRDefault="00041662" w:rsidP="00625594">
      <w:pPr>
        <w:widowControl w:val="0"/>
        <w:tabs>
          <w:tab w:val="right" w:pos="9639"/>
        </w:tabs>
        <w:rPr>
          <w:rFonts w:ascii="Book Antiqua" w:hAnsi="Book Antiqua" w:cs="Arial"/>
        </w:rPr>
      </w:pPr>
      <w:r w:rsidRPr="00A56832">
        <w:rPr>
          <w:rFonts w:ascii="Book Antiqua" w:hAnsi="Book Antiqua" w:cs="Arial"/>
          <w:b/>
        </w:rPr>
        <w:t>(Immigration and Asylum Chamber)</w:t>
      </w:r>
      <w:r w:rsidR="00B626FA" w:rsidRPr="00A56832">
        <w:rPr>
          <w:rFonts w:ascii="Book Antiqua" w:hAnsi="Book Antiqua" w:cs="Arial"/>
          <w:b/>
        </w:rPr>
        <w:tab/>
      </w:r>
      <w:r w:rsidR="00B3524D" w:rsidRPr="00A56832">
        <w:rPr>
          <w:rFonts w:ascii="Book Antiqua" w:hAnsi="Book Antiqua" w:cs="Arial"/>
        </w:rPr>
        <w:t>Appeal Number</w:t>
      </w:r>
      <w:r w:rsidR="00D53769" w:rsidRPr="00A56832">
        <w:rPr>
          <w:rFonts w:ascii="Book Antiqua" w:hAnsi="Book Antiqua" w:cs="Arial"/>
        </w:rPr>
        <w:t>:</w:t>
      </w:r>
      <w:r w:rsidR="00B3524D" w:rsidRPr="00A56832">
        <w:rPr>
          <w:rFonts w:ascii="Book Antiqua" w:hAnsi="Book Antiqua" w:cs="Arial"/>
        </w:rPr>
        <w:t xml:space="preserve"> </w:t>
      </w:r>
      <w:bookmarkStart w:id="0" w:name="_GoBack"/>
      <w:r w:rsidR="009515C2">
        <w:rPr>
          <w:rFonts w:ascii="Book Antiqua" w:hAnsi="Book Antiqua" w:cs="Arial"/>
          <w:caps/>
        </w:rPr>
        <w:t>PA/03552/2018</w:t>
      </w:r>
      <w:bookmarkEnd w:id="0"/>
    </w:p>
    <w:p w14:paraId="5CB60E91" w14:textId="77777777" w:rsidR="00C345E1" w:rsidRPr="00A56832" w:rsidRDefault="00C345E1" w:rsidP="00625594">
      <w:pPr>
        <w:widowControl w:val="0"/>
        <w:jc w:val="center"/>
        <w:rPr>
          <w:rFonts w:ascii="Book Antiqua" w:hAnsi="Book Antiqua" w:cs="Arial"/>
        </w:rPr>
      </w:pPr>
    </w:p>
    <w:p w14:paraId="4F59AC16" w14:textId="77777777" w:rsidR="00C345E1" w:rsidRPr="00A56832" w:rsidRDefault="00C345E1" w:rsidP="00625594">
      <w:pPr>
        <w:widowControl w:val="0"/>
        <w:jc w:val="center"/>
        <w:rPr>
          <w:rFonts w:ascii="Book Antiqua" w:hAnsi="Book Antiqua" w:cs="Arial"/>
          <w:b/>
          <w:u w:val="single"/>
        </w:rPr>
      </w:pPr>
      <w:r w:rsidRPr="00A56832">
        <w:rPr>
          <w:rFonts w:ascii="Book Antiqua" w:hAnsi="Book Antiqua" w:cs="Arial"/>
          <w:b/>
          <w:u w:val="single"/>
        </w:rPr>
        <w:t>THE IMMIGRATION ACTS</w:t>
      </w:r>
    </w:p>
    <w:p w14:paraId="3E2BB8E9" w14:textId="77777777" w:rsidR="00C345E1" w:rsidRPr="00A56832" w:rsidRDefault="00C345E1" w:rsidP="00625594">
      <w:pPr>
        <w:widowControl w:val="0"/>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27"/>
        <w:gridCol w:w="3911"/>
      </w:tblGrid>
      <w:tr w:rsidR="00D22636" w:rsidRPr="00A56832" w14:paraId="79D54B36" w14:textId="77777777" w:rsidTr="00B63045">
        <w:tc>
          <w:tcPr>
            <w:tcW w:w="5868" w:type="dxa"/>
          </w:tcPr>
          <w:p w14:paraId="2E619238" w14:textId="77777777" w:rsidR="00D22636" w:rsidRPr="00A56832" w:rsidRDefault="00D22636" w:rsidP="00625594">
            <w:pPr>
              <w:widowControl w:val="0"/>
              <w:jc w:val="both"/>
              <w:rPr>
                <w:rFonts w:ascii="Book Antiqua" w:hAnsi="Book Antiqua" w:cs="Arial"/>
                <w:b/>
              </w:rPr>
            </w:pPr>
            <w:r w:rsidRPr="00A56832">
              <w:rPr>
                <w:rFonts w:ascii="Book Antiqua" w:hAnsi="Book Antiqua" w:cs="Arial"/>
                <w:b/>
              </w:rPr>
              <w:t xml:space="preserve">Heard at </w:t>
            </w:r>
            <w:r w:rsidR="00600177">
              <w:rPr>
                <w:rFonts w:ascii="Book Antiqua" w:hAnsi="Book Antiqua" w:cs="Arial"/>
                <w:b/>
              </w:rPr>
              <w:t>Field House, London</w:t>
            </w:r>
          </w:p>
        </w:tc>
        <w:tc>
          <w:tcPr>
            <w:tcW w:w="3986" w:type="dxa"/>
          </w:tcPr>
          <w:p w14:paraId="7033446F" w14:textId="77777777" w:rsidR="00D22636" w:rsidRPr="00A56832" w:rsidRDefault="00B63045" w:rsidP="00625594">
            <w:pPr>
              <w:widowControl w:val="0"/>
              <w:jc w:val="right"/>
              <w:rPr>
                <w:rFonts w:ascii="Book Antiqua" w:hAnsi="Book Antiqua" w:cs="Arial"/>
                <w:b/>
              </w:rPr>
            </w:pPr>
            <w:bookmarkStart w:id="1" w:name="_Hlk524961066"/>
            <w:r>
              <w:rPr>
                <w:rFonts w:ascii="Book Antiqua" w:hAnsi="Book Antiqua" w:cs="Arial"/>
                <w:b/>
              </w:rPr>
              <w:t>Decision &amp; Reasons</w:t>
            </w:r>
            <w:r w:rsidRPr="00A56832">
              <w:rPr>
                <w:rFonts w:ascii="Book Antiqua" w:hAnsi="Book Antiqua" w:cs="Arial"/>
                <w:b/>
              </w:rPr>
              <w:t xml:space="preserve"> </w:t>
            </w:r>
            <w:r w:rsidR="00283659" w:rsidRPr="00A56832">
              <w:rPr>
                <w:rFonts w:ascii="Book Antiqua" w:hAnsi="Book Antiqua" w:cs="Arial"/>
                <w:b/>
              </w:rPr>
              <w:t>Promulgated</w:t>
            </w:r>
            <w:bookmarkEnd w:id="1"/>
          </w:p>
        </w:tc>
      </w:tr>
      <w:tr w:rsidR="00D22636" w:rsidRPr="00A56832" w14:paraId="1635F57E" w14:textId="77777777" w:rsidTr="00BE0CED">
        <w:tc>
          <w:tcPr>
            <w:tcW w:w="5868" w:type="dxa"/>
          </w:tcPr>
          <w:p w14:paraId="06B33E3F" w14:textId="77777777" w:rsidR="00D22636" w:rsidRPr="00A56832" w:rsidRDefault="00D22636" w:rsidP="00625594">
            <w:pPr>
              <w:widowControl w:val="0"/>
              <w:jc w:val="both"/>
              <w:rPr>
                <w:rFonts w:ascii="Book Antiqua" w:hAnsi="Book Antiqua" w:cs="Arial"/>
                <w:b/>
              </w:rPr>
            </w:pPr>
            <w:r w:rsidRPr="00A56832">
              <w:rPr>
                <w:rFonts w:ascii="Book Antiqua" w:hAnsi="Book Antiqua" w:cs="Arial"/>
                <w:b/>
              </w:rPr>
              <w:t xml:space="preserve">On </w:t>
            </w:r>
            <w:r w:rsidR="00600177">
              <w:rPr>
                <w:rFonts w:ascii="Book Antiqua" w:hAnsi="Book Antiqua" w:cs="Arial"/>
                <w:b/>
              </w:rPr>
              <w:t>7 September 2018</w:t>
            </w:r>
          </w:p>
        </w:tc>
        <w:tc>
          <w:tcPr>
            <w:tcW w:w="3986" w:type="dxa"/>
          </w:tcPr>
          <w:p w14:paraId="2567B275" w14:textId="77777777" w:rsidR="00D22636" w:rsidRPr="00A56832" w:rsidRDefault="00743046" w:rsidP="00743046">
            <w:pPr>
              <w:widowControl w:val="0"/>
              <w:rPr>
                <w:rFonts w:ascii="Book Antiqua" w:hAnsi="Book Antiqua" w:cs="Arial"/>
                <w:b/>
              </w:rPr>
            </w:pPr>
            <w:r>
              <w:rPr>
                <w:rFonts w:cs="Arial"/>
                <w:b/>
                <w:sz w:val="22"/>
              </w:rPr>
              <w:t xml:space="preserve">  </w:t>
            </w:r>
            <w:bookmarkStart w:id="2" w:name="_Hlk524961044"/>
            <w:r w:rsidRPr="00A56832">
              <w:rPr>
                <w:rFonts w:ascii="Book Antiqua" w:hAnsi="Book Antiqua" w:cs="Arial"/>
                <w:b/>
              </w:rPr>
              <w:t xml:space="preserve">On </w:t>
            </w:r>
            <w:r>
              <w:rPr>
                <w:rFonts w:ascii="Book Antiqua" w:hAnsi="Book Antiqua" w:cs="Arial"/>
                <w:b/>
              </w:rPr>
              <w:t>18 September 2018</w:t>
            </w:r>
            <w:bookmarkEnd w:id="2"/>
          </w:p>
        </w:tc>
      </w:tr>
      <w:tr w:rsidR="00D22636" w:rsidRPr="00A56832" w14:paraId="5D7CAB79" w14:textId="77777777" w:rsidTr="00B63045">
        <w:tc>
          <w:tcPr>
            <w:tcW w:w="5868" w:type="dxa"/>
          </w:tcPr>
          <w:p w14:paraId="2F17A516" w14:textId="77777777" w:rsidR="00D22636" w:rsidRPr="00A56832" w:rsidRDefault="00D22636" w:rsidP="00625594">
            <w:pPr>
              <w:widowControl w:val="0"/>
              <w:jc w:val="both"/>
              <w:rPr>
                <w:rFonts w:ascii="Book Antiqua" w:hAnsi="Book Antiqua" w:cs="Arial"/>
                <w:b/>
              </w:rPr>
            </w:pPr>
          </w:p>
        </w:tc>
        <w:tc>
          <w:tcPr>
            <w:tcW w:w="3986" w:type="dxa"/>
          </w:tcPr>
          <w:p w14:paraId="39250D51" w14:textId="77777777" w:rsidR="00D22636" w:rsidRPr="00A56832" w:rsidRDefault="00D22636" w:rsidP="00625594">
            <w:pPr>
              <w:widowControl w:val="0"/>
              <w:jc w:val="right"/>
              <w:rPr>
                <w:rFonts w:ascii="Book Antiqua" w:hAnsi="Book Antiqua" w:cs="Arial"/>
                <w:b/>
              </w:rPr>
            </w:pPr>
          </w:p>
        </w:tc>
      </w:tr>
    </w:tbl>
    <w:p w14:paraId="12CB3300" w14:textId="77777777" w:rsidR="00A15234" w:rsidRPr="00A56832" w:rsidRDefault="00207617" w:rsidP="00625594">
      <w:pPr>
        <w:widowControl w:val="0"/>
        <w:jc w:val="center"/>
        <w:rPr>
          <w:rFonts w:ascii="Book Antiqua" w:hAnsi="Book Antiqua" w:cs="Arial"/>
          <w:b/>
        </w:rPr>
      </w:pPr>
      <w:r w:rsidRPr="00A56832">
        <w:rPr>
          <w:rFonts w:ascii="Book Antiqua" w:hAnsi="Book Antiqua" w:cs="Arial"/>
          <w:b/>
        </w:rPr>
        <w:t>Befo</w:t>
      </w:r>
      <w:r w:rsidR="00A15234" w:rsidRPr="00A56832">
        <w:rPr>
          <w:rFonts w:ascii="Book Antiqua" w:hAnsi="Book Antiqua" w:cs="Arial"/>
          <w:b/>
        </w:rPr>
        <w:t>re</w:t>
      </w:r>
    </w:p>
    <w:p w14:paraId="18704C03" w14:textId="77777777" w:rsidR="00A15234" w:rsidRPr="00A56832" w:rsidRDefault="00A15234" w:rsidP="00625594">
      <w:pPr>
        <w:widowControl w:val="0"/>
        <w:jc w:val="center"/>
        <w:rPr>
          <w:rFonts w:ascii="Book Antiqua" w:hAnsi="Book Antiqua" w:cs="Arial"/>
          <w:b/>
        </w:rPr>
      </w:pPr>
    </w:p>
    <w:p w14:paraId="2720CDBB" w14:textId="77777777" w:rsidR="0064629B" w:rsidRDefault="00DF5833" w:rsidP="00625594">
      <w:pPr>
        <w:widowControl w:val="0"/>
        <w:jc w:val="center"/>
        <w:rPr>
          <w:rFonts w:ascii="Book Antiqua" w:hAnsi="Book Antiqua" w:cs="Arial"/>
          <w:b/>
        </w:rPr>
      </w:pPr>
      <w:r w:rsidRPr="00DF5833">
        <w:rPr>
          <w:rFonts w:ascii="Book Antiqua" w:hAnsi="Book Antiqua" w:cs="Arial"/>
          <w:b/>
        </w:rPr>
        <w:t xml:space="preserve">DEPUTY JUDGE OF THE UPPER TRIBUNAL </w:t>
      </w:r>
      <w:proofErr w:type="spellStart"/>
      <w:r w:rsidRPr="00DF5833">
        <w:rPr>
          <w:rFonts w:ascii="Book Antiqua" w:hAnsi="Book Antiqua" w:cs="Arial"/>
          <w:b/>
        </w:rPr>
        <w:t>McCARTHY</w:t>
      </w:r>
      <w:proofErr w:type="spellEnd"/>
    </w:p>
    <w:p w14:paraId="30815314" w14:textId="77777777" w:rsidR="00DF5833" w:rsidRPr="00A56832" w:rsidRDefault="00DF5833" w:rsidP="00625594">
      <w:pPr>
        <w:widowControl w:val="0"/>
        <w:jc w:val="center"/>
        <w:rPr>
          <w:rFonts w:ascii="Book Antiqua" w:hAnsi="Book Antiqua" w:cs="Arial"/>
          <w:b/>
        </w:rPr>
      </w:pPr>
    </w:p>
    <w:p w14:paraId="6C5CFF6E" w14:textId="77777777" w:rsidR="00A845DC" w:rsidRPr="00A56832" w:rsidRDefault="00A845DC" w:rsidP="00625594">
      <w:pPr>
        <w:widowControl w:val="0"/>
        <w:jc w:val="center"/>
        <w:rPr>
          <w:rFonts w:ascii="Book Antiqua" w:hAnsi="Book Antiqua" w:cs="Arial"/>
          <w:b/>
        </w:rPr>
      </w:pPr>
      <w:r w:rsidRPr="00A56832">
        <w:rPr>
          <w:rFonts w:ascii="Book Antiqua" w:hAnsi="Book Antiqua" w:cs="Arial"/>
          <w:b/>
        </w:rPr>
        <w:t>Between</w:t>
      </w:r>
    </w:p>
    <w:p w14:paraId="46BFFEA5" w14:textId="77777777" w:rsidR="00600177" w:rsidRPr="00A56832" w:rsidRDefault="00600177" w:rsidP="00625594">
      <w:pPr>
        <w:widowControl w:val="0"/>
        <w:jc w:val="center"/>
        <w:rPr>
          <w:rFonts w:ascii="Book Antiqua" w:hAnsi="Book Antiqua" w:cs="Arial"/>
          <w:b/>
        </w:rPr>
      </w:pPr>
    </w:p>
    <w:p w14:paraId="4E98D822" w14:textId="77777777" w:rsidR="00600177" w:rsidRPr="00A56832" w:rsidRDefault="00600177" w:rsidP="00625594">
      <w:pPr>
        <w:widowControl w:val="0"/>
        <w:jc w:val="center"/>
        <w:rPr>
          <w:rFonts w:ascii="Book Antiqua" w:hAnsi="Book Antiqua" w:cs="Arial"/>
          <w:b/>
          <w:caps/>
        </w:rPr>
      </w:pPr>
      <w:r w:rsidRPr="00A5683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3" w:name="Text7"/>
      <w:r w:rsidRPr="00A56832">
        <w:rPr>
          <w:rFonts w:ascii="Book Antiqua" w:hAnsi="Book Antiqua" w:cs="Arial"/>
          <w:b/>
          <w:caps/>
        </w:rPr>
        <w:instrText xml:space="preserve"> FORMTEXT </w:instrText>
      </w:r>
      <w:r w:rsidRPr="00A56832">
        <w:rPr>
          <w:rFonts w:ascii="Book Antiqua" w:hAnsi="Book Antiqua" w:cs="Arial"/>
          <w:b/>
          <w:caps/>
        </w:rPr>
      </w:r>
      <w:r w:rsidRPr="00A56832">
        <w:rPr>
          <w:rFonts w:ascii="Book Antiqua" w:hAnsi="Book Antiqua" w:cs="Arial"/>
          <w:b/>
          <w:caps/>
        </w:rPr>
        <w:fldChar w:fldCharType="separate"/>
      </w:r>
      <w:r w:rsidRPr="00A56832">
        <w:rPr>
          <w:rFonts w:ascii="Book Antiqua" w:hAnsi="Book Antiqua" w:cs="Arial"/>
          <w:b/>
          <w:caps/>
          <w:noProof/>
        </w:rPr>
        <w:t>THE SECRETARY OF STATE FOR THE HOME DEPARTMENT</w:t>
      </w:r>
      <w:r w:rsidRPr="00A56832">
        <w:rPr>
          <w:rFonts w:ascii="Book Antiqua" w:hAnsi="Book Antiqua" w:cs="Arial"/>
          <w:b/>
          <w:caps/>
        </w:rPr>
        <w:fldChar w:fldCharType="end"/>
      </w:r>
      <w:bookmarkEnd w:id="3"/>
    </w:p>
    <w:p w14:paraId="58A8622C" w14:textId="77777777" w:rsidR="00704B61" w:rsidRPr="00A56832" w:rsidRDefault="00704B61" w:rsidP="00625594">
      <w:pPr>
        <w:widowControl w:val="0"/>
        <w:jc w:val="right"/>
        <w:rPr>
          <w:rFonts w:ascii="Book Antiqua" w:hAnsi="Book Antiqua" w:cs="Arial"/>
          <w:u w:val="single"/>
        </w:rPr>
      </w:pPr>
      <w:r w:rsidRPr="00A56832">
        <w:rPr>
          <w:rFonts w:ascii="Book Antiqua" w:hAnsi="Book Antiqua" w:cs="Arial"/>
          <w:u w:val="single"/>
        </w:rPr>
        <w:t>Appellant</w:t>
      </w:r>
    </w:p>
    <w:p w14:paraId="4ECB194F" w14:textId="77777777" w:rsidR="00600177" w:rsidRDefault="00DD5071" w:rsidP="00625594">
      <w:pPr>
        <w:widowControl w:val="0"/>
        <w:jc w:val="center"/>
        <w:rPr>
          <w:rFonts w:ascii="Book Antiqua" w:hAnsi="Book Antiqua" w:cs="Arial"/>
          <w:b/>
          <w:caps/>
        </w:rPr>
      </w:pPr>
      <w:r w:rsidRPr="00A56832">
        <w:rPr>
          <w:rFonts w:ascii="Book Antiqua" w:hAnsi="Book Antiqua" w:cs="Arial"/>
          <w:b/>
        </w:rPr>
        <w:t>and</w:t>
      </w:r>
      <w:r w:rsidR="00600177" w:rsidRPr="00600177">
        <w:rPr>
          <w:rFonts w:ascii="Book Antiqua" w:hAnsi="Book Antiqua" w:cs="Arial"/>
          <w:b/>
          <w:caps/>
        </w:rPr>
        <w:t xml:space="preserve"> </w:t>
      </w:r>
    </w:p>
    <w:p w14:paraId="6096D80B" w14:textId="77777777" w:rsidR="00600177" w:rsidRDefault="00600177" w:rsidP="00625594">
      <w:pPr>
        <w:widowControl w:val="0"/>
        <w:jc w:val="center"/>
        <w:rPr>
          <w:rFonts w:ascii="Book Antiqua" w:hAnsi="Book Antiqua" w:cs="Arial"/>
          <w:b/>
          <w:caps/>
        </w:rPr>
      </w:pPr>
    </w:p>
    <w:p w14:paraId="15EB10DD" w14:textId="48F8447E" w:rsidR="00600177" w:rsidRDefault="009515C2" w:rsidP="00625594">
      <w:pPr>
        <w:widowControl w:val="0"/>
        <w:jc w:val="center"/>
        <w:rPr>
          <w:rFonts w:ascii="Book Antiqua" w:hAnsi="Book Antiqua" w:cs="Arial"/>
          <w:b/>
          <w:caps/>
        </w:rPr>
      </w:pPr>
      <w:r>
        <w:rPr>
          <w:rFonts w:ascii="Book Antiqua" w:hAnsi="Book Antiqua" w:cs="Arial"/>
          <w:b/>
          <w:caps/>
        </w:rPr>
        <w:t xml:space="preserve">jamal </w:t>
      </w:r>
      <w:r w:rsidR="005631F3">
        <w:rPr>
          <w:rFonts w:ascii="Book Antiqua" w:hAnsi="Book Antiqua" w:cs="Arial"/>
          <w:b/>
          <w:caps/>
        </w:rPr>
        <w:t>[</w:t>
      </w:r>
      <w:r>
        <w:rPr>
          <w:rFonts w:ascii="Book Antiqua" w:hAnsi="Book Antiqua" w:cs="Arial"/>
          <w:b/>
          <w:caps/>
        </w:rPr>
        <w:t>M</w:t>
      </w:r>
      <w:r w:rsidR="005631F3">
        <w:rPr>
          <w:rFonts w:ascii="Book Antiqua" w:hAnsi="Book Antiqua" w:cs="Arial"/>
          <w:b/>
          <w:caps/>
        </w:rPr>
        <w:t>]</w:t>
      </w:r>
    </w:p>
    <w:p w14:paraId="75F2B337" w14:textId="77777777" w:rsidR="00600177" w:rsidRPr="00A56832" w:rsidRDefault="00600177" w:rsidP="00625594">
      <w:pPr>
        <w:widowControl w:val="0"/>
        <w:jc w:val="center"/>
        <w:rPr>
          <w:rFonts w:ascii="Book Antiqua" w:hAnsi="Book Antiqua" w:cs="Arial"/>
          <w:b/>
          <w:caps/>
        </w:rPr>
      </w:pPr>
      <w:r>
        <w:rPr>
          <w:rFonts w:ascii="Book Antiqua" w:hAnsi="Book Antiqua" w:cs="Arial"/>
          <w:b/>
          <w:caps/>
        </w:rPr>
        <w:t>(anonymity direction not made)</w:t>
      </w:r>
    </w:p>
    <w:p w14:paraId="7AD24960" w14:textId="77777777" w:rsidR="00DD5071" w:rsidRPr="00A56832" w:rsidRDefault="00DD5071" w:rsidP="00625594">
      <w:pPr>
        <w:widowControl w:val="0"/>
        <w:jc w:val="right"/>
        <w:rPr>
          <w:rFonts w:ascii="Book Antiqua" w:hAnsi="Book Antiqua" w:cs="Arial"/>
          <w:u w:val="single"/>
        </w:rPr>
      </w:pPr>
      <w:r w:rsidRPr="00A56832">
        <w:rPr>
          <w:rFonts w:ascii="Book Antiqua" w:hAnsi="Book Antiqua" w:cs="Arial"/>
          <w:u w:val="single"/>
        </w:rPr>
        <w:t>Respondent</w:t>
      </w:r>
    </w:p>
    <w:p w14:paraId="7055E693" w14:textId="77777777" w:rsidR="00DD5071" w:rsidRPr="00A56832" w:rsidRDefault="00DD5071" w:rsidP="00625594">
      <w:pPr>
        <w:widowControl w:val="0"/>
        <w:rPr>
          <w:rFonts w:ascii="Book Antiqua" w:hAnsi="Book Antiqua" w:cs="Arial"/>
          <w:u w:val="single"/>
        </w:rPr>
      </w:pPr>
    </w:p>
    <w:p w14:paraId="2A7B9B9A" w14:textId="77777777" w:rsidR="00DD5071" w:rsidRPr="00A56832" w:rsidRDefault="00DD5071" w:rsidP="00625594">
      <w:pPr>
        <w:widowControl w:val="0"/>
        <w:rPr>
          <w:rFonts w:ascii="Book Antiqua" w:hAnsi="Book Antiqua" w:cs="Arial"/>
          <w:u w:val="single"/>
        </w:rPr>
      </w:pPr>
    </w:p>
    <w:p w14:paraId="630D22B5" w14:textId="77777777" w:rsidR="00DD5071" w:rsidRPr="00A56832" w:rsidRDefault="00DE7DB7" w:rsidP="00625594">
      <w:pPr>
        <w:widowControl w:val="0"/>
        <w:rPr>
          <w:rFonts w:ascii="Book Antiqua" w:hAnsi="Book Antiqua" w:cs="Arial"/>
        </w:rPr>
      </w:pPr>
      <w:r w:rsidRPr="00A56832">
        <w:rPr>
          <w:rFonts w:ascii="Book Antiqua" w:hAnsi="Book Antiqua" w:cs="Arial"/>
          <w:b/>
          <w:u w:val="single"/>
        </w:rPr>
        <w:t>Representation</w:t>
      </w:r>
      <w:r w:rsidRPr="00A56832">
        <w:rPr>
          <w:rFonts w:ascii="Book Antiqua" w:hAnsi="Book Antiqua" w:cs="Arial"/>
          <w:b/>
        </w:rPr>
        <w:t>:</w:t>
      </w:r>
    </w:p>
    <w:p w14:paraId="09F969B3" w14:textId="77777777" w:rsidR="00DE7DB7" w:rsidRPr="00A56832" w:rsidRDefault="00DE7DB7" w:rsidP="00625594">
      <w:pPr>
        <w:widowControl w:val="0"/>
        <w:rPr>
          <w:rFonts w:ascii="Book Antiqua" w:hAnsi="Book Antiqua" w:cs="Arial"/>
        </w:rPr>
      </w:pPr>
    </w:p>
    <w:p w14:paraId="4058B9BD" w14:textId="77777777" w:rsidR="00DE7DB7" w:rsidRPr="00A56832" w:rsidRDefault="00DE7DB7" w:rsidP="00625594">
      <w:pPr>
        <w:widowControl w:val="0"/>
        <w:tabs>
          <w:tab w:val="left" w:pos="2520"/>
        </w:tabs>
        <w:rPr>
          <w:rFonts w:ascii="Book Antiqua" w:hAnsi="Book Antiqua" w:cs="Arial"/>
        </w:rPr>
      </w:pPr>
      <w:r w:rsidRPr="00A56832">
        <w:rPr>
          <w:rFonts w:ascii="Book Antiqua" w:hAnsi="Book Antiqua" w:cs="Arial"/>
        </w:rPr>
        <w:t>For the Appellant:</w:t>
      </w:r>
      <w:r w:rsidRPr="00A56832">
        <w:rPr>
          <w:rFonts w:ascii="Book Antiqua" w:hAnsi="Book Antiqua" w:cs="Arial"/>
        </w:rPr>
        <w:tab/>
      </w:r>
      <w:r w:rsidR="00600177">
        <w:rPr>
          <w:rFonts w:ascii="Book Antiqua" w:hAnsi="Book Antiqua" w:cs="Arial"/>
        </w:rPr>
        <w:t xml:space="preserve">Ms A </w:t>
      </w:r>
      <w:proofErr w:type="spellStart"/>
      <w:r w:rsidR="00600177">
        <w:rPr>
          <w:rFonts w:ascii="Book Antiqua" w:hAnsi="Book Antiqua" w:cs="Arial"/>
        </w:rPr>
        <w:t>Fijiwala</w:t>
      </w:r>
      <w:proofErr w:type="spellEnd"/>
      <w:r w:rsidR="00600177">
        <w:rPr>
          <w:rFonts w:ascii="Book Antiqua" w:hAnsi="Book Antiqua" w:cs="Arial"/>
        </w:rPr>
        <w:t>, Home Office Presenting Officer</w:t>
      </w:r>
    </w:p>
    <w:p w14:paraId="26DA6CF7" w14:textId="77777777" w:rsidR="00DE7DB7" w:rsidRPr="00A56832" w:rsidRDefault="00DE7DB7" w:rsidP="00625594">
      <w:pPr>
        <w:widowControl w:val="0"/>
        <w:tabs>
          <w:tab w:val="left" w:pos="2520"/>
        </w:tabs>
        <w:rPr>
          <w:rFonts w:ascii="Book Antiqua" w:hAnsi="Book Antiqua" w:cs="Arial"/>
        </w:rPr>
      </w:pPr>
      <w:r w:rsidRPr="00A56832">
        <w:rPr>
          <w:rFonts w:ascii="Book Antiqua" w:hAnsi="Book Antiqua" w:cs="Arial"/>
        </w:rPr>
        <w:t>For the Respondent:</w:t>
      </w:r>
      <w:r w:rsidRPr="00A56832">
        <w:rPr>
          <w:rFonts w:ascii="Book Antiqua" w:hAnsi="Book Antiqua" w:cs="Arial"/>
        </w:rPr>
        <w:tab/>
      </w:r>
      <w:r w:rsidR="009515C2">
        <w:rPr>
          <w:rFonts w:ascii="Book Antiqua" w:hAnsi="Book Antiqua" w:cs="Arial"/>
        </w:rPr>
        <w:t>Mr K Gayle</w:t>
      </w:r>
      <w:r w:rsidR="00600177">
        <w:rPr>
          <w:rFonts w:ascii="Book Antiqua" w:hAnsi="Book Antiqua" w:cs="Arial"/>
        </w:rPr>
        <w:t xml:space="preserve">, Counsel instructed by </w:t>
      </w:r>
      <w:r w:rsidR="009515C2">
        <w:rPr>
          <w:rFonts w:ascii="Book Antiqua" w:hAnsi="Book Antiqua" w:cs="Arial"/>
        </w:rPr>
        <w:t>Elder Rahimi</w:t>
      </w:r>
      <w:r w:rsidR="00600177">
        <w:rPr>
          <w:rFonts w:ascii="Book Antiqua" w:hAnsi="Book Antiqua" w:cs="Arial"/>
        </w:rPr>
        <w:t xml:space="preserve"> Solicitors</w:t>
      </w:r>
    </w:p>
    <w:p w14:paraId="24930963" w14:textId="77777777" w:rsidR="00DE7DB7" w:rsidRPr="00A56832" w:rsidRDefault="00DE7DB7" w:rsidP="00625594">
      <w:pPr>
        <w:widowControl w:val="0"/>
        <w:tabs>
          <w:tab w:val="left" w:pos="2520"/>
        </w:tabs>
        <w:jc w:val="center"/>
        <w:rPr>
          <w:rFonts w:ascii="Book Antiqua" w:hAnsi="Book Antiqua" w:cs="Arial"/>
        </w:rPr>
      </w:pPr>
    </w:p>
    <w:p w14:paraId="37DBE3A5" w14:textId="77777777" w:rsidR="00DE7DB7" w:rsidRPr="00A56832" w:rsidRDefault="00B63045" w:rsidP="00625594">
      <w:pPr>
        <w:widowControl w:val="0"/>
        <w:tabs>
          <w:tab w:val="left" w:pos="2520"/>
        </w:tabs>
        <w:jc w:val="center"/>
        <w:rPr>
          <w:rFonts w:ascii="Book Antiqua" w:hAnsi="Book Antiqua" w:cs="Arial"/>
        </w:rPr>
      </w:pPr>
      <w:r>
        <w:rPr>
          <w:rFonts w:ascii="Book Antiqua" w:hAnsi="Book Antiqua" w:cs="Arial"/>
          <w:b/>
          <w:u w:val="single"/>
        </w:rPr>
        <w:t>DECISION</w:t>
      </w:r>
      <w:r w:rsidRPr="00A56832">
        <w:rPr>
          <w:rFonts w:ascii="Book Antiqua" w:hAnsi="Book Antiqua" w:cs="Arial"/>
          <w:b/>
          <w:u w:val="single"/>
        </w:rPr>
        <w:t xml:space="preserve"> </w:t>
      </w:r>
      <w:r w:rsidR="00402B9E" w:rsidRPr="00A56832">
        <w:rPr>
          <w:rFonts w:ascii="Book Antiqua" w:hAnsi="Book Antiqua" w:cs="Arial"/>
          <w:b/>
          <w:u w:val="single"/>
        </w:rPr>
        <w:t>AND REASONS</w:t>
      </w:r>
    </w:p>
    <w:p w14:paraId="09B91221" w14:textId="77777777" w:rsidR="00B626FA" w:rsidRPr="00A56832" w:rsidRDefault="00B626FA" w:rsidP="00625594">
      <w:pPr>
        <w:widowControl w:val="0"/>
        <w:tabs>
          <w:tab w:val="left" w:pos="2520"/>
        </w:tabs>
        <w:ind w:left="567" w:hanging="567"/>
        <w:jc w:val="both"/>
        <w:rPr>
          <w:rFonts w:ascii="Book Antiqua" w:hAnsi="Book Antiqua" w:cs="Arial"/>
        </w:rPr>
      </w:pPr>
    </w:p>
    <w:p w14:paraId="1BF91FA8" w14:textId="77777777" w:rsidR="004F48CB" w:rsidRDefault="004F48CB" w:rsidP="00692909">
      <w:pPr>
        <w:widowControl w:val="0"/>
        <w:numPr>
          <w:ilvl w:val="0"/>
          <w:numId w:val="19"/>
        </w:numPr>
        <w:spacing w:after="240"/>
        <w:ind w:left="567" w:hanging="567"/>
        <w:jc w:val="both"/>
        <w:rPr>
          <w:rFonts w:ascii="Book Antiqua" w:hAnsi="Book Antiqua" w:cs="Arial"/>
        </w:rPr>
      </w:pPr>
      <w:r>
        <w:rPr>
          <w:rFonts w:ascii="Book Antiqua" w:hAnsi="Book Antiqua" w:cs="Arial"/>
        </w:rPr>
        <w:t xml:space="preserve">The </w:t>
      </w:r>
      <w:r w:rsidR="00C60FEE">
        <w:rPr>
          <w:rFonts w:ascii="Book Antiqua" w:hAnsi="Book Antiqua" w:cs="Arial"/>
        </w:rPr>
        <w:t>respondent</w:t>
      </w:r>
      <w:r>
        <w:rPr>
          <w:rFonts w:ascii="Book Antiqua" w:hAnsi="Book Antiqua" w:cs="Arial"/>
        </w:rPr>
        <w:t xml:space="preserve"> was born on 8 May 1999 and is </w:t>
      </w:r>
      <w:proofErr w:type="gramStart"/>
      <w:r>
        <w:rPr>
          <w:rFonts w:ascii="Book Antiqua" w:hAnsi="Book Antiqua" w:cs="Arial"/>
        </w:rPr>
        <w:t>a</w:t>
      </w:r>
      <w:proofErr w:type="gramEnd"/>
      <w:r>
        <w:rPr>
          <w:rFonts w:ascii="Book Antiqua" w:hAnsi="Book Antiqua" w:cs="Arial"/>
        </w:rPr>
        <w:t xml:space="preserve"> Iranian national of Kurdish ethnicity.</w:t>
      </w:r>
    </w:p>
    <w:p w14:paraId="3F403531" w14:textId="77777777" w:rsidR="004F48CB" w:rsidRDefault="004F48CB" w:rsidP="00692909">
      <w:pPr>
        <w:widowControl w:val="0"/>
        <w:numPr>
          <w:ilvl w:val="0"/>
          <w:numId w:val="19"/>
        </w:numPr>
        <w:spacing w:after="240"/>
        <w:ind w:left="567" w:hanging="567"/>
        <w:jc w:val="both"/>
        <w:rPr>
          <w:rFonts w:ascii="Book Antiqua" w:hAnsi="Book Antiqua" w:cs="Arial"/>
        </w:rPr>
      </w:pPr>
      <w:r>
        <w:rPr>
          <w:rFonts w:ascii="Book Antiqua" w:hAnsi="Book Antiqua" w:cs="Arial"/>
        </w:rPr>
        <w:t xml:space="preserve">On 5 July 2018, First-tier Tribunal Judge E B Grant granted the Secretary of State permission to appeal against the decision and reasons statement of First-tier Tribunal Judge Heatherington that was issued on 14 June 2018.  Judge Heatherington found the </w:t>
      </w:r>
      <w:r w:rsidR="00C60FEE">
        <w:rPr>
          <w:rFonts w:ascii="Book Antiqua" w:hAnsi="Book Antiqua" w:cs="Arial"/>
        </w:rPr>
        <w:t>respondent</w:t>
      </w:r>
      <w:r>
        <w:rPr>
          <w:rFonts w:ascii="Book Antiqua" w:hAnsi="Book Antiqua" w:cs="Arial"/>
        </w:rPr>
        <w:t xml:space="preserve"> to be credible on the core issues of his protection claim, namely that he had a low-level involvement in the KDPI and concluded the </w:t>
      </w:r>
      <w:r w:rsidR="00C60FEE">
        <w:rPr>
          <w:rFonts w:ascii="Book Antiqua" w:hAnsi="Book Antiqua" w:cs="Arial"/>
        </w:rPr>
        <w:t>respondent</w:t>
      </w:r>
      <w:r>
        <w:rPr>
          <w:rFonts w:ascii="Book Antiqua" w:hAnsi="Book Antiqua" w:cs="Arial"/>
        </w:rPr>
        <w:t xml:space="preserve"> had a well-founded fear of persecution in Iran because of his political opinions.  The Secretary of State argued Judge Heatherington’s findings were inadequate owing to a lack of reasoning.</w:t>
      </w:r>
    </w:p>
    <w:p w14:paraId="1D456561" w14:textId="77777777" w:rsidR="00692909" w:rsidRPr="00692909" w:rsidRDefault="00692909" w:rsidP="00692909">
      <w:pPr>
        <w:widowControl w:val="0"/>
        <w:numPr>
          <w:ilvl w:val="0"/>
          <w:numId w:val="19"/>
        </w:numPr>
        <w:spacing w:after="240"/>
        <w:ind w:left="567" w:hanging="567"/>
        <w:jc w:val="both"/>
        <w:rPr>
          <w:rFonts w:ascii="Book Antiqua" w:hAnsi="Book Antiqua" w:cs="Arial"/>
        </w:rPr>
      </w:pPr>
      <w:r w:rsidRPr="00692909">
        <w:rPr>
          <w:rFonts w:ascii="Book Antiqua" w:hAnsi="Book Antiqua" w:cs="Arial"/>
        </w:rPr>
        <w:t xml:space="preserve">After hearing from Ms </w:t>
      </w:r>
      <w:proofErr w:type="spellStart"/>
      <w:r w:rsidRPr="00692909">
        <w:rPr>
          <w:rFonts w:ascii="Book Antiqua" w:hAnsi="Book Antiqua" w:cs="Arial"/>
        </w:rPr>
        <w:t>Fijiwala</w:t>
      </w:r>
      <w:proofErr w:type="spellEnd"/>
      <w:r w:rsidRPr="00692909">
        <w:rPr>
          <w:rFonts w:ascii="Book Antiqua" w:hAnsi="Book Antiqua" w:cs="Arial"/>
        </w:rPr>
        <w:t xml:space="preserve"> and Mr Gayle, I announced my decision.</w:t>
      </w:r>
    </w:p>
    <w:p w14:paraId="0A4F0625" w14:textId="77777777" w:rsidR="004F48CB" w:rsidRPr="00692909" w:rsidRDefault="004F48CB" w:rsidP="004F48CB">
      <w:pPr>
        <w:widowControl w:val="0"/>
        <w:numPr>
          <w:ilvl w:val="0"/>
          <w:numId w:val="19"/>
        </w:numPr>
        <w:spacing w:after="240"/>
        <w:ind w:left="567" w:hanging="567"/>
        <w:jc w:val="both"/>
        <w:rPr>
          <w:rFonts w:ascii="Book Antiqua" w:hAnsi="Book Antiqua" w:cs="Arial"/>
        </w:rPr>
      </w:pPr>
      <w:r w:rsidRPr="00692909">
        <w:rPr>
          <w:rFonts w:ascii="Book Antiqua" w:hAnsi="Book Antiqua" w:cs="Arial"/>
        </w:rPr>
        <w:lastRenderedPageBreak/>
        <w:t xml:space="preserve">Of course, there is nothing in </w:t>
      </w:r>
      <w:r>
        <w:rPr>
          <w:rFonts w:ascii="Book Antiqua" w:hAnsi="Book Antiqua" w:cs="Arial"/>
        </w:rPr>
        <w:t>any argument</w:t>
      </w:r>
      <w:r w:rsidRPr="00692909">
        <w:rPr>
          <w:rFonts w:ascii="Book Antiqua" w:hAnsi="Book Antiqua" w:cs="Arial"/>
        </w:rPr>
        <w:t xml:space="preserve"> that a decision contains an error of law merely because it is brief.</w:t>
      </w:r>
      <w:r>
        <w:rPr>
          <w:rFonts w:ascii="Book Antiqua" w:hAnsi="Book Antiqua" w:cs="Arial"/>
        </w:rPr>
        <w:t xml:space="preserve">  I mention this because the grant of permission alludes to the decision and reasons statement being short.</w:t>
      </w:r>
    </w:p>
    <w:p w14:paraId="14AB6CFF" w14:textId="77777777" w:rsidR="00692909" w:rsidRPr="00692909" w:rsidRDefault="00692909" w:rsidP="00692909">
      <w:pPr>
        <w:widowControl w:val="0"/>
        <w:numPr>
          <w:ilvl w:val="0"/>
          <w:numId w:val="19"/>
        </w:numPr>
        <w:spacing w:after="240"/>
        <w:ind w:left="567" w:hanging="567"/>
        <w:jc w:val="both"/>
        <w:rPr>
          <w:rFonts w:ascii="Book Antiqua" w:hAnsi="Book Antiqua" w:cs="Arial"/>
        </w:rPr>
      </w:pPr>
      <w:r w:rsidRPr="00692909">
        <w:rPr>
          <w:rFonts w:ascii="Book Antiqua" w:hAnsi="Book Antiqua" w:cs="Arial"/>
        </w:rPr>
        <w:t xml:space="preserve">I am satisfied Judge Heatherington </w:t>
      </w:r>
      <w:r w:rsidR="004F48CB">
        <w:rPr>
          <w:rFonts w:ascii="Book Antiqua" w:hAnsi="Book Antiqua" w:cs="Arial"/>
        </w:rPr>
        <w:t>adequately</w:t>
      </w:r>
      <w:r w:rsidRPr="00692909">
        <w:rPr>
          <w:rFonts w:ascii="Book Antiqua" w:hAnsi="Book Antiqua" w:cs="Arial"/>
        </w:rPr>
        <w:t xml:space="preserve"> considered and determined the issues held against the appellant’s credibility in paragraphs 27, 28, 29, 30, 31 and 32 of the reasons for refusal letter dated 1 March 2018.  </w:t>
      </w:r>
      <w:r w:rsidR="004F48CB">
        <w:rPr>
          <w:rFonts w:ascii="Book Antiqua" w:hAnsi="Book Antiqua" w:cs="Arial"/>
        </w:rPr>
        <w:t>Judge Heatherington deals with the issues arising in paragraph 27 and 28 in paragraph 8.6(a) of his decision, with the issues arising in paragraphs 30 and 31 in paragraph 8.6(c) of his decision and the issues arising in paragraph 32 in his paragraph 8.6(b).  In each case, Judge Heatherington has provided sufficient indication that he was aware of the Secretary of State’s allegations and why those allegations did not stand.</w:t>
      </w:r>
      <w:r w:rsidR="00C60FEE" w:rsidRPr="00C60FEE">
        <w:rPr>
          <w:rFonts w:ascii="Book Antiqua" w:hAnsi="Book Antiqua" w:cs="Arial"/>
        </w:rPr>
        <w:t xml:space="preserve"> </w:t>
      </w:r>
      <w:r w:rsidR="00C60FEE">
        <w:rPr>
          <w:rFonts w:ascii="Book Antiqua" w:hAnsi="Book Antiqua" w:cs="Arial"/>
        </w:rPr>
        <w:t>I find the</w:t>
      </w:r>
      <w:r w:rsidR="00C60FEE" w:rsidRPr="00692909">
        <w:rPr>
          <w:rFonts w:ascii="Book Antiqua" w:hAnsi="Book Antiqua" w:cs="Arial"/>
        </w:rPr>
        <w:t xml:space="preserve"> </w:t>
      </w:r>
      <w:r w:rsidR="00C60FEE">
        <w:rPr>
          <w:rFonts w:ascii="Book Antiqua" w:hAnsi="Book Antiqua" w:cs="Arial"/>
        </w:rPr>
        <w:t>Secretary of State’s</w:t>
      </w:r>
      <w:r w:rsidR="00C60FEE" w:rsidRPr="00692909">
        <w:rPr>
          <w:rFonts w:ascii="Book Antiqua" w:hAnsi="Book Antiqua" w:cs="Arial"/>
        </w:rPr>
        <w:t xml:space="preserve"> allegations that </w:t>
      </w:r>
      <w:r w:rsidR="00C60FEE">
        <w:rPr>
          <w:rFonts w:ascii="Book Antiqua" w:hAnsi="Book Antiqua" w:cs="Arial"/>
        </w:rPr>
        <w:t>Judge Heatherington</w:t>
      </w:r>
      <w:r w:rsidR="00C60FEE" w:rsidRPr="00692909">
        <w:rPr>
          <w:rFonts w:ascii="Book Antiqua" w:hAnsi="Book Antiqua" w:cs="Arial"/>
        </w:rPr>
        <w:t xml:space="preserve"> did otherwise is mere disagreement with the findings made.  </w:t>
      </w:r>
    </w:p>
    <w:p w14:paraId="0F8124EB" w14:textId="77777777" w:rsidR="00692909" w:rsidRDefault="00692909" w:rsidP="00C60FEE">
      <w:pPr>
        <w:widowControl w:val="0"/>
        <w:numPr>
          <w:ilvl w:val="0"/>
          <w:numId w:val="19"/>
        </w:numPr>
        <w:spacing w:after="240"/>
        <w:ind w:left="567" w:hanging="567"/>
        <w:jc w:val="both"/>
        <w:rPr>
          <w:rFonts w:ascii="Book Antiqua" w:hAnsi="Book Antiqua" w:cs="Arial"/>
        </w:rPr>
      </w:pPr>
      <w:r w:rsidRPr="00692909">
        <w:rPr>
          <w:rFonts w:ascii="Book Antiqua" w:hAnsi="Book Antiqua" w:cs="Arial"/>
        </w:rPr>
        <w:t xml:space="preserve">In reaching this decision I have remembered that reasons do not have to be lengthy.  I have also accepted Mr Gayle’s submission that the arguments presented by the respondent in the reasons for refusal letter were weakened by the fact they misrepresented the </w:t>
      </w:r>
      <w:r w:rsidR="00C60FEE">
        <w:rPr>
          <w:rFonts w:ascii="Book Antiqua" w:hAnsi="Book Antiqua" w:cs="Arial"/>
        </w:rPr>
        <w:t>respondent’s</w:t>
      </w:r>
      <w:r w:rsidRPr="00692909">
        <w:rPr>
          <w:rFonts w:ascii="Book Antiqua" w:hAnsi="Book Antiqua" w:cs="Arial"/>
        </w:rPr>
        <w:t xml:space="preserve"> evidence when interviewed.  For example, </w:t>
      </w:r>
      <w:r w:rsidR="00C60FEE">
        <w:rPr>
          <w:rFonts w:ascii="Book Antiqua" w:hAnsi="Book Antiqua" w:cs="Arial"/>
        </w:rPr>
        <w:t xml:space="preserve">in answer to question 50 in the asylum interview, </w:t>
      </w:r>
      <w:r w:rsidRPr="00692909">
        <w:rPr>
          <w:rFonts w:ascii="Book Antiqua" w:hAnsi="Book Antiqua" w:cs="Arial"/>
        </w:rPr>
        <w:t xml:space="preserve">the </w:t>
      </w:r>
      <w:r w:rsidR="00C60FEE">
        <w:rPr>
          <w:rFonts w:ascii="Book Antiqua" w:hAnsi="Book Antiqua" w:cs="Arial"/>
        </w:rPr>
        <w:t>respondent</w:t>
      </w:r>
      <w:r w:rsidRPr="00692909">
        <w:rPr>
          <w:rFonts w:ascii="Book Antiqua" w:hAnsi="Book Antiqua" w:cs="Arial"/>
        </w:rPr>
        <w:t xml:space="preserve"> said he did not know if the Iranian authorities recognised him when ambushed.  It di</w:t>
      </w:r>
      <w:r w:rsidR="00C60FEE">
        <w:rPr>
          <w:rFonts w:ascii="Book Antiqua" w:hAnsi="Book Antiqua" w:cs="Arial"/>
        </w:rPr>
        <w:t>d not follow, as alleged in the reasons for refusal letter</w:t>
      </w:r>
      <w:r w:rsidRPr="00692909">
        <w:rPr>
          <w:rFonts w:ascii="Book Antiqua" w:hAnsi="Book Antiqua" w:cs="Arial"/>
        </w:rPr>
        <w:t xml:space="preserve">, that the Iranian authorities had no interest in him.  </w:t>
      </w:r>
      <w:r w:rsidR="00C60FEE">
        <w:rPr>
          <w:rFonts w:ascii="Book Antiqua" w:hAnsi="Book Antiqua" w:cs="Arial"/>
        </w:rPr>
        <w:t>But these points merely add weight to what is obvious, that Judge Heatherington dealt sufficiently with the core issues in the appeal.</w:t>
      </w:r>
    </w:p>
    <w:p w14:paraId="6871FA46" w14:textId="77777777" w:rsidR="00C60FEE" w:rsidRPr="00692909" w:rsidRDefault="00C60FEE" w:rsidP="00692909">
      <w:pPr>
        <w:widowControl w:val="0"/>
        <w:numPr>
          <w:ilvl w:val="0"/>
          <w:numId w:val="19"/>
        </w:numPr>
        <w:spacing w:after="240"/>
        <w:ind w:left="567" w:hanging="567"/>
        <w:jc w:val="both"/>
        <w:rPr>
          <w:rFonts w:ascii="Book Antiqua" w:hAnsi="Book Antiqua" w:cs="Arial"/>
        </w:rPr>
      </w:pPr>
      <w:r>
        <w:rPr>
          <w:rFonts w:ascii="Book Antiqua" w:hAnsi="Book Antiqua" w:cs="Arial"/>
        </w:rPr>
        <w:t>I have also considered whether Judge Heatherington dealt appropriately with the allegations that were made about whether the respondent left Iran illegally.  Although Judge Heatherington makes no direct reference to paragraphs 35 and 36 of the reasons for refusal letter he did not have to address them since the allegation the appellant had not left illegally was predicated on the respondent not being credible on his core account.  I find there is no legal error on this point.</w:t>
      </w:r>
    </w:p>
    <w:p w14:paraId="779B4464" w14:textId="77777777" w:rsidR="00692909" w:rsidRPr="00692909" w:rsidRDefault="00692909" w:rsidP="00692909">
      <w:pPr>
        <w:widowControl w:val="0"/>
        <w:numPr>
          <w:ilvl w:val="0"/>
          <w:numId w:val="19"/>
        </w:numPr>
        <w:spacing w:after="240"/>
        <w:ind w:left="567" w:hanging="567"/>
        <w:jc w:val="both"/>
        <w:rPr>
          <w:rFonts w:ascii="Book Antiqua" w:hAnsi="Book Antiqua" w:cs="Arial"/>
        </w:rPr>
      </w:pPr>
      <w:r w:rsidRPr="00692909">
        <w:rPr>
          <w:rFonts w:ascii="Book Antiqua" w:hAnsi="Book Antiqua" w:cs="Arial"/>
        </w:rPr>
        <w:t xml:space="preserve">I am not satisfied, however, that Judge Heatherington made findings in relation to the section 8 issues raised in paragraph 37 of the reasons for refusal letter.  There is no explicit mention of those issues in his decision and reasons statement. It is trite law that the judge was required to take into consideration the failure of the </w:t>
      </w:r>
      <w:r w:rsidR="00425598">
        <w:rPr>
          <w:rFonts w:ascii="Book Antiqua" w:hAnsi="Book Antiqua" w:cs="Arial"/>
        </w:rPr>
        <w:t xml:space="preserve">respondent </w:t>
      </w:r>
      <w:r w:rsidRPr="00692909">
        <w:rPr>
          <w:rFonts w:ascii="Book Antiqua" w:hAnsi="Book Antiqua" w:cs="Arial"/>
        </w:rPr>
        <w:t>to claim asylum in France.  Not only was that a requirement under section 8 but it is also part and parcel of the proper approach to paragraph 339L of the immigration rules, with reference to paragraph 339N.</w:t>
      </w:r>
    </w:p>
    <w:p w14:paraId="1A9B9EED" w14:textId="77777777" w:rsidR="00692909" w:rsidRPr="00692909" w:rsidRDefault="00692909" w:rsidP="00692909">
      <w:pPr>
        <w:widowControl w:val="0"/>
        <w:numPr>
          <w:ilvl w:val="0"/>
          <w:numId w:val="19"/>
        </w:numPr>
        <w:spacing w:after="240"/>
        <w:ind w:left="567" w:hanging="567"/>
        <w:jc w:val="both"/>
        <w:rPr>
          <w:rFonts w:ascii="Book Antiqua" w:hAnsi="Book Antiqua" w:cs="Arial"/>
        </w:rPr>
      </w:pPr>
      <w:r w:rsidRPr="00692909">
        <w:rPr>
          <w:rFonts w:ascii="Book Antiqua" w:hAnsi="Book Antiqua" w:cs="Arial"/>
        </w:rPr>
        <w:t xml:space="preserve">I find </w:t>
      </w:r>
      <w:r w:rsidR="00C60FEE">
        <w:rPr>
          <w:rFonts w:ascii="Book Antiqua" w:hAnsi="Book Antiqua" w:cs="Arial"/>
        </w:rPr>
        <w:t>this failure amounts to</w:t>
      </w:r>
      <w:r w:rsidRPr="00692909">
        <w:rPr>
          <w:rFonts w:ascii="Book Antiqua" w:hAnsi="Book Antiqua" w:cs="Arial"/>
        </w:rPr>
        <w:t xml:space="preserve"> legal error in the decision.</w:t>
      </w:r>
    </w:p>
    <w:p w14:paraId="5F2CA178" w14:textId="77777777" w:rsidR="00692909" w:rsidRPr="00692909" w:rsidRDefault="00692909" w:rsidP="00692909">
      <w:pPr>
        <w:widowControl w:val="0"/>
        <w:numPr>
          <w:ilvl w:val="0"/>
          <w:numId w:val="19"/>
        </w:numPr>
        <w:spacing w:after="240"/>
        <w:ind w:left="567" w:hanging="567"/>
        <w:jc w:val="both"/>
        <w:rPr>
          <w:rFonts w:ascii="Book Antiqua" w:hAnsi="Book Antiqua" w:cs="Arial"/>
        </w:rPr>
      </w:pPr>
      <w:r w:rsidRPr="00692909">
        <w:rPr>
          <w:rFonts w:ascii="Book Antiqua" w:hAnsi="Book Antiqua" w:cs="Arial"/>
        </w:rPr>
        <w:t xml:space="preserve">However, I do not find </w:t>
      </w:r>
      <w:r w:rsidR="00C60FEE">
        <w:rPr>
          <w:rFonts w:ascii="Book Antiqua" w:hAnsi="Book Antiqua" w:cs="Arial"/>
        </w:rPr>
        <w:t>this</w:t>
      </w:r>
      <w:r w:rsidRPr="00692909">
        <w:rPr>
          <w:rFonts w:ascii="Book Antiqua" w:hAnsi="Book Antiqua" w:cs="Arial"/>
        </w:rPr>
        <w:t xml:space="preserve"> error is sufficient to set aside the decision.  </w:t>
      </w:r>
      <w:r w:rsidR="00C60FEE">
        <w:rPr>
          <w:rFonts w:ascii="Book Antiqua" w:hAnsi="Book Antiqua" w:cs="Arial"/>
        </w:rPr>
        <w:t xml:space="preserve">At paragraph 36 of the reasons for refusal letter, the Secretary of State records the respondent explained he had not claimed asylum in France because he did not know where he was and he followed the agent’s (the person directing his journey) advice.  This is a reasonable explanation given what is known about refugee migration routes and the actions of such agents, particularly bearing in mind the respondent’s limited </w:t>
      </w:r>
      <w:r w:rsidR="00C60FEE">
        <w:rPr>
          <w:rFonts w:ascii="Book Antiqua" w:hAnsi="Book Antiqua" w:cs="Arial"/>
        </w:rPr>
        <w:lastRenderedPageBreak/>
        <w:t xml:space="preserve">educational attainment and the fact he </w:t>
      </w:r>
      <w:r w:rsidR="00506FF7">
        <w:rPr>
          <w:rFonts w:ascii="Book Antiqua" w:hAnsi="Book Antiqua" w:cs="Arial"/>
        </w:rPr>
        <w:t>was just 18 when he left Iran.  Given that the core of the respondent’s account was found for good reasons to be sound, weight can be given to this explanation and that is sufficient to rebut the section 8 allegation.</w:t>
      </w:r>
    </w:p>
    <w:p w14:paraId="4E3B5B59" w14:textId="77777777" w:rsidR="00600177" w:rsidRPr="00506FF7" w:rsidRDefault="00692909" w:rsidP="00625594">
      <w:pPr>
        <w:widowControl w:val="0"/>
        <w:numPr>
          <w:ilvl w:val="0"/>
          <w:numId w:val="19"/>
        </w:numPr>
        <w:spacing w:after="240"/>
        <w:ind w:left="567" w:hanging="567"/>
        <w:jc w:val="both"/>
        <w:rPr>
          <w:rFonts w:ascii="Book Antiqua" w:hAnsi="Book Antiqua" w:cs="Arial"/>
        </w:rPr>
      </w:pPr>
      <w:r w:rsidRPr="00692909">
        <w:rPr>
          <w:rFonts w:ascii="Book Antiqua" w:hAnsi="Book Antiqua" w:cs="Arial"/>
        </w:rPr>
        <w:t>Therefore, despite there being legal error, I uphold the decision of Judge Heatherington that the appellant is a refugee.</w:t>
      </w:r>
    </w:p>
    <w:p w14:paraId="562C4E9B" w14:textId="77777777" w:rsidR="00B63045" w:rsidRPr="005F4AF7" w:rsidRDefault="00B63045" w:rsidP="00625594">
      <w:pPr>
        <w:widowControl w:val="0"/>
        <w:jc w:val="both"/>
        <w:outlineLvl w:val="0"/>
        <w:rPr>
          <w:rFonts w:ascii="Book Antiqua" w:hAnsi="Book Antiqua" w:cs="Arial"/>
          <w:b/>
          <w:u w:val="single"/>
        </w:rPr>
      </w:pPr>
      <w:r>
        <w:rPr>
          <w:rFonts w:ascii="Book Antiqua" w:hAnsi="Book Antiqua" w:cs="Arial"/>
          <w:b/>
          <w:u w:val="single"/>
        </w:rPr>
        <w:t>Notice of Decision</w:t>
      </w:r>
    </w:p>
    <w:p w14:paraId="7CD07203" w14:textId="77777777" w:rsidR="00B63045" w:rsidRDefault="00B63045" w:rsidP="00625594">
      <w:pPr>
        <w:widowControl w:val="0"/>
        <w:tabs>
          <w:tab w:val="left" w:pos="567"/>
        </w:tabs>
        <w:jc w:val="both"/>
        <w:rPr>
          <w:rFonts w:ascii="Book Antiqua" w:hAnsi="Book Antiqua" w:cs="Arial"/>
        </w:rPr>
      </w:pPr>
    </w:p>
    <w:p w14:paraId="63B2D7E5" w14:textId="77777777" w:rsidR="00506FF7" w:rsidRPr="00692909" w:rsidRDefault="00506FF7" w:rsidP="00506FF7">
      <w:pPr>
        <w:widowControl w:val="0"/>
        <w:jc w:val="both"/>
        <w:rPr>
          <w:rFonts w:ascii="Book Antiqua" w:hAnsi="Book Antiqua" w:cs="Arial"/>
        </w:rPr>
      </w:pPr>
      <w:r w:rsidRPr="00692909">
        <w:rPr>
          <w:rFonts w:ascii="Book Antiqua" w:hAnsi="Book Antiqua" w:cs="Arial"/>
        </w:rPr>
        <w:t>There is legal error in the decision and reasons statement of First-tier Tribunal Judge Heatherington but it is not sufficient to set aside his decision because it is not material.</w:t>
      </w:r>
    </w:p>
    <w:p w14:paraId="5F11614E" w14:textId="77777777" w:rsidR="00B63045" w:rsidRDefault="00B63045" w:rsidP="00625594">
      <w:pPr>
        <w:widowControl w:val="0"/>
        <w:jc w:val="both"/>
        <w:rPr>
          <w:rFonts w:ascii="Book Antiqua" w:hAnsi="Book Antiqua" w:cs="Arial"/>
        </w:rPr>
      </w:pPr>
    </w:p>
    <w:p w14:paraId="38CEC381" w14:textId="77777777" w:rsidR="00506FF7" w:rsidRPr="00692909" w:rsidRDefault="00506FF7" w:rsidP="00506FF7">
      <w:pPr>
        <w:widowControl w:val="0"/>
        <w:jc w:val="both"/>
        <w:rPr>
          <w:rFonts w:ascii="Book Antiqua" w:hAnsi="Book Antiqua" w:cs="Arial"/>
        </w:rPr>
      </w:pPr>
      <w:r w:rsidRPr="00692909">
        <w:rPr>
          <w:rFonts w:ascii="Book Antiqua" w:hAnsi="Book Antiqua" w:cs="Arial"/>
        </w:rPr>
        <w:t>The Secretary of State’s appeal to the Upper Tribunal is dismissed.</w:t>
      </w:r>
    </w:p>
    <w:p w14:paraId="6F2F015B" w14:textId="77777777" w:rsidR="00506FF7" w:rsidRDefault="00506FF7" w:rsidP="00506FF7">
      <w:pPr>
        <w:widowControl w:val="0"/>
        <w:jc w:val="both"/>
        <w:rPr>
          <w:rFonts w:ascii="Book Antiqua" w:hAnsi="Book Antiqua" w:cs="Arial"/>
        </w:rPr>
      </w:pPr>
    </w:p>
    <w:p w14:paraId="7953E38F" w14:textId="77777777" w:rsidR="00506FF7" w:rsidRDefault="00506FF7" w:rsidP="00506FF7">
      <w:pPr>
        <w:widowControl w:val="0"/>
        <w:jc w:val="both"/>
        <w:rPr>
          <w:rFonts w:ascii="Book Antiqua" w:hAnsi="Book Antiqua" w:cs="Arial"/>
        </w:rPr>
      </w:pPr>
      <w:r w:rsidRPr="00692909">
        <w:rPr>
          <w:rFonts w:ascii="Book Antiqua" w:hAnsi="Book Antiqua" w:cs="Arial"/>
        </w:rPr>
        <w:t>I uphold the decision and reason</w:t>
      </w:r>
      <w:r>
        <w:rPr>
          <w:rFonts w:ascii="Book Antiqua" w:hAnsi="Book Antiqua" w:cs="Arial"/>
        </w:rPr>
        <w:t>s</w:t>
      </w:r>
      <w:r w:rsidRPr="00692909">
        <w:rPr>
          <w:rFonts w:ascii="Book Antiqua" w:hAnsi="Book Antiqua" w:cs="Arial"/>
        </w:rPr>
        <w:t xml:space="preserve"> statement of First-tier Tribunal Judge Heatherington.</w:t>
      </w:r>
    </w:p>
    <w:p w14:paraId="224DED8C" w14:textId="356F2DF0" w:rsidR="00600177" w:rsidRDefault="00243281" w:rsidP="00625594">
      <w:pPr>
        <w:widowControl w:val="0"/>
        <w:jc w:val="both"/>
        <w:rPr>
          <w:rFonts w:ascii="Book Antiqua" w:hAnsi="Book Antiqua"/>
        </w:rPr>
      </w:pPr>
      <w:r>
        <w:rPr>
          <w:noProof/>
        </w:rPr>
        <w:drawing>
          <wp:anchor distT="0" distB="0" distL="114300" distR="114300" simplePos="0" relativeHeight="251657728" behindDoc="1" locked="0" layoutInCell="0" allowOverlap="0" wp14:anchorId="19950A00" wp14:editId="76805CA5">
            <wp:simplePos x="0" y="0"/>
            <wp:positionH relativeFrom="page">
              <wp:posOffset>1103630</wp:posOffset>
            </wp:positionH>
            <wp:positionV relativeFrom="paragraph">
              <wp:posOffset>123825</wp:posOffset>
            </wp:positionV>
            <wp:extent cx="2342515" cy="1279525"/>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2515" cy="1279525"/>
                    </a:xfrm>
                    <a:prstGeom prst="rect">
                      <a:avLst/>
                    </a:prstGeom>
                    <a:noFill/>
                  </pic:spPr>
                </pic:pic>
              </a:graphicData>
            </a:graphic>
            <wp14:sizeRelH relativeFrom="margin">
              <wp14:pctWidth>0</wp14:pctWidth>
            </wp14:sizeRelH>
            <wp14:sizeRelV relativeFrom="margin">
              <wp14:pctHeight>0</wp14:pctHeight>
            </wp14:sizeRelV>
          </wp:anchor>
        </w:drawing>
      </w:r>
    </w:p>
    <w:p w14:paraId="229ECC6F" w14:textId="77777777" w:rsidR="00B63045" w:rsidRDefault="00B63045" w:rsidP="00625594">
      <w:pPr>
        <w:widowControl w:val="0"/>
        <w:jc w:val="both"/>
        <w:rPr>
          <w:rFonts w:ascii="Book Antiqua" w:hAnsi="Book Antiqua"/>
        </w:rPr>
      </w:pPr>
    </w:p>
    <w:p w14:paraId="4115771F" w14:textId="77777777" w:rsidR="002917F7" w:rsidRDefault="002917F7" w:rsidP="00625594">
      <w:pPr>
        <w:widowControl w:val="0"/>
        <w:jc w:val="both"/>
        <w:rPr>
          <w:rFonts w:ascii="Book Antiqua" w:hAnsi="Book Antiqua" w:cs="Arial"/>
        </w:rPr>
      </w:pPr>
    </w:p>
    <w:p w14:paraId="6F87ADF6" w14:textId="77777777" w:rsidR="002917F7" w:rsidRDefault="002917F7" w:rsidP="00625594">
      <w:pPr>
        <w:widowControl w:val="0"/>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w:t>
      </w:r>
      <w:r>
        <w:rPr>
          <w:rFonts w:ascii="Book Antiqua" w:hAnsi="Book Antiqua" w:cs="Arial"/>
        </w:rPr>
        <w:tab/>
      </w:r>
      <w:r w:rsidR="00625594">
        <w:rPr>
          <w:rFonts w:ascii="Book Antiqua" w:hAnsi="Book Antiqua" w:cs="Arial"/>
        </w:rPr>
        <w:tab/>
      </w:r>
      <w:r w:rsidR="00375A7B">
        <w:rPr>
          <w:rFonts w:ascii="Book Antiqua" w:hAnsi="Book Antiqua" w:cs="Arial"/>
        </w:rPr>
        <w:t>13</w:t>
      </w:r>
      <w:r w:rsidR="00625594">
        <w:rPr>
          <w:rFonts w:ascii="Book Antiqua" w:hAnsi="Book Antiqua" w:cs="Arial"/>
        </w:rPr>
        <w:t xml:space="preserve"> September 2018</w:t>
      </w:r>
    </w:p>
    <w:p w14:paraId="43299E11" w14:textId="77777777" w:rsidR="002917F7" w:rsidRDefault="002917F7" w:rsidP="00625594">
      <w:pPr>
        <w:widowControl w:val="0"/>
        <w:jc w:val="both"/>
        <w:rPr>
          <w:rFonts w:ascii="Book Antiqua" w:hAnsi="Book Antiqua" w:cs="Arial"/>
        </w:rPr>
      </w:pPr>
    </w:p>
    <w:p w14:paraId="2EA1DB00" w14:textId="77777777" w:rsidR="002917F7" w:rsidRDefault="002917F7" w:rsidP="00625594">
      <w:pPr>
        <w:widowControl w:val="0"/>
        <w:ind w:left="1134"/>
        <w:jc w:val="both"/>
        <w:rPr>
          <w:rFonts w:ascii="Book Antiqua" w:hAnsi="Book Antiqua" w:cs="Arial"/>
        </w:rPr>
      </w:pPr>
      <w:r>
        <w:rPr>
          <w:rFonts w:ascii="Book Antiqua" w:hAnsi="Book Antiqua" w:cs="Arial"/>
        </w:rPr>
        <w:t>Judge McCarthy</w:t>
      </w:r>
    </w:p>
    <w:p w14:paraId="125B6D43" w14:textId="77777777" w:rsidR="002917F7" w:rsidRDefault="009515C2" w:rsidP="00625594">
      <w:pPr>
        <w:widowControl w:val="0"/>
        <w:ind w:left="1134"/>
        <w:jc w:val="both"/>
        <w:rPr>
          <w:rFonts w:ascii="Book Antiqua" w:hAnsi="Book Antiqua" w:cs="Arial"/>
        </w:rPr>
      </w:pPr>
      <w:r>
        <w:rPr>
          <w:rFonts w:ascii="Book Antiqua" w:hAnsi="Book Antiqua" w:cs="Arial"/>
        </w:rPr>
        <w:t xml:space="preserve">Deputy </w:t>
      </w:r>
      <w:r w:rsidR="002917F7">
        <w:rPr>
          <w:rFonts w:ascii="Book Antiqua" w:hAnsi="Book Antiqua" w:cs="Arial"/>
        </w:rPr>
        <w:t xml:space="preserve">Judge of the </w:t>
      </w:r>
      <w:r>
        <w:rPr>
          <w:rFonts w:ascii="Book Antiqua" w:hAnsi="Book Antiqua" w:cs="Arial"/>
        </w:rPr>
        <w:t>Upper</w:t>
      </w:r>
      <w:r w:rsidR="002917F7">
        <w:rPr>
          <w:rFonts w:ascii="Book Antiqua" w:hAnsi="Book Antiqua" w:cs="Arial"/>
        </w:rPr>
        <w:t xml:space="preserve"> Tribunal</w:t>
      </w:r>
    </w:p>
    <w:p w14:paraId="587B6A25" w14:textId="77777777" w:rsidR="002917F7" w:rsidRDefault="002917F7" w:rsidP="00625594">
      <w:pPr>
        <w:widowControl w:val="0"/>
      </w:pPr>
    </w:p>
    <w:p w14:paraId="11A4003C" w14:textId="77777777" w:rsidR="005B7789" w:rsidRPr="00A56832" w:rsidRDefault="005B7789" w:rsidP="00506FF7">
      <w:pPr>
        <w:widowControl w:val="0"/>
        <w:jc w:val="center"/>
        <w:rPr>
          <w:rFonts w:ascii="Book Antiqua" w:hAnsi="Book Antiqua" w:cs="Arial"/>
        </w:rPr>
      </w:pPr>
    </w:p>
    <w:sectPr w:rsidR="005B7789" w:rsidRPr="00A56832"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14669" w14:textId="77777777" w:rsidR="005013C7" w:rsidRDefault="005013C7">
      <w:r>
        <w:separator/>
      </w:r>
    </w:p>
  </w:endnote>
  <w:endnote w:type="continuationSeparator" w:id="0">
    <w:p w14:paraId="2BECBCF6" w14:textId="77777777" w:rsidR="005013C7" w:rsidRDefault="00501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4346D" w14:textId="20A1E813" w:rsidR="008F07F8" w:rsidRPr="00A56832" w:rsidRDefault="008F07F8" w:rsidP="00593795">
    <w:pPr>
      <w:pStyle w:val="Footer"/>
      <w:jc w:val="center"/>
      <w:rPr>
        <w:rFonts w:ascii="Book Antiqua" w:hAnsi="Book Antiqua" w:cs="Arial"/>
        <w:sz w:val="16"/>
        <w:szCs w:val="16"/>
      </w:rPr>
    </w:pPr>
    <w:r w:rsidRPr="00A56832">
      <w:rPr>
        <w:rStyle w:val="PageNumber"/>
        <w:rFonts w:ascii="Book Antiqua" w:hAnsi="Book Antiqua" w:cs="Arial"/>
        <w:sz w:val="16"/>
        <w:szCs w:val="16"/>
      </w:rPr>
      <w:fldChar w:fldCharType="begin"/>
    </w:r>
    <w:r w:rsidRPr="00A56832">
      <w:rPr>
        <w:rStyle w:val="PageNumber"/>
        <w:rFonts w:ascii="Book Antiqua" w:hAnsi="Book Antiqua" w:cs="Arial"/>
        <w:sz w:val="16"/>
        <w:szCs w:val="16"/>
      </w:rPr>
      <w:instrText xml:space="preserve"> PAGE </w:instrText>
    </w:r>
    <w:r w:rsidRPr="00A56832">
      <w:rPr>
        <w:rStyle w:val="PageNumber"/>
        <w:rFonts w:ascii="Book Antiqua" w:hAnsi="Book Antiqua" w:cs="Arial"/>
        <w:sz w:val="16"/>
        <w:szCs w:val="16"/>
      </w:rPr>
      <w:fldChar w:fldCharType="separate"/>
    </w:r>
    <w:r w:rsidR="001E5324">
      <w:rPr>
        <w:rStyle w:val="PageNumber"/>
        <w:rFonts w:ascii="Book Antiqua" w:hAnsi="Book Antiqua" w:cs="Arial"/>
        <w:noProof/>
        <w:sz w:val="16"/>
        <w:szCs w:val="16"/>
      </w:rPr>
      <w:t>3</w:t>
    </w:r>
    <w:r w:rsidRPr="00A5683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82285" w14:textId="77777777" w:rsidR="008F07F8" w:rsidRPr="00A56832" w:rsidRDefault="008F07F8" w:rsidP="00517F14">
    <w:pPr>
      <w:jc w:val="center"/>
      <w:rPr>
        <w:rFonts w:ascii="Book Antiqua" w:hAnsi="Book Antiqua" w:cs="Arial"/>
        <w:b/>
      </w:rPr>
    </w:pPr>
    <w:r w:rsidRPr="00A56832">
      <w:rPr>
        <w:rFonts w:ascii="Book Antiqua" w:hAnsi="Book Antiqua" w:cs="Arial"/>
        <w:b/>
        <w:spacing w:val="-6"/>
      </w:rPr>
      <w:t>©</w:t>
    </w:r>
    <w:r w:rsidR="000D76B2">
      <w:rPr>
        <w:rFonts w:ascii="Book Antiqua" w:hAnsi="Book Antiqua" w:cs="Arial"/>
        <w:b/>
      </w:rPr>
      <w:t xml:space="preserve"> CROWN COPYRIGHT </w:t>
    </w:r>
    <w:r w:rsidR="002917F7">
      <w:rPr>
        <w:rFonts w:ascii="Book Antiqua" w:hAnsi="Book Antiqua" w:cs="Arial"/>
        <w:b/>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511B6" w14:textId="77777777" w:rsidR="005013C7" w:rsidRDefault="005013C7">
      <w:r>
        <w:separator/>
      </w:r>
    </w:p>
  </w:footnote>
  <w:footnote w:type="continuationSeparator" w:id="0">
    <w:p w14:paraId="2222E362" w14:textId="77777777" w:rsidR="005013C7" w:rsidRDefault="00501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243A0" w14:textId="77777777" w:rsidR="008F07F8" w:rsidRPr="00A56832" w:rsidRDefault="008F07F8" w:rsidP="000369F5">
    <w:pPr>
      <w:pStyle w:val="Header"/>
      <w:tabs>
        <w:tab w:val="clear" w:pos="4153"/>
        <w:tab w:val="clear" w:pos="8306"/>
        <w:tab w:val="right" w:pos="9639"/>
      </w:tabs>
      <w:jc w:val="right"/>
      <w:rPr>
        <w:rFonts w:ascii="Book Antiqua" w:hAnsi="Book Antiqua" w:cs="Arial"/>
        <w:sz w:val="16"/>
        <w:szCs w:val="16"/>
      </w:rPr>
    </w:pPr>
    <w:r w:rsidRPr="00A56832">
      <w:rPr>
        <w:rFonts w:ascii="Book Antiqua" w:hAnsi="Book Antiqua" w:cs="Arial"/>
        <w:sz w:val="16"/>
        <w:szCs w:val="16"/>
      </w:rPr>
      <w:t xml:space="preserve">Appeal Number: </w:t>
    </w:r>
    <w:r w:rsidR="00692909">
      <w:rPr>
        <w:rFonts w:ascii="Book Antiqua" w:hAnsi="Book Antiqua" w:cs="Arial"/>
        <w:sz w:val="16"/>
        <w:szCs w:val="16"/>
      </w:rPr>
      <w:t>PA/03552/2018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C3F17" w14:textId="77777777" w:rsidR="008F07F8" w:rsidRPr="00A56832" w:rsidRDefault="008F07F8">
    <w:pPr>
      <w:pStyle w:val="Header"/>
      <w:rPr>
        <w:rFonts w:ascii="Book Antiqua" w:hAnsi="Book Antiqua"/>
      </w:rPr>
    </w:pPr>
    <w:r w:rsidRPr="00A5683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4492E51"/>
    <w:multiLevelType w:val="hybridMultilevel"/>
    <w:tmpl w:val="397EF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DAC660C"/>
    <w:multiLevelType w:val="hybridMultilevel"/>
    <w:tmpl w:val="397EF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0DA37D0"/>
    <w:multiLevelType w:val="hybridMultilevel"/>
    <w:tmpl w:val="397EF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B2335BF"/>
    <w:multiLevelType w:val="hybridMultilevel"/>
    <w:tmpl w:val="397EF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21"/>
  </w:num>
  <w:num w:numId="6">
    <w:abstractNumId w:val="12"/>
  </w:num>
  <w:num w:numId="7">
    <w:abstractNumId w:val="19"/>
  </w:num>
  <w:num w:numId="8">
    <w:abstractNumId w:val="9"/>
  </w:num>
  <w:num w:numId="9">
    <w:abstractNumId w:val="7"/>
  </w:num>
  <w:num w:numId="10">
    <w:abstractNumId w:val="18"/>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10"/>
  </w:num>
  <w:num w:numId="19">
    <w:abstractNumId w:val="20"/>
  </w:num>
  <w:num w:numId="20">
    <w:abstractNumId w:val="8"/>
  </w:num>
  <w:num w:numId="21">
    <w:abstractNumId w:val="1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ED"/>
    <w:rsid w:val="00000621"/>
    <w:rsid w:val="000036C2"/>
    <w:rsid w:val="00014318"/>
    <w:rsid w:val="00033D3D"/>
    <w:rsid w:val="000369F5"/>
    <w:rsid w:val="00041662"/>
    <w:rsid w:val="00071A7E"/>
    <w:rsid w:val="000746C0"/>
    <w:rsid w:val="00074D1D"/>
    <w:rsid w:val="00092580"/>
    <w:rsid w:val="000D5D94"/>
    <w:rsid w:val="000D6B41"/>
    <w:rsid w:val="000D76B2"/>
    <w:rsid w:val="001165A7"/>
    <w:rsid w:val="001241F2"/>
    <w:rsid w:val="00151BB7"/>
    <w:rsid w:val="00167D3A"/>
    <w:rsid w:val="0018559A"/>
    <w:rsid w:val="001A649C"/>
    <w:rsid w:val="001D4C5D"/>
    <w:rsid w:val="001E5324"/>
    <w:rsid w:val="001F2716"/>
    <w:rsid w:val="001F3809"/>
    <w:rsid w:val="0020133A"/>
    <w:rsid w:val="00207617"/>
    <w:rsid w:val="00233774"/>
    <w:rsid w:val="00243281"/>
    <w:rsid w:val="00261911"/>
    <w:rsid w:val="00266859"/>
    <w:rsid w:val="00283659"/>
    <w:rsid w:val="002917F7"/>
    <w:rsid w:val="00295EDF"/>
    <w:rsid w:val="002C4E73"/>
    <w:rsid w:val="002D68BF"/>
    <w:rsid w:val="002E1B91"/>
    <w:rsid w:val="00336CBF"/>
    <w:rsid w:val="003546C8"/>
    <w:rsid w:val="0037374F"/>
    <w:rsid w:val="00375A7B"/>
    <w:rsid w:val="003A7CF2"/>
    <w:rsid w:val="003C5CE5"/>
    <w:rsid w:val="003E267B"/>
    <w:rsid w:val="003E3150"/>
    <w:rsid w:val="003E7604"/>
    <w:rsid w:val="003E7CD1"/>
    <w:rsid w:val="00402B9E"/>
    <w:rsid w:val="004229C0"/>
    <w:rsid w:val="00423932"/>
    <w:rsid w:val="004249CB"/>
    <w:rsid w:val="00425598"/>
    <w:rsid w:val="0044127D"/>
    <w:rsid w:val="004448DB"/>
    <w:rsid w:val="00446C9A"/>
    <w:rsid w:val="00477193"/>
    <w:rsid w:val="004A1848"/>
    <w:rsid w:val="004A3507"/>
    <w:rsid w:val="004F48CB"/>
    <w:rsid w:val="005013C7"/>
    <w:rsid w:val="00506FF7"/>
    <w:rsid w:val="00507FEC"/>
    <w:rsid w:val="00510F0E"/>
    <w:rsid w:val="00517F14"/>
    <w:rsid w:val="005479E1"/>
    <w:rsid w:val="005515D0"/>
    <w:rsid w:val="005570FD"/>
    <w:rsid w:val="005575EA"/>
    <w:rsid w:val="005631F3"/>
    <w:rsid w:val="0057790C"/>
    <w:rsid w:val="00593795"/>
    <w:rsid w:val="005A75FF"/>
    <w:rsid w:val="005B7789"/>
    <w:rsid w:val="00600177"/>
    <w:rsid w:val="00625594"/>
    <w:rsid w:val="0064629B"/>
    <w:rsid w:val="0065791C"/>
    <w:rsid w:val="0068706C"/>
    <w:rsid w:val="00690B8A"/>
    <w:rsid w:val="00692909"/>
    <w:rsid w:val="006D1DFA"/>
    <w:rsid w:val="006D506B"/>
    <w:rsid w:val="006E3C90"/>
    <w:rsid w:val="006F253C"/>
    <w:rsid w:val="00704B61"/>
    <w:rsid w:val="00742A8D"/>
    <w:rsid w:val="00743046"/>
    <w:rsid w:val="007552A9"/>
    <w:rsid w:val="00761858"/>
    <w:rsid w:val="00767D59"/>
    <w:rsid w:val="00776E97"/>
    <w:rsid w:val="00780FD7"/>
    <w:rsid w:val="007912AD"/>
    <w:rsid w:val="007B0824"/>
    <w:rsid w:val="007B18C8"/>
    <w:rsid w:val="007F431E"/>
    <w:rsid w:val="008303B8"/>
    <w:rsid w:val="00833DCE"/>
    <w:rsid w:val="008456B2"/>
    <w:rsid w:val="00854BB5"/>
    <w:rsid w:val="00871D34"/>
    <w:rsid w:val="008B270C"/>
    <w:rsid w:val="008C3D3D"/>
    <w:rsid w:val="008D4131"/>
    <w:rsid w:val="008E5D45"/>
    <w:rsid w:val="008F07F8"/>
    <w:rsid w:val="008F1932"/>
    <w:rsid w:val="008F294D"/>
    <w:rsid w:val="00902241"/>
    <w:rsid w:val="00921062"/>
    <w:rsid w:val="009515C2"/>
    <w:rsid w:val="00966ECF"/>
    <w:rsid w:val="009727A3"/>
    <w:rsid w:val="009753BD"/>
    <w:rsid w:val="00987774"/>
    <w:rsid w:val="009A11E8"/>
    <w:rsid w:val="009F5220"/>
    <w:rsid w:val="009F7C4D"/>
    <w:rsid w:val="00A10290"/>
    <w:rsid w:val="00A15234"/>
    <w:rsid w:val="00A201AB"/>
    <w:rsid w:val="00A31C8B"/>
    <w:rsid w:val="00A46984"/>
    <w:rsid w:val="00A56832"/>
    <w:rsid w:val="00A6195B"/>
    <w:rsid w:val="00A845DC"/>
    <w:rsid w:val="00A97AEE"/>
    <w:rsid w:val="00AC5CF6"/>
    <w:rsid w:val="00B144FA"/>
    <w:rsid w:val="00B30648"/>
    <w:rsid w:val="00B3524D"/>
    <w:rsid w:val="00B40F69"/>
    <w:rsid w:val="00B46616"/>
    <w:rsid w:val="00B61205"/>
    <w:rsid w:val="00B617C4"/>
    <w:rsid w:val="00B626FA"/>
    <w:rsid w:val="00B63045"/>
    <w:rsid w:val="00B7040A"/>
    <w:rsid w:val="00B772EB"/>
    <w:rsid w:val="00BD4196"/>
    <w:rsid w:val="00BE0CED"/>
    <w:rsid w:val="00BF22CA"/>
    <w:rsid w:val="00C26032"/>
    <w:rsid w:val="00C265B0"/>
    <w:rsid w:val="00C345E1"/>
    <w:rsid w:val="00C60FEE"/>
    <w:rsid w:val="00CB6E35"/>
    <w:rsid w:val="00CC2B71"/>
    <w:rsid w:val="00CE1A46"/>
    <w:rsid w:val="00CF253F"/>
    <w:rsid w:val="00CF56B4"/>
    <w:rsid w:val="00D20F09"/>
    <w:rsid w:val="00D22636"/>
    <w:rsid w:val="00D40FD9"/>
    <w:rsid w:val="00D53769"/>
    <w:rsid w:val="00D63A24"/>
    <w:rsid w:val="00D85C13"/>
    <w:rsid w:val="00D91BE3"/>
    <w:rsid w:val="00D94AFC"/>
    <w:rsid w:val="00D950A8"/>
    <w:rsid w:val="00DB70AE"/>
    <w:rsid w:val="00DB7231"/>
    <w:rsid w:val="00DD5071"/>
    <w:rsid w:val="00DD5C39"/>
    <w:rsid w:val="00DE26AF"/>
    <w:rsid w:val="00DE7DB7"/>
    <w:rsid w:val="00DF5833"/>
    <w:rsid w:val="00E00A0A"/>
    <w:rsid w:val="00E07F57"/>
    <w:rsid w:val="00E50BCE"/>
    <w:rsid w:val="00E61292"/>
    <w:rsid w:val="00E76309"/>
    <w:rsid w:val="00E77C4D"/>
    <w:rsid w:val="00E80E94"/>
    <w:rsid w:val="00E81B22"/>
    <w:rsid w:val="00E81D01"/>
    <w:rsid w:val="00EE45D8"/>
    <w:rsid w:val="00F004CD"/>
    <w:rsid w:val="00F22EDA"/>
    <w:rsid w:val="00F26AD0"/>
    <w:rsid w:val="00F301DB"/>
    <w:rsid w:val="00F33E0E"/>
    <w:rsid w:val="00F355E7"/>
    <w:rsid w:val="00FB7E80"/>
    <w:rsid w:val="00FE2D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937563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895</Words>
  <Characters>4580</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2018-10-05T13:51:00Z</dcterms:created>
  <dcterms:modified xsi:type="dcterms:W3CDTF">2018-10-05T13:51:00Z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