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0209F" w:rsidRDefault="00393A2A" w:rsidP="00C321B5">
      <w:pPr>
        <w:jc w:val="center"/>
        <w:rPr>
          <w:rFonts w:ascii="Book Antiqua" w:hAnsi="Book Antiqua" w:cs="Arial"/>
          <w:sz w:val="16"/>
          <w:szCs w:val="16"/>
        </w:rPr>
      </w:pPr>
      <w:r w:rsidRPr="00A0209F">
        <w:rPr>
          <w:noProof/>
          <w:sz w:val="16"/>
          <w:szCs w:val="16"/>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A0209F"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93A2A">
        <w:rPr>
          <w:rFonts w:ascii="Book Antiqua" w:hAnsi="Book Antiqua" w:cs="Arial"/>
          <w:caps/>
        </w:rPr>
        <w:t>PA/03642/2017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393A2A">
              <w:rPr>
                <w:rFonts w:ascii="Book Antiqua" w:hAnsi="Book Antiqua" w:cs="Arial"/>
                <w:b/>
              </w:rPr>
              <w:t>Manchester</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393A2A">
              <w:rPr>
                <w:rFonts w:ascii="Book Antiqua" w:hAnsi="Book Antiqua" w:cs="Arial"/>
                <w:b/>
              </w:rPr>
              <w:t>24</w:t>
            </w:r>
            <w:r w:rsidR="00393A2A" w:rsidRPr="00393A2A">
              <w:rPr>
                <w:rFonts w:ascii="Book Antiqua" w:hAnsi="Book Antiqua" w:cs="Arial"/>
                <w:b/>
                <w:vertAlign w:val="superscript"/>
              </w:rPr>
              <w:t>th</w:t>
            </w:r>
            <w:r w:rsidR="00393A2A">
              <w:rPr>
                <w:rFonts w:ascii="Book Antiqua" w:hAnsi="Book Antiqua" w:cs="Arial"/>
                <w:b/>
              </w:rPr>
              <w:t xml:space="preserve"> July 2018</w:t>
            </w:r>
          </w:p>
        </w:tc>
        <w:tc>
          <w:tcPr>
            <w:tcW w:w="3960" w:type="dxa"/>
            <w:shd w:val="clear" w:color="auto" w:fill="auto"/>
          </w:tcPr>
          <w:p w:rsidR="00D22636" w:rsidRPr="00E249AA" w:rsidRDefault="005613E3" w:rsidP="00E249AA">
            <w:pPr>
              <w:jc w:val="both"/>
              <w:rPr>
                <w:rFonts w:ascii="Book Antiqua" w:hAnsi="Book Antiqua" w:cs="Arial"/>
                <w:b/>
              </w:rPr>
            </w:pPr>
            <w:r>
              <w:rPr>
                <w:rFonts w:ascii="Book Antiqua" w:hAnsi="Book Antiqua" w:cs="Arial"/>
                <w:b/>
              </w:rPr>
              <w:t>On 21</w:t>
            </w:r>
            <w:r w:rsidRPr="005613E3">
              <w:rPr>
                <w:rFonts w:ascii="Book Antiqua" w:hAnsi="Book Antiqua" w:cs="Arial"/>
                <w:b/>
                <w:vertAlign w:val="superscript"/>
              </w:rPr>
              <w:t>st</w:t>
            </w:r>
            <w:r>
              <w:rPr>
                <w:rFonts w:ascii="Book Antiqua" w:hAnsi="Book Antiqua" w:cs="Arial"/>
                <w:b/>
              </w:rPr>
              <w:t xml:space="preserve"> August 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393A2A">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Default="00B16F58" w:rsidP="00A15234">
      <w:pPr>
        <w:jc w:val="center"/>
        <w:rPr>
          <w:rFonts w:ascii="Book Antiqua" w:hAnsi="Book Antiqua" w:cs="Arial"/>
          <w:b/>
        </w:rPr>
      </w:pPr>
    </w:p>
    <w:p w:rsidR="00A0209F" w:rsidRPr="00F5664C" w:rsidRDefault="00A0209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93A2A" w:rsidP="00742A8D">
      <w:pPr>
        <w:jc w:val="center"/>
        <w:rPr>
          <w:rFonts w:ascii="Book Antiqua" w:hAnsi="Book Antiqua" w:cs="Arial"/>
          <w:b/>
          <w:caps/>
        </w:rPr>
      </w:pPr>
      <w:r>
        <w:rPr>
          <w:rFonts w:ascii="Book Antiqua" w:hAnsi="Book Antiqua" w:cs="Arial"/>
          <w:b/>
          <w:caps/>
        </w:rPr>
        <w:t xml:space="preserve">alameen </w:t>
      </w:r>
      <w:r w:rsidR="00A0209F">
        <w:rPr>
          <w:rFonts w:ascii="Book Antiqua" w:hAnsi="Book Antiqua" w:cs="Arial"/>
          <w:b/>
          <w:caps/>
        </w:rPr>
        <w:t>[</w:t>
      </w:r>
      <w:r>
        <w:rPr>
          <w:rFonts w:ascii="Book Antiqua" w:hAnsi="Book Antiqua" w:cs="Arial"/>
          <w:b/>
          <w:caps/>
        </w:rPr>
        <w:t>i</w:t>
      </w:r>
      <w:r w:rsidR="00A0209F">
        <w:rPr>
          <w:rFonts w:ascii="Book Antiqua" w:hAnsi="Book Antiqua" w:cs="Arial"/>
          <w:b/>
          <w:caps/>
        </w:rPr>
        <w:t>]</w:t>
      </w:r>
    </w:p>
    <w:p w:rsidR="003405B7" w:rsidRPr="00A0209F" w:rsidRDefault="003405B7" w:rsidP="003405B7">
      <w:pPr>
        <w:jc w:val="center"/>
        <w:rPr>
          <w:rFonts w:ascii="Book Antiqua" w:hAnsi="Book Antiqua" w:cs="Arial"/>
          <w:b/>
          <w:caps/>
          <w:sz w:val="22"/>
        </w:rPr>
      </w:pPr>
      <w:r w:rsidRPr="00A0209F">
        <w:rPr>
          <w:rFonts w:ascii="Book Antiqua" w:hAnsi="Book Antiqua" w:cs="Arial"/>
          <w:b/>
          <w:caps/>
          <w:sz w:val="22"/>
        </w:rPr>
        <w:t xml:space="preserve">(ANONYMITY DIRECTION </w:t>
      </w:r>
      <w:r w:rsidR="00393A2A" w:rsidRPr="00A0209F">
        <w:rPr>
          <w:rFonts w:ascii="Book Antiqua" w:hAnsi="Book Antiqua" w:cs="Arial"/>
          <w:b/>
          <w:caps/>
          <w:sz w:val="22"/>
        </w:rPr>
        <w:t>not made</w:t>
      </w:r>
      <w:r w:rsidRPr="00A0209F">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E7DB7"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D6470">
        <w:rPr>
          <w:rFonts w:ascii="Book Antiqua" w:hAnsi="Book Antiqua" w:cs="Arial"/>
        </w:rPr>
        <w:t>Mr G Brown,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D6470">
        <w:rPr>
          <w:rFonts w:ascii="Book Antiqua" w:hAnsi="Book Antiqua" w:cs="Arial"/>
        </w:rPr>
        <w:t>Mr Diwnycz</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AF533C" w:rsidRDefault="00AC5261" w:rsidP="00AF533C">
      <w:pPr>
        <w:numPr>
          <w:ilvl w:val="0"/>
          <w:numId w:val="3"/>
        </w:numPr>
        <w:spacing w:before="240"/>
        <w:jc w:val="both"/>
        <w:rPr>
          <w:rFonts w:ascii="Book Antiqua" w:hAnsi="Book Antiqua" w:cs="Arial"/>
        </w:rPr>
      </w:pPr>
      <w:r>
        <w:rPr>
          <w:rFonts w:ascii="Book Antiqua" w:hAnsi="Book Antiqua" w:cs="Arial"/>
        </w:rPr>
        <w:t>The Appellant is a citizen of the Sudan born on 5</w:t>
      </w:r>
      <w:r w:rsidRPr="00AC5261">
        <w:rPr>
          <w:rFonts w:ascii="Book Antiqua" w:hAnsi="Book Antiqua" w:cs="Arial"/>
          <w:vertAlign w:val="superscript"/>
        </w:rPr>
        <w:t>th</w:t>
      </w:r>
      <w:r>
        <w:rPr>
          <w:rFonts w:ascii="Book Antiqua" w:hAnsi="Book Antiqua" w:cs="Arial"/>
        </w:rPr>
        <w:t xml:space="preserve"> May 1988.  The Appellant claims to have left the Sudan on 28</w:t>
      </w:r>
      <w:r w:rsidRPr="00AC5261">
        <w:rPr>
          <w:rFonts w:ascii="Book Antiqua" w:hAnsi="Book Antiqua" w:cs="Arial"/>
          <w:vertAlign w:val="superscript"/>
        </w:rPr>
        <w:t>th</w:t>
      </w:r>
      <w:r>
        <w:rPr>
          <w:rFonts w:ascii="Book Antiqua" w:hAnsi="Book Antiqua" w:cs="Arial"/>
        </w:rPr>
        <w:t xml:space="preserve"> September 2014 and travelled across Africa and thereafter onward to Italy and France before arriving in the UK on 29</w:t>
      </w:r>
      <w:r w:rsidRPr="00AC5261">
        <w:rPr>
          <w:rFonts w:ascii="Book Antiqua" w:hAnsi="Book Antiqua" w:cs="Arial"/>
          <w:vertAlign w:val="superscript"/>
        </w:rPr>
        <w:t>th</w:t>
      </w:r>
      <w:r>
        <w:rPr>
          <w:rFonts w:ascii="Book Antiqua" w:hAnsi="Book Antiqua" w:cs="Arial"/>
        </w:rPr>
        <w:t xml:space="preserve"> June 2015.  He claimed asylum on arrival, claiming to have a well-founded fear of persecution in Sudan on the basis of his race.  That application was refused by Notice of Refusal of the Secretary of State dated 31</w:t>
      </w:r>
      <w:r w:rsidRPr="00AC5261">
        <w:rPr>
          <w:rFonts w:ascii="Book Antiqua" w:hAnsi="Book Antiqua" w:cs="Arial"/>
          <w:vertAlign w:val="superscript"/>
        </w:rPr>
        <w:t>st</w:t>
      </w:r>
      <w:r>
        <w:rPr>
          <w:rFonts w:ascii="Book Antiqua" w:hAnsi="Book Antiqua" w:cs="Arial"/>
        </w:rPr>
        <w:t xml:space="preserve"> March 2017.</w:t>
      </w:r>
    </w:p>
    <w:p w:rsidR="00AC5261" w:rsidRDefault="00AC5261" w:rsidP="00AF533C">
      <w:pPr>
        <w:numPr>
          <w:ilvl w:val="0"/>
          <w:numId w:val="3"/>
        </w:numPr>
        <w:spacing w:before="240"/>
        <w:jc w:val="both"/>
        <w:rPr>
          <w:rFonts w:ascii="Book Antiqua" w:hAnsi="Book Antiqua" w:cs="Arial"/>
        </w:rPr>
      </w:pPr>
      <w:r>
        <w:rPr>
          <w:rFonts w:ascii="Book Antiqua" w:hAnsi="Book Antiqua" w:cs="Arial"/>
        </w:rPr>
        <w:lastRenderedPageBreak/>
        <w:t xml:space="preserve">The Appellant appealed and the appeal came before Judge of the First-tier Tribunal </w:t>
      </w:r>
      <w:proofErr w:type="spellStart"/>
      <w:r>
        <w:rPr>
          <w:rFonts w:ascii="Book Antiqua" w:hAnsi="Book Antiqua" w:cs="Arial"/>
        </w:rPr>
        <w:t>Meyler</w:t>
      </w:r>
      <w:proofErr w:type="spellEnd"/>
      <w:r>
        <w:rPr>
          <w:rFonts w:ascii="Book Antiqua" w:hAnsi="Book Antiqua" w:cs="Arial"/>
        </w:rPr>
        <w:t xml:space="preserve"> sitting at Manchester on 15</w:t>
      </w:r>
      <w:r w:rsidRPr="00AC5261">
        <w:rPr>
          <w:rFonts w:ascii="Book Antiqua" w:hAnsi="Book Antiqua" w:cs="Arial"/>
          <w:vertAlign w:val="superscript"/>
        </w:rPr>
        <w:t>th</w:t>
      </w:r>
      <w:r>
        <w:rPr>
          <w:rFonts w:ascii="Book Antiqua" w:hAnsi="Book Antiqua" w:cs="Arial"/>
        </w:rPr>
        <w:t xml:space="preserve"> January 2018.  In her decision and reasons promulgated on 24</w:t>
      </w:r>
      <w:r w:rsidRPr="00AC5261">
        <w:rPr>
          <w:rFonts w:ascii="Book Antiqua" w:hAnsi="Book Antiqua" w:cs="Arial"/>
          <w:vertAlign w:val="superscript"/>
        </w:rPr>
        <w:t>th</w:t>
      </w:r>
      <w:r>
        <w:rPr>
          <w:rFonts w:ascii="Book Antiqua" w:hAnsi="Book Antiqua" w:cs="Arial"/>
        </w:rPr>
        <w:t xml:space="preserve"> January 2018 the Appellant’s appeal was dismissed.</w:t>
      </w:r>
    </w:p>
    <w:p w:rsidR="00AC5261" w:rsidRDefault="00520AD9" w:rsidP="00AF533C">
      <w:pPr>
        <w:numPr>
          <w:ilvl w:val="0"/>
          <w:numId w:val="3"/>
        </w:numPr>
        <w:spacing w:before="240"/>
        <w:jc w:val="both"/>
        <w:rPr>
          <w:rFonts w:ascii="Book Antiqua" w:hAnsi="Book Antiqua" w:cs="Arial"/>
        </w:rPr>
      </w:pPr>
      <w:r>
        <w:rPr>
          <w:rFonts w:ascii="Book Antiqua" w:hAnsi="Book Antiqua" w:cs="Arial"/>
        </w:rPr>
        <w:t>Grounds of Appeal were lodged to</w:t>
      </w:r>
      <w:r w:rsidR="00AC5261">
        <w:rPr>
          <w:rFonts w:ascii="Book Antiqua" w:hAnsi="Book Antiqua" w:cs="Arial"/>
        </w:rPr>
        <w:t xml:space="preserve"> the Upper Tribunal and on 20</w:t>
      </w:r>
      <w:r w:rsidR="00AC5261" w:rsidRPr="00AC5261">
        <w:rPr>
          <w:rFonts w:ascii="Book Antiqua" w:hAnsi="Book Antiqua" w:cs="Arial"/>
          <w:vertAlign w:val="superscript"/>
        </w:rPr>
        <w:t>th</w:t>
      </w:r>
      <w:r w:rsidR="00AC5261">
        <w:rPr>
          <w:rFonts w:ascii="Book Antiqua" w:hAnsi="Book Antiqua" w:cs="Arial"/>
        </w:rPr>
        <w:t xml:space="preserve"> March 2018 First-tier Tribunal Judge </w:t>
      </w:r>
      <w:proofErr w:type="spellStart"/>
      <w:r w:rsidR="00AC5261">
        <w:rPr>
          <w:rFonts w:ascii="Book Antiqua" w:hAnsi="Book Antiqua" w:cs="Arial"/>
        </w:rPr>
        <w:t>Kimnell</w:t>
      </w:r>
      <w:proofErr w:type="spellEnd"/>
      <w:r w:rsidR="00AC5261">
        <w:rPr>
          <w:rFonts w:ascii="Book Antiqua" w:hAnsi="Book Antiqua" w:cs="Arial"/>
        </w:rPr>
        <w:t xml:space="preserve"> refused permission to appeal.  Renewed grounds were lodged on 9</w:t>
      </w:r>
      <w:r w:rsidR="00AC5261" w:rsidRPr="00AC5261">
        <w:rPr>
          <w:rFonts w:ascii="Book Antiqua" w:hAnsi="Book Antiqua" w:cs="Arial"/>
          <w:vertAlign w:val="superscript"/>
        </w:rPr>
        <w:t>th</w:t>
      </w:r>
      <w:r w:rsidR="00AC5261">
        <w:rPr>
          <w:rFonts w:ascii="Book Antiqua" w:hAnsi="Book Antiqua" w:cs="Arial"/>
        </w:rPr>
        <w:t xml:space="preserve"> April 2018.  On 22</w:t>
      </w:r>
      <w:r w:rsidR="00AC5261" w:rsidRPr="00AC5261">
        <w:rPr>
          <w:rFonts w:ascii="Book Antiqua" w:hAnsi="Book Antiqua" w:cs="Arial"/>
          <w:vertAlign w:val="superscript"/>
        </w:rPr>
        <w:t>nd</w:t>
      </w:r>
      <w:r w:rsidR="00AC5261">
        <w:rPr>
          <w:rFonts w:ascii="Book Antiqua" w:hAnsi="Book Antiqua" w:cs="Arial"/>
        </w:rPr>
        <w:t xml:space="preserve"> May 2018 Upper Tribunal Judge Plimmer granted permission to appeal.  Judge Plimmer considered that it was arguable the First-tier Tribunal had failed to take sufficient account of the country background expert report prepared by Dr </w:t>
      </w:r>
      <w:proofErr w:type="spellStart"/>
      <w:r w:rsidR="00AC5261">
        <w:rPr>
          <w:rFonts w:ascii="Book Antiqua" w:hAnsi="Book Antiqua" w:cs="Arial"/>
        </w:rPr>
        <w:t>Verney</w:t>
      </w:r>
      <w:proofErr w:type="spellEnd"/>
      <w:r w:rsidR="00AC5261">
        <w:rPr>
          <w:rFonts w:ascii="Book Antiqua" w:hAnsi="Book Antiqua" w:cs="Arial"/>
        </w:rPr>
        <w:t xml:space="preserve"> in </w:t>
      </w:r>
      <w:proofErr w:type="gramStart"/>
      <w:r w:rsidR="00AC5261">
        <w:rPr>
          <w:rFonts w:ascii="Book Antiqua" w:hAnsi="Book Antiqua" w:cs="Arial"/>
        </w:rPr>
        <w:t>particular:-</w:t>
      </w:r>
      <w:proofErr w:type="gramEnd"/>
    </w:p>
    <w:p w:rsidR="00AC5261" w:rsidRDefault="00AC5261" w:rsidP="00A0209F">
      <w:pPr>
        <w:numPr>
          <w:ilvl w:val="1"/>
          <w:numId w:val="3"/>
        </w:numPr>
        <w:spacing w:before="120"/>
        <w:jc w:val="both"/>
        <w:rPr>
          <w:rFonts w:ascii="Book Antiqua" w:hAnsi="Book Antiqua" w:cs="Arial"/>
        </w:rPr>
      </w:pPr>
      <w:r>
        <w:rPr>
          <w:rFonts w:ascii="Book Antiqua" w:hAnsi="Book Antiqua" w:cs="Arial"/>
        </w:rPr>
        <w:t>That the Appellant had made it clear that after his mother had died</w:t>
      </w:r>
      <w:r w:rsidR="00520AD9">
        <w:rPr>
          <w:rFonts w:ascii="Book Antiqua" w:hAnsi="Book Antiqua" w:cs="Arial"/>
        </w:rPr>
        <w:t xml:space="preserve"> and</w:t>
      </w:r>
      <w:r>
        <w:rPr>
          <w:rFonts w:ascii="Book Antiqua" w:hAnsi="Book Antiqua" w:cs="Arial"/>
        </w:rPr>
        <w:t xml:space="preserve"> he was raised by his el</w:t>
      </w:r>
      <w:r w:rsidR="00520AD9">
        <w:rPr>
          <w:rFonts w:ascii="Book Antiqua" w:hAnsi="Book Antiqua" w:cs="Arial"/>
        </w:rPr>
        <w:t>der sister in Saudi Arabia.  H</w:t>
      </w:r>
      <w:r>
        <w:rPr>
          <w:rFonts w:ascii="Book Antiqua" w:hAnsi="Book Antiqua" w:cs="Arial"/>
        </w:rPr>
        <w:t>is maternal uncles and elder brother also lived there, and as such paragraph 186 of the report must be read in the light of this.</w:t>
      </w:r>
    </w:p>
    <w:p w:rsidR="00AC5261" w:rsidRDefault="00AC5261" w:rsidP="00A0209F">
      <w:pPr>
        <w:numPr>
          <w:ilvl w:val="1"/>
          <w:numId w:val="3"/>
        </w:numPr>
        <w:spacing w:before="120"/>
        <w:jc w:val="both"/>
        <w:rPr>
          <w:rFonts w:ascii="Book Antiqua" w:hAnsi="Book Antiqua" w:cs="Arial"/>
        </w:rPr>
      </w:pPr>
      <w:r>
        <w:rPr>
          <w:rFonts w:ascii="Book Antiqua" w:hAnsi="Book Antiqua" w:cs="Arial"/>
        </w:rPr>
        <w:t xml:space="preserve">The Appellant spoke sufficient Goran to convince Dr </w:t>
      </w:r>
      <w:proofErr w:type="spellStart"/>
      <w:r>
        <w:rPr>
          <w:rFonts w:ascii="Book Antiqua" w:hAnsi="Book Antiqua" w:cs="Arial"/>
        </w:rPr>
        <w:t>Verney</w:t>
      </w:r>
      <w:proofErr w:type="spellEnd"/>
      <w:r>
        <w:rPr>
          <w:rFonts w:ascii="Book Antiqua" w:hAnsi="Book Antiqua" w:cs="Arial"/>
        </w:rPr>
        <w:t xml:space="preserve"> that it was unnecessary for this to be tested any further unless disputed.</w:t>
      </w:r>
    </w:p>
    <w:p w:rsidR="00AC5261" w:rsidRDefault="00AC5261" w:rsidP="00A0209F">
      <w:pPr>
        <w:numPr>
          <w:ilvl w:val="1"/>
          <w:numId w:val="3"/>
        </w:numPr>
        <w:spacing w:before="120"/>
        <w:jc w:val="both"/>
        <w:rPr>
          <w:rFonts w:ascii="Book Antiqua" w:hAnsi="Book Antiqua" w:cs="Arial"/>
        </w:rPr>
      </w:pPr>
      <w:r>
        <w:rPr>
          <w:rFonts w:ascii="Book Antiqua" w:hAnsi="Book Antiqua" w:cs="Arial"/>
        </w:rPr>
        <w:t>The note on sources to be found at paragraphs 282 to 292 of the report.</w:t>
      </w:r>
    </w:p>
    <w:p w:rsidR="00AC5261" w:rsidRDefault="00AC5261" w:rsidP="00A0209F">
      <w:pPr>
        <w:numPr>
          <w:ilvl w:val="1"/>
          <w:numId w:val="3"/>
        </w:numPr>
        <w:spacing w:before="120"/>
        <w:jc w:val="both"/>
        <w:rPr>
          <w:rFonts w:ascii="Book Antiqua" w:hAnsi="Book Antiqua" w:cs="Arial"/>
        </w:rPr>
      </w:pPr>
      <w:r>
        <w:rPr>
          <w:rFonts w:ascii="Book Antiqua" w:hAnsi="Book Antiqua" w:cs="Arial"/>
        </w:rPr>
        <w:t>That the Appellant would be recognised as a non-Arab Darfuri upon return to the Sudan.</w:t>
      </w:r>
    </w:p>
    <w:p w:rsidR="00AC5261" w:rsidRDefault="00AC5261" w:rsidP="00AF533C">
      <w:pPr>
        <w:numPr>
          <w:ilvl w:val="0"/>
          <w:numId w:val="3"/>
        </w:numPr>
        <w:spacing w:before="240"/>
        <w:jc w:val="both"/>
        <w:rPr>
          <w:rFonts w:ascii="Book Antiqua" w:hAnsi="Book Antiqua" w:cs="Arial"/>
        </w:rPr>
      </w:pPr>
      <w:r>
        <w:rPr>
          <w:rFonts w:ascii="Book Antiqua" w:hAnsi="Book Antiqua" w:cs="Arial"/>
        </w:rPr>
        <w:t>No Rule 24 response appears to have been served.  It is on that basis that the appeal comes before me to determine whether or not there is a material error of law in the decision of the First-tier Tribunal Judge.  The Appellant appears by his instructed Counsel, Mr Brown.  The Secretary of State appears by his Home Office Presenting Officer, Mr Diwnycz.</w:t>
      </w:r>
    </w:p>
    <w:p w:rsidR="00AC5261" w:rsidRPr="00AC5261" w:rsidRDefault="00AC5261" w:rsidP="00AC5261">
      <w:pPr>
        <w:spacing w:before="240"/>
        <w:jc w:val="both"/>
        <w:rPr>
          <w:rFonts w:ascii="Book Antiqua" w:hAnsi="Book Antiqua" w:cs="Arial"/>
          <w:b/>
        </w:rPr>
      </w:pPr>
      <w:r>
        <w:rPr>
          <w:rFonts w:ascii="Book Antiqua" w:hAnsi="Book Antiqua" w:cs="Arial"/>
          <w:b/>
        </w:rPr>
        <w:t>Submissions/Discussion</w:t>
      </w:r>
    </w:p>
    <w:p w:rsidR="00AC5261" w:rsidRDefault="00AC5261" w:rsidP="00AF533C">
      <w:pPr>
        <w:numPr>
          <w:ilvl w:val="0"/>
          <w:numId w:val="3"/>
        </w:numPr>
        <w:spacing w:before="240"/>
        <w:jc w:val="both"/>
        <w:rPr>
          <w:rFonts w:ascii="Book Antiqua" w:hAnsi="Book Antiqua" w:cs="Arial"/>
        </w:rPr>
      </w:pPr>
      <w:r>
        <w:rPr>
          <w:rFonts w:ascii="Book Antiqua" w:hAnsi="Book Antiqua" w:cs="Arial"/>
        </w:rPr>
        <w:t xml:space="preserve">Mr Brown submits that the error of law arises in a procedural unfairness that has arisen as a result of the failure to analyse properly the Appellant’s ability to speak Goran.  He notes the methodology technique for assessing this was considered by Mr </w:t>
      </w:r>
      <w:proofErr w:type="spellStart"/>
      <w:r>
        <w:rPr>
          <w:rFonts w:ascii="Book Antiqua" w:hAnsi="Book Antiqua" w:cs="Arial"/>
        </w:rPr>
        <w:t>Verney</w:t>
      </w:r>
      <w:proofErr w:type="spellEnd"/>
      <w:r>
        <w:rPr>
          <w:rFonts w:ascii="Book Antiqua" w:hAnsi="Book Antiqua" w:cs="Arial"/>
        </w:rPr>
        <w:t xml:space="preserve"> and is referred to </w:t>
      </w:r>
      <w:proofErr w:type="spellStart"/>
      <w:r>
        <w:rPr>
          <w:rFonts w:ascii="Book Antiqua" w:hAnsi="Book Antiqua" w:cs="Arial"/>
        </w:rPr>
        <w:t>at</w:t>
      </w:r>
      <w:proofErr w:type="spellEnd"/>
      <w:r>
        <w:rPr>
          <w:rFonts w:ascii="Book Antiqua" w:hAnsi="Book Antiqua" w:cs="Arial"/>
        </w:rPr>
        <w:t xml:space="preserve"> paragraph 39 of the judge’s decision.  He contends, as do the hand-written Grounds of Appeal, that the Tribunal had evidence from Peter </w:t>
      </w:r>
      <w:proofErr w:type="spellStart"/>
      <w:r>
        <w:rPr>
          <w:rFonts w:ascii="Book Antiqua" w:hAnsi="Book Antiqua" w:cs="Arial"/>
        </w:rPr>
        <w:t>Verney</w:t>
      </w:r>
      <w:proofErr w:type="spellEnd"/>
      <w:r>
        <w:rPr>
          <w:rFonts w:ascii="Book Antiqua" w:hAnsi="Book Antiqua" w:cs="Arial"/>
        </w:rPr>
        <w:t xml:space="preserve"> and from a witness, Mustafa </w:t>
      </w:r>
      <w:proofErr w:type="spellStart"/>
      <w:r>
        <w:rPr>
          <w:rFonts w:ascii="Book Antiqua" w:hAnsi="Book Antiqua" w:cs="Arial"/>
        </w:rPr>
        <w:t>Sulman</w:t>
      </w:r>
      <w:proofErr w:type="spellEnd"/>
      <w:r>
        <w:rPr>
          <w:rFonts w:ascii="Book Antiqua" w:hAnsi="Book Antiqua" w:cs="Arial"/>
        </w:rPr>
        <w:t xml:space="preserve"> Ali that the Appellant was from the non-Arab Darfuri </w:t>
      </w:r>
      <w:proofErr w:type="spellStart"/>
      <w:r>
        <w:rPr>
          <w:rFonts w:ascii="Book Antiqua" w:hAnsi="Book Antiqua" w:cs="Arial"/>
        </w:rPr>
        <w:t>Tunjur</w:t>
      </w:r>
      <w:proofErr w:type="spellEnd"/>
      <w:r>
        <w:rPr>
          <w:rFonts w:ascii="Book Antiqua" w:hAnsi="Book Antiqua" w:cs="Arial"/>
        </w:rPr>
        <w:t xml:space="preserve"> and Goran tribes.  The Appellant contending that his father is from the </w:t>
      </w:r>
      <w:proofErr w:type="spellStart"/>
      <w:r>
        <w:rPr>
          <w:rFonts w:ascii="Book Antiqua" w:hAnsi="Book Antiqua" w:cs="Arial"/>
        </w:rPr>
        <w:t>Tunj</w:t>
      </w:r>
      <w:r w:rsidR="00F532BD">
        <w:rPr>
          <w:rFonts w:ascii="Book Antiqua" w:hAnsi="Book Antiqua" w:cs="Arial"/>
        </w:rPr>
        <w:t>ur</w:t>
      </w:r>
      <w:proofErr w:type="spellEnd"/>
      <w:r w:rsidR="00F532BD">
        <w:rPr>
          <w:rFonts w:ascii="Book Antiqua" w:hAnsi="Book Antiqua" w:cs="Arial"/>
        </w:rPr>
        <w:t xml:space="preserve"> tribe and his mother from the Goran tribe.  It was submitted that a recording of the Appellant speaking Goran at the interview with Peter </w:t>
      </w:r>
      <w:proofErr w:type="spellStart"/>
      <w:r w:rsidR="00F532BD">
        <w:rPr>
          <w:rFonts w:ascii="Book Antiqua" w:hAnsi="Book Antiqua" w:cs="Arial"/>
        </w:rPr>
        <w:t>Verney</w:t>
      </w:r>
      <w:proofErr w:type="spellEnd"/>
      <w:r w:rsidR="00F532BD">
        <w:rPr>
          <w:rFonts w:ascii="Book Antiqua" w:hAnsi="Book Antiqua" w:cs="Arial"/>
        </w:rPr>
        <w:t xml:space="preserve"> was available but was not played, and in failing to use this recorded evidence there was a material error of law that led to the judge’s decision being tainted.</w:t>
      </w:r>
    </w:p>
    <w:p w:rsidR="00F532BD" w:rsidRDefault="00F532BD" w:rsidP="00AF533C">
      <w:pPr>
        <w:numPr>
          <w:ilvl w:val="0"/>
          <w:numId w:val="3"/>
        </w:numPr>
        <w:spacing w:before="240"/>
        <w:jc w:val="both"/>
        <w:rPr>
          <w:rFonts w:ascii="Book Antiqua" w:hAnsi="Book Antiqua" w:cs="Arial"/>
        </w:rPr>
      </w:pPr>
      <w:r>
        <w:rPr>
          <w:rFonts w:ascii="Book Antiqua" w:hAnsi="Book Antiqua" w:cs="Arial"/>
        </w:rPr>
        <w:t>Mr Brown submits that if there is uncertainty as to the evidence this could have been explained particularly as the judge had asked questions.  He noted that the Appellant’s case was that he had been brought up by his elder sister and that she spoke Goran and if ethnicity was the key then the Tribunal must be careful of the evidence g</w:t>
      </w:r>
      <w:r w:rsidR="00214FA1">
        <w:rPr>
          <w:rFonts w:ascii="Book Antiqua" w:hAnsi="Book Antiqua" w:cs="Arial"/>
        </w:rPr>
        <w:t>oing to this</w:t>
      </w:r>
      <w:r>
        <w:rPr>
          <w:rFonts w:ascii="Book Antiqua" w:hAnsi="Book Antiqua" w:cs="Arial"/>
        </w:rPr>
        <w:t xml:space="preserve"> central issue.  He submits that the judge does not have regard to the history and the timeline and submits that the failure to consider the methodology impacts upon the </w:t>
      </w:r>
      <w:r>
        <w:rPr>
          <w:rFonts w:ascii="Book Antiqua" w:hAnsi="Book Antiqua" w:cs="Arial"/>
        </w:rPr>
        <w:lastRenderedPageBreak/>
        <w:t xml:space="preserve">judge’s findings at paragraphs 40 and 41.  He </w:t>
      </w:r>
      <w:r w:rsidR="00520AD9">
        <w:rPr>
          <w:rFonts w:ascii="Book Antiqua" w:hAnsi="Book Antiqua" w:cs="Arial"/>
        </w:rPr>
        <w:t xml:space="preserve">further </w:t>
      </w:r>
      <w:r>
        <w:rPr>
          <w:rFonts w:ascii="Book Antiqua" w:hAnsi="Book Antiqua" w:cs="Arial"/>
        </w:rPr>
        <w:t xml:space="preserve">submits that it is appropriate in this case that the matter goes back for clarification relating to the Appellant’s ability to speak Goran and if necessary for Dr </w:t>
      </w:r>
      <w:proofErr w:type="spellStart"/>
      <w:r>
        <w:rPr>
          <w:rFonts w:ascii="Book Antiqua" w:hAnsi="Book Antiqua" w:cs="Arial"/>
        </w:rPr>
        <w:t>Verney</w:t>
      </w:r>
      <w:proofErr w:type="spellEnd"/>
      <w:r>
        <w:rPr>
          <w:rFonts w:ascii="Book Antiqua" w:hAnsi="Book Antiqua" w:cs="Arial"/>
        </w:rPr>
        <w:t xml:space="preserve"> to give oral testimony.  He suggests that the matter rather unusually be referred back to the judge who originally heard the appeal.</w:t>
      </w:r>
    </w:p>
    <w:p w:rsidR="00F532BD" w:rsidRDefault="00F532BD" w:rsidP="00AF533C">
      <w:pPr>
        <w:numPr>
          <w:ilvl w:val="0"/>
          <w:numId w:val="3"/>
        </w:numPr>
        <w:spacing w:before="240"/>
        <w:jc w:val="both"/>
        <w:rPr>
          <w:rFonts w:ascii="Book Antiqua" w:hAnsi="Book Antiqua" w:cs="Arial"/>
        </w:rPr>
      </w:pPr>
      <w:r>
        <w:rPr>
          <w:rFonts w:ascii="Book Antiqua" w:hAnsi="Book Antiqua" w:cs="Arial"/>
        </w:rPr>
        <w:t xml:space="preserve">Mr Diwnycz submits that Dr </w:t>
      </w:r>
      <w:proofErr w:type="spellStart"/>
      <w:r>
        <w:rPr>
          <w:rFonts w:ascii="Book Antiqua" w:hAnsi="Book Antiqua" w:cs="Arial"/>
        </w:rPr>
        <w:t>Verney’s</w:t>
      </w:r>
      <w:proofErr w:type="spellEnd"/>
      <w:r>
        <w:rPr>
          <w:rFonts w:ascii="Book Antiqua" w:hAnsi="Book Antiqua" w:cs="Arial"/>
        </w:rPr>
        <w:t xml:space="preserve"> evidence has been seriously attacked by the Home Office and that the judge dealt with the evidence that was before her.  There can be no criticism, he submits, for the manner in which the judge has dealt with the evidence and if the report is ambiguous that is no fault upon the judge or the Secretary of State.</w:t>
      </w:r>
    </w:p>
    <w:p w:rsidR="00F532BD" w:rsidRDefault="00F532BD" w:rsidP="00AF533C">
      <w:pPr>
        <w:numPr>
          <w:ilvl w:val="0"/>
          <w:numId w:val="3"/>
        </w:numPr>
        <w:spacing w:before="240"/>
        <w:jc w:val="both"/>
        <w:rPr>
          <w:rFonts w:ascii="Book Antiqua" w:hAnsi="Book Antiqua" w:cs="Arial"/>
        </w:rPr>
      </w:pPr>
      <w:r>
        <w:rPr>
          <w:rFonts w:ascii="Book Antiqua" w:hAnsi="Book Antiqua" w:cs="Arial"/>
        </w:rPr>
        <w:t>In brief response Mr Brown submits that if there is a case of ambiguity then the Appellant must be given a fair opportunity to have the issue clarified.  The Appellant could have provided evidence regarding the methodology by which tribal ethnicity was assessed but he was not asked.  He submits that there is sufficient</w:t>
      </w:r>
      <w:r w:rsidR="00520AD9">
        <w:rPr>
          <w:rFonts w:ascii="Book Antiqua" w:hAnsi="Book Antiqua" w:cs="Arial"/>
        </w:rPr>
        <w:t xml:space="preserve"> evidence </w:t>
      </w:r>
      <w:r>
        <w:rPr>
          <w:rFonts w:ascii="Book Antiqua" w:hAnsi="Book Antiqua" w:cs="Arial"/>
        </w:rPr>
        <w:t>set out in the grounds to conclude that the Appellant is a non-Arab Darfuri who would consequently be at risk if returned to the Sudan.</w:t>
      </w:r>
    </w:p>
    <w:p w:rsidR="00F532BD" w:rsidRPr="00F532BD" w:rsidRDefault="00F532BD" w:rsidP="00F532BD">
      <w:pPr>
        <w:spacing w:before="240"/>
        <w:jc w:val="both"/>
        <w:rPr>
          <w:rFonts w:ascii="Book Antiqua" w:hAnsi="Book Antiqua" w:cs="Arial"/>
          <w:b/>
        </w:rPr>
      </w:pPr>
      <w:r>
        <w:rPr>
          <w:rFonts w:ascii="Book Antiqua" w:hAnsi="Book Antiqua" w:cs="Arial"/>
          <w:b/>
        </w:rPr>
        <w:t>The Law</w:t>
      </w:r>
    </w:p>
    <w:p w:rsidR="00F532BD" w:rsidRDefault="00F532BD" w:rsidP="00F532BD">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F532BD" w:rsidRPr="00F532BD" w:rsidRDefault="00F532BD" w:rsidP="00F532BD">
      <w:pPr>
        <w:numPr>
          <w:ilvl w:val="0"/>
          <w:numId w:val="3"/>
        </w:numPr>
        <w:spacing w:before="240"/>
        <w:jc w:val="both"/>
        <w:rPr>
          <w:rFonts w:ascii="Book Antiqua" w:hAnsi="Book Antiqua" w:cs="Arial"/>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F532BD" w:rsidRPr="00F532BD" w:rsidRDefault="00F532BD" w:rsidP="00F532BD">
      <w:pPr>
        <w:spacing w:before="240"/>
        <w:jc w:val="both"/>
        <w:rPr>
          <w:rFonts w:ascii="Book Antiqua" w:hAnsi="Book Antiqua" w:cs="Arial"/>
          <w:b/>
        </w:rPr>
      </w:pPr>
      <w:r>
        <w:rPr>
          <w:rFonts w:ascii="Book Antiqua" w:hAnsi="Book Antiqua"/>
          <w:b/>
        </w:rPr>
        <w:t>Findings on Error of Law</w:t>
      </w:r>
    </w:p>
    <w:p w:rsidR="00F532BD" w:rsidRDefault="00F532BD" w:rsidP="00F532BD">
      <w:pPr>
        <w:numPr>
          <w:ilvl w:val="0"/>
          <w:numId w:val="3"/>
        </w:numPr>
        <w:spacing w:before="240"/>
        <w:jc w:val="both"/>
        <w:rPr>
          <w:rFonts w:ascii="Book Antiqua" w:hAnsi="Book Antiqua" w:cs="Arial"/>
        </w:rPr>
      </w:pPr>
      <w:r>
        <w:rPr>
          <w:rFonts w:ascii="Book Antiqua" w:hAnsi="Book Antiqua" w:cs="Arial"/>
        </w:rPr>
        <w:t xml:space="preserve">This appeal turns on a very narrow point, namely whether or not the methodology considered and expressed with regard to the evidence given by Dr </w:t>
      </w:r>
      <w:proofErr w:type="spellStart"/>
      <w:r>
        <w:rPr>
          <w:rFonts w:ascii="Book Antiqua" w:hAnsi="Book Antiqua" w:cs="Arial"/>
        </w:rPr>
        <w:t>Verney</w:t>
      </w:r>
      <w:proofErr w:type="spellEnd"/>
      <w:r>
        <w:rPr>
          <w:rFonts w:ascii="Book Antiqua" w:hAnsi="Book Antiqua" w:cs="Arial"/>
        </w:rPr>
        <w:t xml:space="preserve"> as to whether or not the Appellant was or was not of the Goran tribe has been properly </w:t>
      </w:r>
      <w:r>
        <w:rPr>
          <w:rFonts w:ascii="Book Antiqua" w:hAnsi="Book Antiqua" w:cs="Arial"/>
        </w:rPr>
        <w:lastRenderedPageBreak/>
        <w:t xml:space="preserve">examined.  I am satisfied that there may well have been a procedural unfairness to the extent that it is sufficient to set aside the decision of the First-tier Tribunal Judge solely so far as it relates to the assessment that has been carried out as to whether or not the Appellant is or is not a member of the Goran tribe.  The reasons I reach this decision - and I emphasise this is in no way a criticism of the First-tier Tribunal Judge who was doing the best she could under the evidence that was presented to her – is that there was a recording of the speaking of Goran at the interview with Peter </w:t>
      </w:r>
      <w:proofErr w:type="spellStart"/>
      <w:r>
        <w:rPr>
          <w:rFonts w:ascii="Book Antiqua" w:hAnsi="Book Antiqua" w:cs="Arial"/>
        </w:rPr>
        <w:t>Verney</w:t>
      </w:r>
      <w:proofErr w:type="spellEnd"/>
      <w:r>
        <w:rPr>
          <w:rFonts w:ascii="Book Antiqua" w:hAnsi="Book Antiqua" w:cs="Arial"/>
        </w:rPr>
        <w:t xml:space="preserve"> that was available but was not played, and</w:t>
      </w:r>
      <w:r w:rsidR="001E2E00">
        <w:rPr>
          <w:rFonts w:ascii="Book Antiqua" w:hAnsi="Book Antiqua" w:cs="Arial"/>
        </w:rPr>
        <w:t xml:space="preserve"> that</w:t>
      </w:r>
      <w:r>
        <w:rPr>
          <w:rFonts w:ascii="Book Antiqua" w:hAnsi="Book Antiqua" w:cs="Arial"/>
        </w:rPr>
        <w:t xml:space="preserve"> there is an ambiguity in Dr </w:t>
      </w:r>
      <w:proofErr w:type="spellStart"/>
      <w:r>
        <w:rPr>
          <w:rFonts w:ascii="Book Antiqua" w:hAnsi="Book Antiqua" w:cs="Arial"/>
        </w:rPr>
        <w:t>Verney’s</w:t>
      </w:r>
      <w:proofErr w:type="spellEnd"/>
      <w:r>
        <w:rPr>
          <w:rFonts w:ascii="Book Antiqua" w:hAnsi="Book Antiqua" w:cs="Arial"/>
        </w:rPr>
        <w:t xml:space="preserve"> report, in particular I note paragraphs 190 to 210 and if the evidence shows that the Appellant does speak Goran then this would impact </w:t>
      </w:r>
      <w:r w:rsidR="001E2E00">
        <w:rPr>
          <w:rFonts w:ascii="Book Antiqua" w:hAnsi="Book Antiqua" w:cs="Arial"/>
        </w:rPr>
        <w:t>up</w:t>
      </w:r>
      <w:r>
        <w:rPr>
          <w:rFonts w:ascii="Book Antiqua" w:hAnsi="Book Antiqua" w:cs="Arial"/>
        </w:rPr>
        <w:t>on the decision.</w:t>
      </w:r>
    </w:p>
    <w:p w:rsidR="00F532BD" w:rsidRDefault="00520AD9" w:rsidP="00F532BD">
      <w:pPr>
        <w:numPr>
          <w:ilvl w:val="0"/>
          <w:numId w:val="3"/>
        </w:numPr>
        <w:spacing w:before="240"/>
        <w:jc w:val="both"/>
        <w:rPr>
          <w:rFonts w:ascii="Book Antiqua" w:hAnsi="Book Antiqua" w:cs="Arial"/>
        </w:rPr>
      </w:pPr>
      <w:r>
        <w:rPr>
          <w:rFonts w:ascii="Book Antiqua" w:hAnsi="Book Antiqua" w:cs="Arial"/>
        </w:rPr>
        <w:t xml:space="preserve">Solely, </w:t>
      </w:r>
      <w:r w:rsidR="0031751E">
        <w:rPr>
          <w:rFonts w:ascii="Book Antiqua" w:hAnsi="Book Antiqua" w:cs="Arial"/>
        </w:rPr>
        <w:t xml:space="preserve">consequently on the basis that there may well be a procedural unfairness which if looked at again may lead to the judge finding that the Appellant is a non-Arab Darfuri which, presumably, would lead to a finding that he is at risk on return, I find that there is a material error of law and set aside the decision of the First-tier Tribunal Judge.  </w:t>
      </w:r>
    </w:p>
    <w:p w:rsidR="0031751E" w:rsidRPr="00F5664C" w:rsidRDefault="0031751E" w:rsidP="00F532BD">
      <w:pPr>
        <w:numPr>
          <w:ilvl w:val="0"/>
          <w:numId w:val="3"/>
        </w:numPr>
        <w:spacing w:before="240"/>
        <w:jc w:val="both"/>
        <w:rPr>
          <w:rFonts w:ascii="Book Antiqua" w:hAnsi="Book Antiqua" w:cs="Arial"/>
        </w:rPr>
      </w:pPr>
      <w:r>
        <w:rPr>
          <w:rFonts w:ascii="Book Antiqua" w:hAnsi="Book Antiqua" w:cs="Arial"/>
        </w:rPr>
        <w:t xml:space="preserve">In such circumstances I agree with the suggestions made by both legal representatives that the correct approach is to remit the matter back to the First-tier Tribunal to be heard by Immigration Judge </w:t>
      </w:r>
      <w:proofErr w:type="spellStart"/>
      <w:r>
        <w:rPr>
          <w:rFonts w:ascii="Book Antiqua" w:hAnsi="Book Antiqua" w:cs="Arial"/>
        </w:rPr>
        <w:t>Meyler</w:t>
      </w:r>
      <w:proofErr w:type="spellEnd"/>
      <w:r>
        <w:rPr>
          <w:rFonts w:ascii="Book Antiqua" w:hAnsi="Book Antiqua" w:cs="Arial"/>
        </w:rPr>
        <w:t xml:space="preserve">, restricted solely to the issue as to whether or not the Appellant is or is not a member of the Goran tribe.  I emphasise to the Appellant that the fact that this matter is sent back for rehearing does not mean necessarily that Judge </w:t>
      </w:r>
      <w:proofErr w:type="spellStart"/>
      <w:r>
        <w:rPr>
          <w:rFonts w:ascii="Book Antiqua" w:hAnsi="Book Antiqua" w:cs="Arial"/>
        </w:rPr>
        <w:t>Meyler</w:t>
      </w:r>
      <w:proofErr w:type="spellEnd"/>
      <w:r>
        <w:rPr>
          <w:rFonts w:ascii="Book Antiqua" w:hAnsi="Book Antiqua" w:cs="Arial"/>
        </w:rPr>
        <w:t xml:space="preserve"> will come to a different decision to that that she has previously come to</w:t>
      </w:r>
      <w:r w:rsidR="00BF6EA5">
        <w:rPr>
          <w:rFonts w:ascii="Book Antiqua" w:hAnsi="Book Antiqua" w:cs="Arial"/>
        </w:rPr>
        <w:t xml:space="preserve"> but it is important that the evidence that is available is fully considered and before her in a way that i</w:t>
      </w:r>
      <w:r w:rsidR="00520AD9">
        <w:rPr>
          <w:rFonts w:ascii="Book Antiqua" w:hAnsi="Book Antiqua" w:cs="Arial"/>
        </w:rPr>
        <w:t>t was not when she last heard the appeal</w:t>
      </w:r>
      <w:r w:rsidR="00BF6EA5">
        <w:rPr>
          <w:rFonts w:ascii="Book Antiqua" w:hAnsi="Book Antiqua" w:cs="Arial"/>
        </w:rPr>
        <w:t>.</w:t>
      </w:r>
    </w:p>
    <w:p w:rsidR="003405B7" w:rsidRPr="003405B7" w:rsidRDefault="00BF6EA5" w:rsidP="00AF533C">
      <w:pPr>
        <w:spacing w:before="240"/>
        <w:jc w:val="both"/>
        <w:rPr>
          <w:rFonts w:ascii="Book Antiqua" w:hAnsi="Book Antiqua" w:cs="Arial"/>
          <w:b/>
        </w:rPr>
      </w:pPr>
      <w:r>
        <w:rPr>
          <w:rFonts w:ascii="Book Antiqua" w:hAnsi="Book Antiqua" w:cs="Arial"/>
          <w:b/>
        </w:rPr>
        <w:t>Decision and Directions</w:t>
      </w:r>
    </w:p>
    <w:p w:rsidR="003405B7" w:rsidRPr="003405B7" w:rsidRDefault="003405B7" w:rsidP="003405B7">
      <w:pPr>
        <w:jc w:val="both"/>
        <w:rPr>
          <w:rFonts w:ascii="Book Antiqua" w:hAnsi="Book Antiqua" w:cs="Arial"/>
        </w:rPr>
      </w:pPr>
    </w:p>
    <w:p w:rsidR="00BF6EA5" w:rsidRDefault="00BF6EA5" w:rsidP="003405B7">
      <w:pPr>
        <w:jc w:val="both"/>
        <w:rPr>
          <w:rFonts w:ascii="Book Antiqua" w:hAnsi="Book Antiqua" w:cs="Arial"/>
        </w:rPr>
      </w:pPr>
      <w:r>
        <w:rPr>
          <w:rFonts w:ascii="Book Antiqua" w:hAnsi="Book Antiqua" w:cs="Arial"/>
        </w:rPr>
        <w:t>The decision of the First-tier Tribunal Judge contains a material error of law and is set aside.  The following directions are to apply.</w:t>
      </w:r>
    </w:p>
    <w:p w:rsid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t>That on finding that there is a material error of law the decision of the First-tier Tribunal is set aside and the matter is remitted back to the First-tier Tribunal sitting at Manchester on the first available date 42 days hence.</w:t>
      </w:r>
    </w:p>
    <w:p w:rsid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t xml:space="preserve">That the remitted hearing is to be reserved before Immigration Judge </w:t>
      </w:r>
      <w:proofErr w:type="spellStart"/>
      <w:r>
        <w:rPr>
          <w:rFonts w:ascii="Book Antiqua" w:hAnsi="Book Antiqua" w:cs="Arial"/>
        </w:rPr>
        <w:t>Meyler</w:t>
      </w:r>
      <w:proofErr w:type="spellEnd"/>
      <w:r>
        <w:rPr>
          <w:rFonts w:ascii="Book Antiqua" w:hAnsi="Book Antiqua" w:cs="Arial"/>
        </w:rPr>
        <w:t xml:space="preserve"> and is to be restricted solely to the issue as to whether or not the Appellant is or is not of Goran ethnicity.</w:t>
      </w:r>
    </w:p>
    <w:p w:rsid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t xml:space="preserve">That there be leave to the Appellant if so </w:t>
      </w:r>
      <w:proofErr w:type="gramStart"/>
      <w:r>
        <w:rPr>
          <w:rFonts w:ascii="Book Antiqua" w:hAnsi="Book Antiqua" w:cs="Arial"/>
        </w:rPr>
        <w:t>advised:-</w:t>
      </w:r>
      <w:proofErr w:type="gramEnd"/>
    </w:p>
    <w:p w:rsidR="00BF6EA5" w:rsidRDefault="00BF6EA5" w:rsidP="00A0209F">
      <w:pPr>
        <w:pStyle w:val="ListParagraph"/>
        <w:numPr>
          <w:ilvl w:val="1"/>
          <w:numId w:val="23"/>
        </w:numPr>
        <w:spacing w:before="120"/>
        <w:contextualSpacing w:val="0"/>
        <w:jc w:val="both"/>
        <w:rPr>
          <w:rFonts w:ascii="Book Antiqua" w:hAnsi="Book Antiqua" w:cs="Arial"/>
        </w:rPr>
      </w:pPr>
      <w:r>
        <w:rPr>
          <w:rFonts w:ascii="Book Antiqua" w:hAnsi="Book Antiqua" w:cs="Arial"/>
        </w:rPr>
        <w:t xml:space="preserve">To obtain an up-to-date report from Dr </w:t>
      </w:r>
      <w:proofErr w:type="spellStart"/>
      <w:r>
        <w:rPr>
          <w:rFonts w:ascii="Book Antiqua" w:hAnsi="Book Antiqua" w:cs="Arial"/>
        </w:rPr>
        <w:t>Verney</w:t>
      </w:r>
      <w:proofErr w:type="spellEnd"/>
    </w:p>
    <w:p w:rsidR="00BF6EA5" w:rsidRDefault="00BF6EA5" w:rsidP="00A0209F">
      <w:pPr>
        <w:pStyle w:val="ListParagraph"/>
        <w:numPr>
          <w:ilvl w:val="1"/>
          <w:numId w:val="23"/>
        </w:numPr>
        <w:spacing w:before="120"/>
        <w:contextualSpacing w:val="0"/>
        <w:jc w:val="both"/>
        <w:rPr>
          <w:rFonts w:ascii="Book Antiqua" w:hAnsi="Book Antiqua" w:cs="Arial"/>
        </w:rPr>
      </w:pPr>
      <w:r>
        <w:rPr>
          <w:rFonts w:ascii="Book Antiqua" w:hAnsi="Book Antiqua" w:cs="Arial"/>
        </w:rPr>
        <w:t xml:space="preserve">To call Dr </w:t>
      </w:r>
      <w:proofErr w:type="spellStart"/>
      <w:r>
        <w:rPr>
          <w:rFonts w:ascii="Book Antiqua" w:hAnsi="Book Antiqua" w:cs="Arial"/>
        </w:rPr>
        <w:t>Verney</w:t>
      </w:r>
      <w:proofErr w:type="spellEnd"/>
      <w:r>
        <w:rPr>
          <w:rFonts w:ascii="Book Antiqua" w:hAnsi="Book Antiqua" w:cs="Arial"/>
        </w:rPr>
        <w:t xml:space="preserve"> to give evidence</w:t>
      </w:r>
    </w:p>
    <w:p w:rsidR="00BF6EA5" w:rsidRDefault="00BF6EA5" w:rsidP="00A0209F">
      <w:pPr>
        <w:pStyle w:val="ListParagraph"/>
        <w:numPr>
          <w:ilvl w:val="1"/>
          <w:numId w:val="23"/>
        </w:numPr>
        <w:spacing w:before="120"/>
        <w:contextualSpacing w:val="0"/>
        <w:jc w:val="both"/>
        <w:rPr>
          <w:rFonts w:ascii="Book Antiqua" w:hAnsi="Book Antiqua" w:cs="Arial"/>
        </w:rPr>
      </w:pPr>
      <w:r>
        <w:rPr>
          <w:rFonts w:ascii="Book Antiqua" w:hAnsi="Book Antiqua" w:cs="Arial"/>
        </w:rPr>
        <w:t>To provide such further subjective and/or objective evidence in support of his contentions that he is a member of the Goran tribe</w:t>
      </w:r>
    </w:p>
    <w:p w:rsidR="00BF6EA5" w:rsidRPr="00BF6EA5" w:rsidRDefault="00BF6EA5" w:rsidP="00BF6EA5">
      <w:pPr>
        <w:spacing w:before="240"/>
        <w:ind w:left="567"/>
        <w:jc w:val="both"/>
        <w:rPr>
          <w:rFonts w:ascii="Book Antiqua" w:hAnsi="Book Antiqua" w:cs="Arial"/>
        </w:rPr>
      </w:pPr>
      <w:r>
        <w:rPr>
          <w:rFonts w:ascii="Book Antiqua" w:hAnsi="Book Antiqua" w:cs="Arial"/>
        </w:rPr>
        <w:t>Such evidence to be filed and served at least seven days prior to the restored hearing.</w:t>
      </w:r>
    </w:p>
    <w:p w:rsid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lastRenderedPageBreak/>
        <w:t>That there be leave to the Respondent to file and/or serve such further evidence upon which they seek to rely at least seven days prior to the restored hearing.</w:t>
      </w:r>
    </w:p>
    <w:p w:rsid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t xml:space="preserve">The restored hearing </w:t>
      </w:r>
      <w:proofErr w:type="gramStart"/>
      <w:r>
        <w:rPr>
          <w:rFonts w:ascii="Book Antiqua" w:hAnsi="Book Antiqua" w:cs="Arial"/>
        </w:rPr>
        <w:t>do</w:t>
      </w:r>
      <w:proofErr w:type="gramEnd"/>
      <w:r>
        <w:rPr>
          <w:rFonts w:ascii="Book Antiqua" w:hAnsi="Book Antiqua" w:cs="Arial"/>
        </w:rPr>
        <w:t xml:space="preserve"> take place at the Manchester Piccadilly Centre with an ELH of three hours.</w:t>
      </w:r>
    </w:p>
    <w:p w:rsidR="00BF6EA5" w:rsidRPr="00BF6EA5" w:rsidRDefault="00BF6EA5" w:rsidP="00BF6EA5">
      <w:pPr>
        <w:pStyle w:val="ListParagraph"/>
        <w:numPr>
          <w:ilvl w:val="0"/>
          <w:numId w:val="23"/>
        </w:numPr>
        <w:spacing w:before="240"/>
        <w:contextualSpacing w:val="0"/>
        <w:jc w:val="both"/>
        <w:rPr>
          <w:rFonts w:ascii="Book Antiqua" w:hAnsi="Book Antiqua" w:cs="Arial"/>
        </w:rPr>
      </w:pPr>
      <w:r>
        <w:rPr>
          <w:rFonts w:ascii="Book Antiqua" w:hAnsi="Book Antiqua" w:cs="Arial"/>
        </w:rPr>
        <w:t>That the Appellant’s legal representatives do notify the Tribunal within seven days of receipt of these directions as to whether an interpreter will be required at the restored hearing and if so with details of the language required and in particular as to whether an Arabic (North African) language</w:t>
      </w:r>
      <w:r w:rsidR="001E2E00">
        <w:rPr>
          <w:rFonts w:ascii="Book Antiqua" w:hAnsi="Book Antiqua" w:cs="Arial"/>
        </w:rPr>
        <w:t xml:space="preserve"> interpreter</w:t>
      </w:r>
      <w:r>
        <w:rPr>
          <w:rFonts w:ascii="Book Antiqua" w:hAnsi="Book Antiqua" w:cs="Arial"/>
        </w:rPr>
        <w:t xml:space="preserve"> is sufficient.</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F5664C" w:rsidRDefault="003405B7" w:rsidP="003405B7">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A1416">
        <w:rPr>
          <w:rFonts w:ascii="Book Antiqua" w:hAnsi="Book Antiqua" w:cs="Arial"/>
        </w:rPr>
        <w:t>: 13 August 2018</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Pr="00F5664C" w:rsidRDefault="003405B7" w:rsidP="000369F5">
      <w:pPr>
        <w:tabs>
          <w:tab w:val="left" w:pos="2520"/>
        </w:tabs>
        <w:jc w:val="both"/>
        <w:rPr>
          <w:rFonts w:ascii="Book Antiqua" w:hAnsi="Book Antiqua" w:cs="Arial"/>
        </w:rPr>
      </w:pPr>
    </w:p>
    <w:p w:rsidR="00C321B5" w:rsidRDefault="00C321B5" w:rsidP="000369F5">
      <w:pPr>
        <w:tabs>
          <w:tab w:val="left" w:pos="2520"/>
        </w:tabs>
        <w:jc w:val="both"/>
        <w:rPr>
          <w:rFonts w:ascii="Book Antiqua" w:hAnsi="Book Antiqua" w:cs="Arial"/>
        </w:rPr>
      </w:pPr>
    </w:p>
    <w:p w:rsidR="00866249" w:rsidRDefault="00866249" w:rsidP="000369F5">
      <w:pPr>
        <w:tabs>
          <w:tab w:val="left" w:pos="2520"/>
        </w:tabs>
        <w:jc w:val="both"/>
        <w:rPr>
          <w:rFonts w:ascii="Book Antiqua" w:hAnsi="Book Antiqua" w:cs="Arial"/>
        </w:rPr>
      </w:pPr>
    </w:p>
    <w:p w:rsidR="00866249" w:rsidRPr="00F5664C" w:rsidRDefault="00866249"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3405B7" w:rsidRDefault="00BF6EA5" w:rsidP="003405B7">
      <w:pPr>
        <w:jc w:val="both"/>
        <w:rPr>
          <w:rFonts w:ascii="Book Antiqua" w:hAnsi="Book Antiqua" w:cs="Arial"/>
        </w:rPr>
      </w:pPr>
      <w:r>
        <w:rPr>
          <w:rFonts w:ascii="Book Antiqua" w:hAnsi="Book Antiqua" w:cs="Arial"/>
        </w:rPr>
        <w:t>No application is made for a fee award and none is made.</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613E3">
        <w:rPr>
          <w:rFonts w:ascii="Book Antiqua" w:hAnsi="Book Antiqua" w:cs="Arial"/>
        </w:rPr>
        <w:t>: 13 August 2018</w:t>
      </w: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rsidR="005B7789" w:rsidRDefault="005B7789" w:rsidP="000369F5">
      <w:pPr>
        <w:tabs>
          <w:tab w:val="left" w:pos="2520"/>
        </w:tabs>
        <w:jc w:val="both"/>
        <w:rPr>
          <w:rFonts w:ascii="Book Antiqua" w:hAnsi="Book Antiqua" w:cs="Arial"/>
        </w:rPr>
      </w:pPr>
    </w:p>
    <w:sectPr w:rsidR="005B778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A2A" w:rsidRDefault="00393A2A">
      <w:r>
        <w:separator/>
      </w:r>
    </w:p>
  </w:endnote>
  <w:endnote w:type="continuationSeparator" w:id="0">
    <w:p w:rsidR="00393A2A" w:rsidRDefault="0039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10E8E">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A2A" w:rsidRDefault="00393A2A">
      <w:r>
        <w:separator/>
      </w:r>
    </w:p>
  </w:footnote>
  <w:footnote w:type="continuationSeparator" w:id="0">
    <w:p w:rsidR="00393A2A" w:rsidRDefault="0039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93A2A">
      <w:rPr>
        <w:rFonts w:ascii="Book Antiqua" w:hAnsi="Book Antiqua" w:cs="Arial"/>
        <w:sz w:val="16"/>
        <w:szCs w:val="16"/>
      </w:rPr>
      <w:t>PA/03642/2017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354"/>
    <w:multiLevelType w:val="multilevel"/>
    <w:tmpl w:val="696009B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BF9C42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2"/>
  </w:num>
  <w:num w:numId="5">
    <w:abstractNumId w:val="22"/>
  </w:num>
  <w:num w:numId="6">
    <w:abstractNumId w:val="14"/>
  </w:num>
  <w:num w:numId="7">
    <w:abstractNumId w:val="20"/>
  </w:num>
  <w:num w:numId="8">
    <w:abstractNumId w:val="10"/>
  </w:num>
  <w:num w:numId="9">
    <w:abstractNumId w:val="7"/>
  </w:num>
  <w:num w:numId="10">
    <w:abstractNumId w:val="19"/>
  </w:num>
  <w:num w:numId="11">
    <w:abstractNumId w:val="18"/>
  </w:num>
  <w:num w:numId="12">
    <w:abstractNumId w:val="2"/>
  </w:num>
  <w:num w:numId="13">
    <w:abstractNumId w:val="17"/>
  </w:num>
  <w:num w:numId="14">
    <w:abstractNumId w:val="1"/>
  </w:num>
  <w:num w:numId="15">
    <w:abstractNumId w:val="4"/>
  </w:num>
  <w:num w:numId="16">
    <w:abstractNumId w:val="6"/>
  </w:num>
  <w:num w:numId="17">
    <w:abstractNumId w:val="15"/>
  </w:num>
  <w:num w:numId="18">
    <w:abstractNumId w:val="11"/>
  </w:num>
  <w:num w:numId="19">
    <w:abstractNumId w:val="8"/>
  </w:num>
  <w:num w:numId="20">
    <w:abstractNumId w:val="9"/>
  </w:num>
  <w:num w:numId="21">
    <w:abstractNumId w:val="21"/>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2A"/>
    <w:rsid w:val="00000621"/>
    <w:rsid w:val="000036C2"/>
    <w:rsid w:val="00021665"/>
    <w:rsid w:val="00033D3D"/>
    <w:rsid w:val="000369F5"/>
    <w:rsid w:val="0003746D"/>
    <w:rsid w:val="00071A7E"/>
    <w:rsid w:val="000746C0"/>
    <w:rsid w:val="00074D1D"/>
    <w:rsid w:val="00092580"/>
    <w:rsid w:val="000D01C9"/>
    <w:rsid w:val="000D5D94"/>
    <w:rsid w:val="000E0CD7"/>
    <w:rsid w:val="00114F8B"/>
    <w:rsid w:val="001165A7"/>
    <w:rsid w:val="00120AA2"/>
    <w:rsid w:val="00151BB7"/>
    <w:rsid w:val="00167D3A"/>
    <w:rsid w:val="001A1E2C"/>
    <w:rsid w:val="001E2C99"/>
    <w:rsid w:val="001E2E00"/>
    <w:rsid w:val="001F2716"/>
    <w:rsid w:val="0020133A"/>
    <w:rsid w:val="00207617"/>
    <w:rsid w:val="00214FA1"/>
    <w:rsid w:val="00255071"/>
    <w:rsid w:val="00283659"/>
    <w:rsid w:val="002C4E73"/>
    <w:rsid w:val="002D68BF"/>
    <w:rsid w:val="0031751E"/>
    <w:rsid w:val="00336CBF"/>
    <w:rsid w:val="003405B7"/>
    <w:rsid w:val="00353469"/>
    <w:rsid w:val="003546C8"/>
    <w:rsid w:val="00372706"/>
    <w:rsid w:val="00385C3B"/>
    <w:rsid w:val="00393A2A"/>
    <w:rsid w:val="003A7CF2"/>
    <w:rsid w:val="003C5CE5"/>
    <w:rsid w:val="003E267B"/>
    <w:rsid w:val="003E7CD1"/>
    <w:rsid w:val="003F6C5E"/>
    <w:rsid w:val="00402B9E"/>
    <w:rsid w:val="00423932"/>
    <w:rsid w:val="004249CB"/>
    <w:rsid w:val="0044127D"/>
    <w:rsid w:val="004448DB"/>
    <w:rsid w:val="00446C9A"/>
    <w:rsid w:val="00477193"/>
    <w:rsid w:val="004A1848"/>
    <w:rsid w:val="004C0E60"/>
    <w:rsid w:val="00507FEC"/>
    <w:rsid w:val="00510F0E"/>
    <w:rsid w:val="00520AD9"/>
    <w:rsid w:val="005479E1"/>
    <w:rsid w:val="005570FD"/>
    <w:rsid w:val="005575EA"/>
    <w:rsid w:val="005613E3"/>
    <w:rsid w:val="0057790C"/>
    <w:rsid w:val="00593795"/>
    <w:rsid w:val="005A75FF"/>
    <w:rsid w:val="005B7789"/>
    <w:rsid w:val="005C1A42"/>
    <w:rsid w:val="005D63E8"/>
    <w:rsid w:val="005E49A7"/>
    <w:rsid w:val="0065791C"/>
    <w:rsid w:val="00690B8A"/>
    <w:rsid w:val="0069218B"/>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303B8"/>
    <w:rsid w:val="00833DCE"/>
    <w:rsid w:val="00842418"/>
    <w:rsid w:val="008579D7"/>
    <w:rsid w:val="008634DB"/>
    <w:rsid w:val="00866249"/>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4E62"/>
    <w:rsid w:val="009F5220"/>
    <w:rsid w:val="009F7C4D"/>
    <w:rsid w:val="00A0209F"/>
    <w:rsid w:val="00A15234"/>
    <w:rsid w:val="00A201AB"/>
    <w:rsid w:val="00A31C8B"/>
    <w:rsid w:val="00A75965"/>
    <w:rsid w:val="00A845DC"/>
    <w:rsid w:val="00A97AEE"/>
    <w:rsid w:val="00AC5261"/>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BF6EA5"/>
    <w:rsid w:val="00C10E8E"/>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E45D8"/>
    <w:rsid w:val="00EF5488"/>
    <w:rsid w:val="00F004CD"/>
    <w:rsid w:val="00F22A22"/>
    <w:rsid w:val="00F22EDA"/>
    <w:rsid w:val="00F3224D"/>
    <w:rsid w:val="00F33E0E"/>
    <w:rsid w:val="00F532BD"/>
    <w:rsid w:val="00F5664C"/>
    <w:rsid w:val="00F95317"/>
    <w:rsid w:val="00FA1416"/>
    <w:rsid w:val="00FB7E80"/>
    <w:rsid w:val="00FD6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B5019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BF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66B9A-3060-465F-BE08-310816D6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1862</Words>
  <Characters>8845</Characters>
  <Application>Microsoft Office Word</Application>
  <DocSecurity>0</DocSecurity>
  <Lines>73</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2018-09-05T10:24:00Z</dcterms:created>
  <dcterms:modified xsi:type="dcterms:W3CDTF">2018-09-05T10:25:00Z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