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B82CDB" w:rsidP="00C321B5">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8662C2"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8662C2" w:rsidRPr="008662C2">
        <w:rPr>
          <w:rFonts w:ascii="Book Antiqua" w:hAnsi="Book Antiqua" w:cs="Arial"/>
          <w:caps/>
        </w:rPr>
        <w:t>PA/</w:t>
      </w:r>
      <w:r w:rsidR="00B15D74">
        <w:rPr>
          <w:rFonts w:ascii="Book Antiqua" w:hAnsi="Book Antiqua" w:cs="Arial"/>
          <w:caps/>
        </w:rPr>
        <w:t>0</w:t>
      </w:r>
      <w:r w:rsidR="00AA30E9">
        <w:rPr>
          <w:rFonts w:ascii="Book Antiqua" w:hAnsi="Book Antiqua" w:cs="Arial"/>
          <w:caps/>
        </w:rPr>
        <w:t>3831</w:t>
      </w:r>
      <w:r w:rsidR="008662C2" w:rsidRPr="008662C2">
        <w:rPr>
          <w:rFonts w:ascii="Book Antiqua" w:hAnsi="Book Antiqua" w:cs="Arial"/>
          <w:caps/>
        </w:rPr>
        <w:t>/201</w:t>
      </w:r>
      <w:r w:rsidR="0096632C">
        <w:rPr>
          <w:rFonts w:ascii="Book Antiqua" w:hAnsi="Book Antiqua" w:cs="Arial"/>
          <w:caps/>
        </w:rPr>
        <w:t>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7E6462" w:rsidRPr="00F5664C" w:rsidRDefault="007E6462"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487C54" w:rsidTr="00487C54">
        <w:tc>
          <w:tcPr>
            <w:tcW w:w="6048" w:type="dxa"/>
            <w:shd w:val="clear" w:color="auto" w:fill="auto"/>
          </w:tcPr>
          <w:p w:rsidR="00D22636" w:rsidRPr="00487C54" w:rsidRDefault="00D22636" w:rsidP="00487C54">
            <w:pPr>
              <w:jc w:val="both"/>
              <w:rPr>
                <w:rFonts w:ascii="Book Antiqua" w:hAnsi="Book Antiqua" w:cs="Arial"/>
                <w:b/>
              </w:rPr>
            </w:pPr>
            <w:r w:rsidRPr="00487C54">
              <w:rPr>
                <w:rFonts w:ascii="Book Antiqua" w:hAnsi="Book Antiqua" w:cs="Arial"/>
                <w:b/>
              </w:rPr>
              <w:t xml:space="preserve">Heard at </w:t>
            </w:r>
            <w:r w:rsidR="000B3FBB">
              <w:rPr>
                <w:rFonts w:ascii="Book Antiqua" w:hAnsi="Book Antiqua" w:cs="Arial"/>
                <w:b/>
              </w:rPr>
              <w:t>North Shields</w:t>
            </w:r>
          </w:p>
        </w:tc>
        <w:tc>
          <w:tcPr>
            <w:tcW w:w="3960" w:type="dxa"/>
            <w:shd w:val="clear" w:color="auto" w:fill="auto"/>
          </w:tcPr>
          <w:p w:rsidR="00D22636" w:rsidRPr="00487C54" w:rsidRDefault="004153F5" w:rsidP="00487C54">
            <w:pPr>
              <w:jc w:val="both"/>
              <w:rPr>
                <w:rFonts w:ascii="Book Antiqua" w:hAnsi="Book Antiqua" w:cs="Arial"/>
                <w:b/>
              </w:rPr>
            </w:pPr>
            <w:r w:rsidRPr="00487C54">
              <w:rPr>
                <w:rFonts w:ascii="Book Antiqua" w:hAnsi="Book Antiqua" w:cs="Arial"/>
                <w:b/>
              </w:rPr>
              <w:t>Decision &amp; Reasons</w:t>
            </w:r>
            <w:r w:rsidR="00283659" w:rsidRPr="00487C54">
              <w:rPr>
                <w:rFonts w:ascii="Book Antiqua" w:hAnsi="Book Antiqua" w:cs="Arial"/>
                <w:b/>
              </w:rPr>
              <w:t xml:space="preserve"> Promulgated</w:t>
            </w:r>
          </w:p>
        </w:tc>
      </w:tr>
      <w:tr w:rsidR="00D22636" w:rsidRPr="00487C54" w:rsidTr="00487C54">
        <w:tc>
          <w:tcPr>
            <w:tcW w:w="6048" w:type="dxa"/>
            <w:shd w:val="clear" w:color="auto" w:fill="auto"/>
          </w:tcPr>
          <w:p w:rsidR="00D22636" w:rsidRPr="00487C54" w:rsidRDefault="00D22636" w:rsidP="00487C54">
            <w:pPr>
              <w:jc w:val="both"/>
              <w:rPr>
                <w:rFonts w:ascii="Book Antiqua" w:hAnsi="Book Antiqua" w:cs="Arial"/>
                <w:b/>
              </w:rPr>
            </w:pPr>
            <w:r w:rsidRPr="00487C54">
              <w:rPr>
                <w:rFonts w:ascii="Book Antiqua" w:hAnsi="Book Antiqua" w:cs="Arial"/>
                <w:b/>
              </w:rPr>
              <w:t xml:space="preserve">On </w:t>
            </w:r>
            <w:r w:rsidR="0096632C">
              <w:rPr>
                <w:rFonts w:ascii="Book Antiqua" w:hAnsi="Book Antiqua" w:cs="Arial"/>
                <w:b/>
              </w:rPr>
              <w:t>8</w:t>
            </w:r>
            <w:r w:rsidR="00460E22" w:rsidRPr="00487C54">
              <w:rPr>
                <w:rFonts w:ascii="Book Antiqua" w:hAnsi="Book Antiqua" w:cs="Arial"/>
                <w:b/>
              </w:rPr>
              <w:t xml:space="preserve"> </w:t>
            </w:r>
            <w:r w:rsidR="00090EC4">
              <w:rPr>
                <w:rFonts w:ascii="Book Antiqua" w:hAnsi="Book Antiqua" w:cs="Arial"/>
                <w:b/>
              </w:rPr>
              <w:t>Ma</w:t>
            </w:r>
            <w:r w:rsidR="0096632C">
              <w:rPr>
                <w:rFonts w:ascii="Book Antiqua" w:hAnsi="Book Antiqua" w:cs="Arial"/>
                <w:b/>
              </w:rPr>
              <w:t>y</w:t>
            </w:r>
            <w:r w:rsidR="00460E22" w:rsidRPr="00487C54">
              <w:rPr>
                <w:rFonts w:ascii="Book Antiqua" w:hAnsi="Book Antiqua" w:cs="Arial"/>
                <w:b/>
              </w:rPr>
              <w:t xml:space="preserve"> 2018</w:t>
            </w:r>
          </w:p>
        </w:tc>
        <w:tc>
          <w:tcPr>
            <w:tcW w:w="3960" w:type="dxa"/>
            <w:shd w:val="clear" w:color="auto" w:fill="auto"/>
          </w:tcPr>
          <w:p w:rsidR="00D22636" w:rsidRPr="00487C54" w:rsidRDefault="0086165A" w:rsidP="00487C54">
            <w:pPr>
              <w:jc w:val="both"/>
              <w:rPr>
                <w:rFonts w:ascii="Book Antiqua" w:hAnsi="Book Antiqua" w:cs="Arial"/>
                <w:b/>
              </w:rPr>
            </w:pPr>
            <w:r>
              <w:rPr>
                <w:rFonts w:ascii="Book Antiqua" w:hAnsi="Book Antiqua" w:cs="Arial"/>
                <w:b/>
              </w:rPr>
              <w:t>On 16 May 2018</w:t>
            </w:r>
          </w:p>
        </w:tc>
      </w:tr>
      <w:tr w:rsidR="00D22636" w:rsidRPr="00487C54" w:rsidTr="00487C54">
        <w:tc>
          <w:tcPr>
            <w:tcW w:w="6048" w:type="dxa"/>
            <w:shd w:val="clear" w:color="auto" w:fill="auto"/>
          </w:tcPr>
          <w:p w:rsidR="00D22636" w:rsidRPr="00487C54" w:rsidRDefault="00D22636" w:rsidP="00487C54">
            <w:pPr>
              <w:jc w:val="both"/>
              <w:rPr>
                <w:rFonts w:ascii="Book Antiqua" w:hAnsi="Book Antiqua" w:cs="Arial"/>
                <w:b/>
              </w:rPr>
            </w:pPr>
          </w:p>
        </w:tc>
        <w:tc>
          <w:tcPr>
            <w:tcW w:w="3960" w:type="dxa"/>
            <w:shd w:val="clear" w:color="auto" w:fill="auto"/>
          </w:tcPr>
          <w:p w:rsidR="00D22636" w:rsidRPr="00487C54" w:rsidRDefault="00D22636" w:rsidP="00487C5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4B3E92">
        <w:rPr>
          <w:rFonts w:ascii="Book Antiqua" w:hAnsi="Book Antiqua" w:cs="Arial"/>
          <w:b/>
        </w:rPr>
        <w:t>JUDGE J M HOLMES</w:t>
      </w:r>
    </w:p>
    <w:p w:rsidR="00B16F58" w:rsidRPr="00F5664C" w:rsidRDefault="00B16F58" w:rsidP="00A15234">
      <w:pPr>
        <w:jc w:val="center"/>
        <w:rPr>
          <w:rFonts w:ascii="Book Antiqua" w:hAnsi="Book Antiqua" w:cs="Arial"/>
          <w:b/>
        </w:rPr>
      </w:pPr>
    </w:p>
    <w:p w:rsidR="007E6462" w:rsidRDefault="007E6462"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96632C" w:rsidP="00742A8D">
      <w:pPr>
        <w:jc w:val="center"/>
        <w:rPr>
          <w:rFonts w:ascii="Book Antiqua" w:hAnsi="Book Antiqua" w:cs="Arial"/>
          <w:b/>
          <w:caps/>
        </w:rPr>
      </w:pPr>
      <w:r>
        <w:rPr>
          <w:rFonts w:ascii="Book Antiqua" w:hAnsi="Book Antiqua" w:cs="Arial"/>
          <w:b/>
          <w:caps/>
        </w:rPr>
        <w:t>M</w:t>
      </w:r>
      <w:r w:rsidR="000B3FBB">
        <w:rPr>
          <w:rFonts w:ascii="Book Antiqua" w:hAnsi="Book Antiqua" w:cs="Arial"/>
          <w:b/>
          <w:caps/>
        </w:rPr>
        <w:t xml:space="preserve">. </w:t>
      </w:r>
      <w:r w:rsidR="00F8731F">
        <w:rPr>
          <w:rFonts w:ascii="Book Antiqua" w:hAnsi="Book Antiqua" w:cs="Arial"/>
          <w:b/>
          <w:caps/>
        </w:rPr>
        <w:t>N</w:t>
      </w:r>
      <w:r w:rsidR="000B3FBB">
        <w:rPr>
          <w:rFonts w:ascii="Book Antiqua" w:hAnsi="Book Antiqua" w:cs="Arial"/>
          <w:b/>
          <w:caps/>
        </w:rPr>
        <w:t>.</w:t>
      </w:r>
    </w:p>
    <w:p w:rsidR="004153F5" w:rsidRDefault="004153F5" w:rsidP="004153F5">
      <w:pPr>
        <w:jc w:val="center"/>
        <w:rPr>
          <w:rFonts w:ascii="Book Antiqua" w:hAnsi="Book Antiqua" w:cs="Arial"/>
          <w:b/>
          <w:caps/>
        </w:rPr>
      </w:pPr>
      <w:r w:rsidRPr="004153F5">
        <w:rPr>
          <w:rFonts w:ascii="Book Antiqua" w:hAnsi="Book Antiqua" w:cs="Arial"/>
          <w:b/>
          <w:caps/>
        </w:rPr>
        <w:t xml:space="preserve">(ANONYMITY DIRECTION </w:t>
      </w:r>
      <w:r w:rsidR="00CD2DDC">
        <w:rPr>
          <w:rFonts w:ascii="Book Antiqua" w:hAnsi="Book Antiqua" w:cs="Arial"/>
          <w:b/>
          <w:caps/>
        </w:rPr>
        <w:t>MADE</w:t>
      </w:r>
      <w:r w:rsidRPr="004153F5">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7E6462" w:rsidRDefault="007E6462" w:rsidP="00704B61">
      <w:pPr>
        <w:jc w:val="center"/>
        <w:rPr>
          <w:rFonts w:ascii="Book Antiqua" w:hAnsi="Book Antiqua" w:cs="Arial"/>
          <w:b/>
          <w:caps/>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7E6462" w:rsidRPr="00F5664C" w:rsidRDefault="007E6462"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460E22">
      <w:pPr>
        <w:tabs>
          <w:tab w:val="left" w:pos="2520"/>
        </w:tabs>
        <w:ind w:left="2520" w:hanging="252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60E22">
        <w:rPr>
          <w:rFonts w:ascii="Book Antiqua" w:hAnsi="Book Antiqua" w:cs="Arial"/>
        </w:rPr>
        <w:t>M</w:t>
      </w:r>
      <w:r w:rsidR="00090EC4">
        <w:rPr>
          <w:rFonts w:ascii="Book Antiqua" w:hAnsi="Book Antiqua" w:cs="Arial"/>
        </w:rPr>
        <w:t xml:space="preserve">r </w:t>
      </w:r>
      <w:r w:rsidR="00E87450">
        <w:rPr>
          <w:rFonts w:ascii="Book Antiqua" w:hAnsi="Book Antiqua" w:cs="Arial"/>
        </w:rPr>
        <w:t>Boyle</w:t>
      </w:r>
      <w:r w:rsidR="000B3FBB">
        <w:rPr>
          <w:rFonts w:ascii="Book Antiqua" w:hAnsi="Book Antiqua" w:cs="Arial"/>
        </w:rPr>
        <w:t xml:space="preserve">, Solicitor, </w:t>
      </w:r>
      <w:r w:rsidR="00E87450">
        <w:rPr>
          <w:rFonts w:ascii="Book Antiqua" w:hAnsi="Book Antiqua" w:cs="Arial"/>
        </w:rPr>
        <w:t>Halliday Reeves Law Firm</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60E22">
        <w:rPr>
          <w:rFonts w:ascii="Book Antiqua" w:hAnsi="Book Antiqua" w:cs="Arial"/>
        </w:rPr>
        <w:t xml:space="preserve">Mr </w:t>
      </w:r>
      <w:proofErr w:type="spellStart"/>
      <w:r w:rsidR="0096632C">
        <w:rPr>
          <w:rFonts w:ascii="Book Antiqua" w:hAnsi="Book Antiqua" w:cs="Arial"/>
        </w:rPr>
        <w:t>Diwnycz</w:t>
      </w:r>
      <w:proofErr w:type="spellEnd"/>
      <w:r w:rsidR="00460E22">
        <w:rPr>
          <w:rFonts w:ascii="Book Antiqua" w:hAnsi="Book Antiqua" w:cs="Arial"/>
        </w:rPr>
        <w:t>,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153F5"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33811" w:rsidRDefault="006A51FF" w:rsidP="008B38D2">
      <w:pPr>
        <w:pStyle w:val="p"/>
      </w:pPr>
      <w:r>
        <w:t xml:space="preserve">The Appellant is a national of </w:t>
      </w:r>
      <w:r w:rsidR="0096632C">
        <w:t>Afghanistan</w:t>
      </w:r>
      <w:r w:rsidR="00B477C8">
        <w:t xml:space="preserve">, who </w:t>
      </w:r>
      <w:r w:rsidR="000B3FBB">
        <w:t>entered the UK illegally</w:t>
      </w:r>
      <w:r w:rsidR="008B38D2">
        <w:t>,</w:t>
      </w:r>
      <w:r w:rsidR="000B3FBB">
        <w:t xml:space="preserve"> and claimed asylum</w:t>
      </w:r>
      <w:r w:rsidR="00440BF5">
        <w:t xml:space="preserve"> at a police station</w:t>
      </w:r>
      <w:r w:rsidR="00006456">
        <w:t xml:space="preserve"> on </w:t>
      </w:r>
      <w:r w:rsidR="0096632C">
        <w:t>1 April</w:t>
      </w:r>
      <w:r w:rsidR="00006456">
        <w:t xml:space="preserve"> 201</w:t>
      </w:r>
      <w:r w:rsidR="0096632C">
        <w:t>6 asserting that he was a child</w:t>
      </w:r>
      <w:r w:rsidR="00033811">
        <w:t xml:space="preserve">. </w:t>
      </w:r>
      <w:r w:rsidR="00440BF5">
        <w:t xml:space="preserve">Social workers </w:t>
      </w:r>
      <w:r w:rsidR="00131FEF">
        <w:t>from Leicestershire County Council attended, and assessed</w:t>
      </w:r>
      <w:r w:rsidR="00F8731F">
        <w:t xml:space="preserve"> that claim to be untrue, and that he was in reality</w:t>
      </w:r>
      <w:r w:rsidR="00131FEF">
        <w:t xml:space="preserve"> an adult of</w:t>
      </w:r>
      <w:r w:rsidR="00F8731F">
        <w:t xml:space="preserve"> between</w:t>
      </w:r>
      <w:r w:rsidR="00131FEF">
        <w:t xml:space="preserve"> 25-27 years. In due course the</w:t>
      </w:r>
      <w:r>
        <w:t xml:space="preserve"> </w:t>
      </w:r>
      <w:r w:rsidR="00F8731F">
        <w:t xml:space="preserve">Appellant’s </w:t>
      </w:r>
      <w:r>
        <w:t xml:space="preserve">protection claim was refused on </w:t>
      </w:r>
      <w:r w:rsidR="00F25A92">
        <w:t>7</w:t>
      </w:r>
      <w:r w:rsidR="003950EA">
        <w:t xml:space="preserve"> April</w:t>
      </w:r>
      <w:r>
        <w:t xml:space="preserve"> 201</w:t>
      </w:r>
      <w:r w:rsidR="00F25A92">
        <w:t>7</w:t>
      </w:r>
      <w:r>
        <w:t xml:space="preserve">.  His appeal against that refusal came before the First-tier Tribunal at </w:t>
      </w:r>
      <w:r w:rsidR="008B38D2">
        <w:t>North Shields</w:t>
      </w:r>
      <w:r>
        <w:t xml:space="preserve"> when it was heard by First-tier Tribunal Judge </w:t>
      </w:r>
      <w:r w:rsidR="007D7157">
        <w:t>H</w:t>
      </w:r>
      <w:r w:rsidR="003950EA">
        <w:t>ands</w:t>
      </w:r>
      <w:r>
        <w:t xml:space="preserve">. </w:t>
      </w:r>
      <w:r w:rsidR="006535B9">
        <w:t>T</w:t>
      </w:r>
      <w:r>
        <w:t>he appeal</w:t>
      </w:r>
      <w:r w:rsidR="006535B9">
        <w:t xml:space="preserve"> was </w:t>
      </w:r>
      <w:r w:rsidR="003950EA">
        <w:t>dismissed on all</w:t>
      </w:r>
      <w:r w:rsidR="00033811">
        <w:t xml:space="preserve"> </w:t>
      </w:r>
      <w:r>
        <w:t xml:space="preserve">grounds in </w:t>
      </w:r>
      <w:r w:rsidR="00F8731F">
        <w:t>her</w:t>
      </w:r>
      <w:r>
        <w:t xml:space="preserve"> decision promulgated on </w:t>
      </w:r>
      <w:r w:rsidR="00F25A92">
        <w:t>25 July</w:t>
      </w:r>
      <w:r>
        <w:t xml:space="preserve"> 2017</w:t>
      </w:r>
      <w:r w:rsidR="003950EA">
        <w:t>.</w:t>
      </w:r>
    </w:p>
    <w:p w:rsidR="00AB6D4D" w:rsidRDefault="006A51FF" w:rsidP="008B38D2">
      <w:pPr>
        <w:pStyle w:val="p"/>
      </w:pPr>
      <w:r>
        <w:lastRenderedPageBreak/>
        <w:t xml:space="preserve">The </w:t>
      </w:r>
      <w:r w:rsidR="003950EA">
        <w:t>Appellant’s</w:t>
      </w:r>
      <w:r w:rsidR="006535B9">
        <w:t xml:space="preserve"> </w:t>
      </w:r>
      <w:r w:rsidR="00852A9A">
        <w:t xml:space="preserve">out of time </w:t>
      </w:r>
      <w:r>
        <w:t xml:space="preserve">application for permission to appeal </w:t>
      </w:r>
      <w:r w:rsidR="003950EA">
        <w:t xml:space="preserve">was refused by First </w:t>
      </w:r>
      <w:proofErr w:type="gramStart"/>
      <w:r w:rsidR="003950EA">
        <w:t>tier</w:t>
      </w:r>
      <w:proofErr w:type="gramEnd"/>
      <w:r w:rsidR="003950EA">
        <w:t xml:space="preserve"> Tribunal Judge </w:t>
      </w:r>
      <w:proofErr w:type="spellStart"/>
      <w:r w:rsidR="00F25A92">
        <w:t>Adio</w:t>
      </w:r>
      <w:proofErr w:type="spellEnd"/>
      <w:r w:rsidR="003950EA">
        <w:t xml:space="preserve"> on </w:t>
      </w:r>
      <w:r w:rsidR="00F25A92">
        <w:t>7 Novem</w:t>
      </w:r>
      <w:r w:rsidR="003950EA">
        <w:t xml:space="preserve">ber 2017. The application was renewed to the Upper Tribunal </w:t>
      </w:r>
      <w:r w:rsidR="00F151EA">
        <w:t xml:space="preserve">on lengthy grounds drafted by </w:t>
      </w:r>
      <w:r w:rsidR="00F8731F">
        <w:t xml:space="preserve">Ms Cleghorn of </w:t>
      </w:r>
      <w:r w:rsidR="00F151EA">
        <w:t>Counsel</w:t>
      </w:r>
      <w:r w:rsidR="00F8731F">
        <w:t>,</w:t>
      </w:r>
      <w:r w:rsidR="00F151EA">
        <w:t xml:space="preserve"> who had</w:t>
      </w:r>
      <w:r w:rsidR="00F25A92">
        <w:t xml:space="preserve"> not</w:t>
      </w:r>
      <w:r w:rsidR="00F151EA">
        <w:t xml:space="preserve"> represented the Appellant at the hearing before Judge Hands. Those grounds were not supported by any witness statement from </w:t>
      </w:r>
      <w:r w:rsidR="00E80BE2">
        <w:t>either the Appellant</w:t>
      </w:r>
      <w:r w:rsidR="002541E1">
        <w:t>,</w:t>
      </w:r>
      <w:r w:rsidR="00E80BE2">
        <w:t xml:space="preserve"> or</w:t>
      </w:r>
      <w:r w:rsidR="00F25A92">
        <w:t>,</w:t>
      </w:r>
      <w:r w:rsidR="00A842B7">
        <w:t xml:space="preserve"> Mr Boyle</w:t>
      </w:r>
      <w:r w:rsidR="00F25A92">
        <w:t xml:space="preserve"> </w:t>
      </w:r>
      <w:r w:rsidR="00A842B7">
        <w:t xml:space="preserve">as </w:t>
      </w:r>
      <w:r w:rsidR="00F25A92">
        <w:t>the representative</w:t>
      </w:r>
      <w:r w:rsidR="00F151EA">
        <w:t xml:space="preserve"> </w:t>
      </w:r>
      <w:r w:rsidR="002541E1">
        <w:t xml:space="preserve">who had appeared below, in order </w:t>
      </w:r>
      <w:r w:rsidR="00F151EA">
        <w:t xml:space="preserve">to provide </w:t>
      </w:r>
      <w:r w:rsidR="00DE46F9">
        <w:t xml:space="preserve">any </w:t>
      </w:r>
      <w:r w:rsidR="00F151EA">
        <w:t xml:space="preserve">evidential support for </w:t>
      </w:r>
      <w:r w:rsidR="002541E1">
        <w:t>t</w:t>
      </w:r>
      <w:r w:rsidR="00F151EA">
        <w:t xml:space="preserve">he assertions made therein as to </w:t>
      </w:r>
      <w:r w:rsidR="00A842B7">
        <w:t>what had occurred during</w:t>
      </w:r>
      <w:r w:rsidR="00DE46F9">
        <w:t xml:space="preserve"> the hearing. </w:t>
      </w:r>
    </w:p>
    <w:p w:rsidR="00865FBF" w:rsidRDefault="00865FBF" w:rsidP="008B38D2">
      <w:pPr>
        <w:pStyle w:val="p"/>
      </w:pPr>
      <w:r>
        <w:t xml:space="preserve">When the hearing of this appeal was called on before me, Mr Boyle confirmed that no application to introduce evidence under Rule 15(2A) of the Upper Tribunal Procedure Rules had </w:t>
      </w:r>
      <w:r w:rsidR="00B477C8">
        <w:t xml:space="preserve">ever </w:t>
      </w:r>
      <w:r>
        <w:t>been made on behalf of the Appellant</w:t>
      </w:r>
      <w:r w:rsidR="00A216C7">
        <w:t>. Nor was such an application</w:t>
      </w:r>
      <w:r w:rsidR="002541E1">
        <w:t xml:space="preserve"> to be</w:t>
      </w:r>
      <w:r w:rsidR="00A216C7">
        <w:t xml:space="preserve"> advanced late</w:t>
      </w:r>
      <w:r w:rsidR="00AB6D4D">
        <w:t>.</w:t>
      </w:r>
      <w:r w:rsidR="00DE46F9">
        <w:t xml:space="preserve"> </w:t>
      </w:r>
      <w:proofErr w:type="gramStart"/>
      <w:r w:rsidR="00DE46F9">
        <w:t>Thus</w:t>
      </w:r>
      <w:proofErr w:type="gramEnd"/>
      <w:r w:rsidR="00DE46F9">
        <w:t xml:space="preserve"> the matter comes before me.</w:t>
      </w:r>
    </w:p>
    <w:p w:rsidR="00DE46F9" w:rsidRDefault="003A0FB3" w:rsidP="008B38D2">
      <w:pPr>
        <w:pStyle w:val="p"/>
      </w:pPr>
      <w:r>
        <w:t>The</w:t>
      </w:r>
      <w:r w:rsidR="000C4652">
        <w:t>re are four</w:t>
      </w:r>
      <w:r>
        <w:t xml:space="preserve"> grounds, as drafted,</w:t>
      </w:r>
      <w:r w:rsidR="000C4652">
        <w:t xml:space="preserve"> although the third ground itself raises complaints about four different passages in the decision</w:t>
      </w:r>
      <w:r w:rsidR="004B26A5">
        <w:t>, and</w:t>
      </w:r>
      <w:r w:rsidR="00A842B7">
        <w:t>,</w:t>
      </w:r>
      <w:r w:rsidR="004B26A5">
        <w:t xml:space="preserve"> as advanced by Mr Boyle the first ground </w:t>
      </w:r>
      <w:r w:rsidR="00A842B7">
        <w:t>was made up of</w:t>
      </w:r>
      <w:r w:rsidR="004B26A5">
        <w:t xml:space="preserve"> three complaints</w:t>
      </w:r>
      <w:r w:rsidR="000C4652">
        <w:t>.</w:t>
      </w:r>
      <w:r>
        <w:t xml:space="preserve"> </w:t>
      </w:r>
    </w:p>
    <w:p w:rsidR="00FA000D" w:rsidRDefault="00131FEF" w:rsidP="008B38D2">
      <w:pPr>
        <w:pStyle w:val="p"/>
      </w:pPr>
      <w:r>
        <w:t xml:space="preserve">The first ground </w:t>
      </w:r>
      <w:r w:rsidR="004B26A5">
        <w:t xml:space="preserve">contains the </w:t>
      </w:r>
      <w:r>
        <w:t>assert</w:t>
      </w:r>
      <w:r w:rsidR="004B26A5">
        <w:t>ion</w:t>
      </w:r>
      <w:r>
        <w:t xml:space="preserve"> that the </w:t>
      </w:r>
      <w:r w:rsidR="00334215">
        <w:t xml:space="preserve">social workers’ </w:t>
      </w:r>
      <w:r>
        <w:t xml:space="preserve">age assessment was conducted without the </w:t>
      </w:r>
      <w:r w:rsidR="00337926">
        <w:t>use of an interpreter</w:t>
      </w:r>
      <w:r w:rsidR="00334215">
        <w:t>. This was</w:t>
      </w:r>
      <w:r w:rsidR="00337926">
        <w:t xml:space="preserve"> a </w:t>
      </w:r>
      <w:r>
        <w:t>complain</w:t>
      </w:r>
      <w:r w:rsidR="00337926">
        <w:t>t</w:t>
      </w:r>
      <w:r>
        <w:t xml:space="preserve"> that the </w:t>
      </w:r>
      <w:r w:rsidR="00337926">
        <w:t xml:space="preserve">Appellant </w:t>
      </w:r>
      <w:r w:rsidR="004B26A5">
        <w:t xml:space="preserve">had </w:t>
      </w:r>
      <w:r w:rsidR="00337926">
        <w:t xml:space="preserve">made to the Judge </w:t>
      </w:r>
      <w:r w:rsidR="004B26A5">
        <w:t xml:space="preserve">in evidence </w:t>
      </w:r>
      <w:r w:rsidR="00337926">
        <w:t>when he</w:t>
      </w:r>
      <w:r w:rsidR="004B26A5">
        <w:t xml:space="preserve"> had</w:t>
      </w:r>
      <w:r w:rsidR="00337926">
        <w:t xml:space="preserve"> claimed that no-one </w:t>
      </w:r>
      <w:r w:rsidR="004B26A5">
        <w:t xml:space="preserve">had </w:t>
      </w:r>
      <w:r w:rsidR="00337926">
        <w:t>spoke</w:t>
      </w:r>
      <w:r w:rsidR="004B26A5">
        <w:t>n</w:t>
      </w:r>
      <w:r w:rsidR="00337926">
        <w:t xml:space="preserve"> to him, </w:t>
      </w:r>
      <w:r w:rsidR="004B26A5">
        <w:t>but</w:t>
      </w:r>
      <w:r w:rsidR="00334215">
        <w:t xml:space="preserve"> that they had</w:t>
      </w:r>
      <w:r w:rsidR="004B26A5">
        <w:t xml:space="preserve"> </w:t>
      </w:r>
      <w:r w:rsidR="00337926">
        <w:t>just looked at him [20]. That complaint was obviously inconsistent with the record of the age assessment in evidence [A1-], which record</w:t>
      </w:r>
      <w:r w:rsidR="004B26A5">
        <w:t>ed</w:t>
      </w:r>
      <w:r w:rsidR="00337926">
        <w:t xml:space="preserve"> that two social workers </w:t>
      </w:r>
      <w:r w:rsidR="004B26A5">
        <w:t xml:space="preserve">had </w:t>
      </w:r>
      <w:r w:rsidR="00337926">
        <w:t>questioned the Appellant using a Farsi interpreter</w:t>
      </w:r>
      <w:r w:rsidR="004B26A5">
        <w:t>, and had then put their conclusions and observations to the Appellant inviting his response t</w:t>
      </w:r>
      <w:r w:rsidR="00334215">
        <w:t>o t</w:t>
      </w:r>
      <w:r w:rsidR="004B26A5">
        <w:t>he</w:t>
      </w:r>
      <w:r w:rsidR="00334215">
        <w:t>m</w:t>
      </w:r>
      <w:r w:rsidR="00337926">
        <w:t>.</w:t>
      </w:r>
      <w:r w:rsidR="001D3DB0">
        <w:t xml:space="preserve"> The Judge plainly preferred the contemporary written record of what had occurred as </w:t>
      </w:r>
      <w:r w:rsidR="00FA000D">
        <w:t xml:space="preserve">being rather </w:t>
      </w:r>
      <w:r w:rsidR="001D3DB0">
        <w:t xml:space="preserve">more reliable than the Appellant’s </w:t>
      </w:r>
      <w:r w:rsidR="00FA000D">
        <w:t xml:space="preserve">evidence as to what his </w:t>
      </w:r>
      <w:r w:rsidR="001D3DB0">
        <w:t xml:space="preserve">recollection </w:t>
      </w:r>
      <w:r w:rsidR="00FA000D">
        <w:t xml:space="preserve">of it was </w:t>
      </w:r>
      <w:r w:rsidR="001D3DB0">
        <w:t>[36]</w:t>
      </w:r>
      <w:r w:rsidR="00FA000D">
        <w:t xml:space="preserve">. </w:t>
      </w:r>
      <w:proofErr w:type="gramStart"/>
      <w:r w:rsidR="00FA000D">
        <w:t>I</w:t>
      </w:r>
      <w:r w:rsidR="001D3DB0">
        <w:t>ndeed</w:t>
      </w:r>
      <w:proofErr w:type="gramEnd"/>
      <w:r w:rsidR="001D3DB0">
        <w:t xml:space="preserve"> that written record is so inconsistent with his </w:t>
      </w:r>
      <w:r w:rsidR="00FA000D">
        <w:t xml:space="preserve">oral </w:t>
      </w:r>
      <w:r w:rsidR="001D3DB0">
        <w:t xml:space="preserve">evidence </w:t>
      </w:r>
      <w:r w:rsidR="00FA000D">
        <w:t xml:space="preserve">as </w:t>
      </w:r>
      <w:r w:rsidR="001D3DB0">
        <w:t xml:space="preserve">to </w:t>
      </w:r>
      <w:r w:rsidR="00FA000D">
        <w:t>what had occurred,</w:t>
      </w:r>
      <w:r w:rsidR="001D3DB0">
        <w:t xml:space="preserve"> as to </w:t>
      </w:r>
      <w:r w:rsidR="00FA000D">
        <w:t xml:space="preserve">clearly </w:t>
      </w:r>
      <w:r w:rsidR="001D3DB0">
        <w:t>indicate an issue with the reliability of his evidence generally.</w:t>
      </w:r>
      <w:r w:rsidR="00EA40C9">
        <w:t xml:space="preserve"> </w:t>
      </w:r>
    </w:p>
    <w:p w:rsidR="00933303" w:rsidRDefault="00EA40C9" w:rsidP="008B38D2">
      <w:pPr>
        <w:pStyle w:val="p"/>
      </w:pPr>
      <w:r>
        <w:t xml:space="preserve">The first ground </w:t>
      </w:r>
      <w:r w:rsidR="00334215">
        <w:t>goes on to</w:t>
      </w:r>
      <w:r>
        <w:t xml:space="preserve"> </w:t>
      </w:r>
      <w:r w:rsidR="002101C9">
        <w:t>complain</w:t>
      </w:r>
      <w:r>
        <w:t xml:space="preserve"> that </w:t>
      </w:r>
      <w:r w:rsidR="002101C9">
        <w:t xml:space="preserve">if </w:t>
      </w:r>
      <w:r>
        <w:t xml:space="preserve">the Appellant was interviewed </w:t>
      </w:r>
      <w:r w:rsidR="00334215">
        <w:t>by social workers during the course of t</w:t>
      </w:r>
      <w:r>
        <w:t>he</w:t>
      </w:r>
      <w:r w:rsidR="00334215">
        <w:t>ir</w:t>
      </w:r>
      <w:r>
        <w:t xml:space="preserve"> age assessment</w:t>
      </w:r>
      <w:r w:rsidR="002101C9">
        <w:t xml:space="preserve">, then it was </w:t>
      </w:r>
      <w:r>
        <w:t xml:space="preserve">in a language that </w:t>
      </w:r>
      <w:r w:rsidR="002101C9">
        <w:t>wa</w:t>
      </w:r>
      <w:r>
        <w:t>s not his own,</w:t>
      </w:r>
      <w:r w:rsidR="002101C9">
        <w:t xml:space="preserve"> because the </w:t>
      </w:r>
      <w:r w:rsidR="00FA000D">
        <w:t xml:space="preserve">written </w:t>
      </w:r>
      <w:r w:rsidR="002101C9">
        <w:t xml:space="preserve">record </w:t>
      </w:r>
      <w:r w:rsidR="00FA000D">
        <w:t>record</w:t>
      </w:r>
      <w:r w:rsidR="00382DD9">
        <w:t>ed</w:t>
      </w:r>
      <w:r w:rsidR="002101C9">
        <w:t xml:space="preserve"> </w:t>
      </w:r>
      <w:r>
        <w:t>Farsi</w:t>
      </w:r>
      <w:r w:rsidR="00382DD9">
        <w:t xml:space="preserve"> as having</w:t>
      </w:r>
      <w:r>
        <w:t xml:space="preserve"> </w:t>
      </w:r>
      <w:r w:rsidR="00FA000D">
        <w:t>be</w:t>
      </w:r>
      <w:r w:rsidR="00382DD9">
        <w:t>en</w:t>
      </w:r>
      <w:r w:rsidR="002101C9">
        <w:t xml:space="preserve"> used </w:t>
      </w:r>
      <w:r>
        <w:t>rather than Dari.</w:t>
      </w:r>
      <w:r w:rsidR="002101C9">
        <w:t xml:space="preserve"> There is no merit in this complaint either. The Appellant had </w:t>
      </w:r>
      <w:r w:rsidR="00D01276">
        <w:t xml:space="preserve">earlier </w:t>
      </w:r>
      <w:r w:rsidR="002101C9">
        <w:t xml:space="preserve">on the same date confirmed that he spoke both Farsi and Dari, indicating </w:t>
      </w:r>
      <w:r w:rsidR="00D01276">
        <w:t xml:space="preserve">then </w:t>
      </w:r>
      <w:r w:rsidR="002101C9">
        <w:t>that Farsi was his preferred main language [B2].</w:t>
      </w:r>
      <w:r w:rsidR="00D01276">
        <w:t xml:space="preserve"> It was no doubt on this basis that a Farsi interpreter was arranged for the age assessmen</w:t>
      </w:r>
      <w:r w:rsidR="00382DD9">
        <w:t>t</w:t>
      </w:r>
      <w:r w:rsidR="00D01276">
        <w:t>.</w:t>
      </w:r>
    </w:p>
    <w:p w:rsidR="00CE3956" w:rsidRDefault="00933303" w:rsidP="008B38D2">
      <w:pPr>
        <w:pStyle w:val="p"/>
      </w:pPr>
      <w:r>
        <w:t xml:space="preserve">The first ground </w:t>
      </w:r>
      <w:r w:rsidR="00382DD9">
        <w:t xml:space="preserve">goes on to </w:t>
      </w:r>
      <w:r>
        <w:t xml:space="preserve">then complain that if Farsi </w:t>
      </w:r>
      <w:r w:rsidR="00382DD9">
        <w:t>were</w:t>
      </w:r>
      <w:r>
        <w:t xml:space="preserve"> </w:t>
      </w:r>
      <w:r w:rsidR="00D01276">
        <w:t>indeed the Appellant’</w:t>
      </w:r>
      <w:r>
        <w:t>s main language, th</w:t>
      </w:r>
      <w:r w:rsidR="00D01276">
        <w:t xml:space="preserve">en it </w:t>
      </w:r>
      <w:r w:rsidR="00382DD9">
        <w:t xml:space="preserve">must </w:t>
      </w:r>
      <w:r w:rsidR="00D01276">
        <w:t>follow th</w:t>
      </w:r>
      <w:r>
        <w:t xml:space="preserve">at the wrong interpreter was provided </w:t>
      </w:r>
      <w:r w:rsidR="00382DD9">
        <w:t xml:space="preserve">by the Tribunal for </w:t>
      </w:r>
      <w:r>
        <w:t xml:space="preserve">the hearing of his appeal, so that </w:t>
      </w:r>
      <w:r>
        <w:rPr>
          <w:i/>
        </w:rPr>
        <w:t>ab initio</w:t>
      </w:r>
      <w:r>
        <w:t xml:space="preserve"> he was deprived of a fair hearing</w:t>
      </w:r>
      <w:r w:rsidR="00382DD9">
        <w:t xml:space="preserve"> of that appeal</w:t>
      </w:r>
      <w:r>
        <w:t>. There is no merit in th</w:t>
      </w:r>
      <w:r w:rsidR="00382DD9">
        <w:t>is</w:t>
      </w:r>
      <w:r>
        <w:t xml:space="preserve"> </w:t>
      </w:r>
      <w:r w:rsidR="00CE3956">
        <w:t xml:space="preserve">aspect of the </w:t>
      </w:r>
      <w:r>
        <w:t xml:space="preserve">complaint either. </w:t>
      </w:r>
      <w:r w:rsidR="00382DD9">
        <w:t xml:space="preserve">A </w:t>
      </w:r>
      <w:r>
        <w:t xml:space="preserve">Dari </w:t>
      </w:r>
      <w:r w:rsidR="001A6AB2">
        <w:t xml:space="preserve">interpreter was requested </w:t>
      </w:r>
      <w:r w:rsidR="00382DD9">
        <w:t xml:space="preserve">for the hearing of the appeal </w:t>
      </w:r>
      <w:r w:rsidR="001A6AB2">
        <w:t>by the solicitors who have acted for him throughout</w:t>
      </w:r>
      <w:r w:rsidR="00382DD9">
        <w:t>,</w:t>
      </w:r>
      <w:r w:rsidR="001A6AB2">
        <w:t xml:space="preserve"> in both the Notice of Appeal, and again in the Reply form lodged for the PHR. </w:t>
      </w:r>
      <w:proofErr w:type="gramStart"/>
      <w:r w:rsidR="001A6AB2">
        <w:t>Moreover</w:t>
      </w:r>
      <w:proofErr w:type="gramEnd"/>
      <w:r w:rsidR="001A6AB2">
        <w:t xml:space="preserve"> no request was made when the hearing was called on</w:t>
      </w:r>
      <w:r w:rsidR="006A3DF4">
        <w:t xml:space="preserve">, for either an adjournment, or, </w:t>
      </w:r>
      <w:r w:rsidR="001A6AB2">
        <w:t>for a different interpreter</w:t>
      </w:r>
      <w:r w:rsidR="006A3DF4">
        <w:t>,</w:t>
      </w:r>
      <w:r w:rsidR="001A6AB2">
        <w:t xml:space="preserve"> because a mistake had been made.</w:t>
      </w:r>
      <w:r w:rsidR="00D01276">
        <w:t xml:space="preserve"> </w:t>
      </w:r>
      <w:r w:rsidR="006A3DF4">
        <w:t xml:space="preserve">At </w:t>
      </w:r>
      <w:r w:rsidR="006A3DF4">
        <w:lastRenderedPageBreak/>
        <w:t>no stage during the hearing did the Appellant assert that he did not speak Dari fluently.</w:t>
      </w:r>
    </w:p>
    <w:p w:rsidR="001A6AB2" w:rsidRDefault="00D01276" w:rsidP="008B38D2">
      <w:pPr>
        <w:pStyle w:val="p"/>
      </w:pPr>
      <w:r>
        <w:t xml:space="preserve">This </w:t>
      </w:r>
      <w:r w:rsidR="00CE3956">
        <w:t xml:space="preserve">latter aspect of the </w:t>
      </w:r>
      <w:r>
        <w:t xml:space="preserve">complaint is not </w:t>
      </w:r>
      <w:r w:rsidR="00F67F04">
        <w:t>improved</w:t>
      </w:r>
      <w:r>
        <w:t xml:space="preserve"> by the assertion (unsupported as it is by any evidence) that the Appellant was in fact deprived of a fair hearing because </w:t>
      </w:r>
      <w:r w:rsidR="00CE3956">
        <w:t>t</w:t>
      </w:r>
      <w:r>
        <w:t xml:space="preserve">he </w:t>
      </w:r>
      <w:r w:rsidR="00CE3956">
        <w:t xml:space="preserve">Appellant </w:t>
      </w:r>
      <w:r>
        <w:t xml:space="preserve">and the interpreter did not </w:t>
      </w:r>
      <w:r w:rsidR="00CE3956">
        <w:t xml:space="preserve">in reality </w:t>
      </w:r>
      <w:r>
        <w:t>understand one another</w:t>
      </w:r>
      <w:r w:rsidR="00CE3956">
        <w:t xml:space="preserve"> properly</w:t>
      </w:r>
      <w:r>
        <w:t>.</w:t>
      </w:r>
      <w:r w:rsidR="00F67F04">
        <w:t xml:space="preserve"> Before me Mr Boyle (who had been present at the hearing) accepted that the Judge had accurately recorded what had occurred during the hearing [2-3]. He accepted that the interpreter had </w:t>
      </w:r>
      <w:r w:rsidR="00033AD9">
        <w:t xml:space="preserve">herself </w:t>
      </w:r>
      <w:r w:rsidR="00F67F04">
        <w:t xml:space="preserve">raised </w:t>
      </w:r>
      <w:r w:rsidR="00CE3956">
        <w:t>a number of</w:t>
      </w:r>
      <w:r w:rsidR="00F67F04">
        <w:t xml:space="preserve"> occasions when there had been a difficulty</w:t>
      </w:r>
      <w:r w:rsidR="00033AD9">
        <w:t xml:space="preserve"> in </w:t>
      </w:r>
      <w:r w:rsidR="006A3DF4">
        <w:t xml:space="preserve">her </w:t>
      </w:r>
      <w:r w:rsidR="00033AD9">
        <w:t>understanding</w:t>
      </w:r>
      <w:r w:rsidR="006A3DF4">
        <w:t xml:space="preserve"> the Appellant because he was mixing Dari and Farsi phrases. Mr Boyle accepted</w:t>
      </w:r>
      <w:r w:rsidR="00033AD9">
        <w:t xml:space="preserve"> that </w:t>
      </w:r>
      <w:r w:rsidR="00CE3956">
        <w:t xml:space="preserve">he had also raised a </w:t>
      </w:r>
      <w:r w:rsidR="009B0104">
        <w:t xml:space="preserve">request for clarification on a </w:t>
      </w:r>
      <w:r w:rsidR="00CE3956">
        <w:t>couple</w:t>
      </w:r>
      <w:r w:rsidR="009B0104">
        <w:t xml:space="preserve"> of occasions</w:t>
      </w:r>
      <w:r w:rsidR="00CE3956">
        <w:t xml:space="preserve"> during the course of the Appellant’s evidence</w:t>
      </w:r>
      <w:r w:rsidR="009B0104">
        <w:t>. Mr Boyle accepted t</w:t>
      </w:r>
      <w:r w:rsidR="00CE3956">
        <w:t xml:space="preserve">hat </w:t>
      </w:r>
      <w:r w:rsidR="00033AD9">
        <w:t>those difficulties had been properly dealt with at the time</w:t>
      </w:r>
      <w:r w:rsidR="00172FD4">
        <w:t>, so that answers were clarified there and then</w:t>
      </w:r>
      <w:r w:rsidR="009B0104">
        <w:t>,</w:t>
      </w:r>
      <w:r w:rsidR="00172FD4">
        <w:t xml:space="preserve"> before</w:t>
      </w:r>
      <w:r w:rsidR="009B0104">
        <w:t xml:space="preserve"> the questioning moved on to</w:t>
      </w:r>
      <w:r w:rsidR="00172FD4">
        <w:t xml:space="preserve"> another topic</w:t>
      </w:r>
      <w:r w:rsidR="00033AD9">
        <w:t xml:space="preserve">. </w:t>
      </w:r>
      <w:r w:rsidR="00172FD4">
        <w:t>Mr Boyle also</w:t>
      </w:r>
      <w:r w:rsidR="00033AD9">
        <w:t xml:space="preserve"> accepted that he had had the opportunity to go back over any answer in re-examination</w:t>
      </w:r>
      <w:r w:rsidR="00431F69">
        <w:t xml:space="preserve">, but had elected not to do so. Pressed then as to what precisely was the basis for his application </w:t>
      </w:r>
      <w:r w:rsidR="00172FD4">
        <w:t xml:space="preserve">to the Judge </w:t>
      </w:r>
      <w:r w:rsidR="00431F69">
        <w:t xml:space="preserve">for an adjournment at the time </w:t>
      </w:r>
      <w:r w:rsidR="00172FD4">
        <w:t>(</w:t>
      </w:r>
      <w:r w:rsidR="00431F69">
        <w:t>and thus what the basis of the complaint was now</w:t>
      </w:r>
      <w:r w:rsidR="00172FD4">
        <w:t>)</w:t>
      </w:r>
      <w:r w:rsidR="00431F69">
        <w:t xml:space="preserve">, </w:t>
      </w:r>
      <w:r w:rsidR="009B0104">
        <w:t>Mr Boyle</w:t>
      </w:r>
      <w:r w:rsidR="00431F69">
        <w:t xml:space="preserve"> suggested that there must be a lingering doubt over the accuracy of all the interpretation of the Appellant’s oral evidence.</w:t>
      </w:r>
      <w:r w:rsidR="00CE3956">
        <w:t xml:space="preserve"> There is in my judgement no</w:t>
      </w:r>
      <w:r w:rsidR="009B0104">
        <w:t xml:space="preserve"> substance to this, and no</w:t>
      </w:r>
      <w:r w:rsidR="00CE3956">
        <w:t xml:space="preserve"> merit in this complaint</w:t>
      </w:r>
      <w:r w:rsidR="00172FD4">
        <w:t xml:space="preserve">. Minor difficulties </w:t>
      </w:r>
      <w:r w:rsidR="009B0104">
        <w:t>of understanding</w:t>
      </w:r>
      <w:r w:rsidR="00172FD4">
        <w:t xml:space="preserve"> occur frequently with the use of an interpreter</w:t>
      </w:r>
      <w:r w:rsidR="005D3B80">
        <w:t xml:space="preserve">, and they do not without more give rise to a need to abort the hearing and begin again with another interpreter. Absent any evidence to the contrary I am satisfied that the </w:t>
      </w:r>
      <w:r w:rsidR="00172FD4">
        <w:t>Judge de</w:t>
      </w:r>
      <w:r w:rsidR="005D3B80">
        <w:t xml:space="preserve">alt perfectly properly with the taking of the Appellant’s evidence at the hearing, and </w:t>
      </w:r>
      <w:r w:rsidR="009E30B4">
        <w:t xml:space="preserve">that she </w:t>
      </w:r>
      <w:r w:rsidR="005D3B80">
        <w:t>satisfied herself</w:t>
      </w:r>
      <w:r w:rsidR="009E30B4">
        <w:t xml:space="preserve"> appropriately</w:t>
      </w:r>
      <w:r w:rsidR="005D3B80">
        <w:t xml:space="preserve">, that she had properly understood what </w:t>
      </w:r>
      <w:r w:rsidR="009E30B4">
        <w:t>the appellant’s evidence</w:t>
      </w:r>
      <w:r w:rsidR="005D3B80">
        <w:t xml:space="preserve"> was</w:t>
      </w:r>
      <w:r w:rsidR="00AE35B5">
        <w:t>, so that the Appellant enjoyed a fair hearing of his appeal</w:t>
      </w:r>
      <w:r w:rsidR="005D3B80">
        <w:t xml:space="preserve">. If Mr Boyle felt </w:t>
      </w:r>
      <w:r w:rsidR="009E30B4">
        <w:t xml:space="preserve">at the time that </w:t>
      </w:r>
      <w:r w:rsidR="005D3B80">
        <w:t xml:space="preserve">the Appellant had said anything that he was not expecting, or, had failed to say something that he was expecting, then as an experienced advocate he </w:t>
      </w:r>
      <w:r w:rsidR="00AE35B5">
        <w:t xml:space="preserve">knew </w:t>
      </w:r>
      <w:r w:rsidR="009E30B4">
        <w:t xml:space="preserve">full well </w:t>
      </w:r>
      <w:r w:rsidR="00AE35B5">
        <w:t xml:space="preserve">that his opportunity to remedy that was </w:t>
      </w:r>
      <w:r w:rsidR="009E30B4">
        <w:t>through the medium of</w:t>
      </w:r>
      <w:r w:rsidR="00AE35B5">
        <w:t xml:space="preserve"> re-examination. His failure to take that opportunity was no doubt a tactical professional decision – but </w:t>
      </w:r>
      <w:r w:rsidR="009E30B4">
        <w:t>his decision not to do so</w:t>
      </w:r>
      <w:r w:rsidR="00AE35B5">
        <w:t xml:space="preserve"> d</w:t>
      </w:r>
      <w:r w:rsidR="009E30B4">
        <w:t>id</w:t>
      </w:r>
      <w:r w:rsidR="00AE35B5">
        <w:t xml:space="preserve"> not render the hearing of the appeal unfair.</w:t>
      </w:r>
    </w:p>
    <w:p w:rsidR="004B26A5" w:rsidRDefault="004B26A5" w:rsidP="008B38D2">
      <w:pPr>
        <w:pStyle w:val="p"/>
      </w:pPr>
      <w:r>
        <w:t xml:space="preserve">The </w:t>
      </w:r>
      <w:r w:rsidR="00AE35B5">
        <w:t>second ground, as drafted, complains that the Judge placed undue weight upon the age assessment</w:t>
      </w:r>
      <w:r w:rsidR="009E30B4">
        <w:t xml:space="preserve"> by the social workers</w:t>
      </w:r>
      <w:r w:rsidR="001F58E7">
        <w:t>.</w:t>
      </w:r>
      <w:r w:rsidR="00BC2BF7">
        <w:t xml:space="preserve"> A</w:t>
      </w:r>
      <w:r w:rsidR="001F58E7">
        <w:t>s set out above it is plain that the Judge preferred the contemporary documentary record of this event to the Appellant’s evidence as to what had occurred</w:t>
      </w:r>
      <w:r w:rsidR="00BC2BF7">
        <w:t>, and there is no proper challenge to that advanced within the grounds</w:t>
      </w:r>
      <w:r w:rsidR="00660C86">
        <w:t>.</w:t>
      </w:r>
      <w:r w:rsidR="00BC2BF7">
        <w:t xml:space="preserve"> It is an assessment of weight that she was obliged to undertake, and a conclusion that she was perfectly entitled to reach, which was adequately reasoned</w:t>
      </w:r>
      <w:r w:rsidR="003F51DE">
        <w:t xml:space="preserve"> [36]</w:t>
      </w:r>
      <w:r w:rsidR="00BC2BF7">
        <w:t>.</w:t>
      </w:r>
    </w:p>
    <w:p w:rsidR="00DF3581" w:rsidRDefault="00BC2BF7" w:rsidP="008B38D2">
      <w:pPr>
        <w:pStyle w:val="p"/>
      </w:pPr>
      <w:r>
        <w:t xml:space="preserve">The age assessment in question </w:t>
      </w:r>
      <w:r w:rsidR="00DF7048">
        <w:t xml:space="preserve">was </w:t>
      </w:r>
      <w:r>
        <w:t xml:space="preserve">conducted </w:t>
      </w:r>
      <w:r w:rsidR="00DF7048">
        <w:t>by two social workers, assisted by an interpreter in the language that the Appellant had that same day indicated was his principal language (even if he altered his stance on th</w:t>
      </w:r>
      <w:r w:rsidR="000E6B04">
        <w:t>is</w:t>
      </w:r>
      <w:r w:rsidR="00DF7048">
        <w:t xml:space="preserve"> subsequently). </w:t>
      </w:r>
      <w:r w:rsidR="0070679A">
        <w:t>Contrary to the assertion to this effect in the grounds, t</w:t>
      </w:r>
      <w:r w:rsidR="00DF7048">
        <w:t>he social workers did not assess the Appellant’s age simply on the basis of his physical presentation, although the presence of body hair, facial hair, and</w:t>
      </w:r>
      <w:r w:rsidR="000E6B04">
        <w:t xml:space="preserve"> in addition</w:t>
      </w:r>
      <w:r w:rsidR="00DF7048">
        <w:t xml:space="preserve"> </w:t>
      </w:r>
      <w:r w:rsidR="006052D5">
        <w:t xml:space="preserve">partially </w:t>
      </w:r>
      <w:r w:rsidR="00DF7048">
        <w:t>gre</w:t>
      </w:r>
      <w:r w:rsidR="006052D5">
        <w:t xml:space="preserve">y hair upon his head, undoubtedly (and </w:t>
      </w:r>
      <w:r w:rsidR="006052D5">
        <w:lastRenderedPageBreak/>
        <w:t>quite properly) played its part</w:t>
      </w:r>
      <w:r w:rsidR="0070679A">
        <w:t xml:space="preserve"> in their assessment</w:t>
      </w:r>
      <w:r w:rsidR="006052D5">
        <w:t>. The Appellant was questioned</w:t>
      </w:r>
      <w:r w:rsidR="000E6B04">
        <w:t xml:space="preserve"> by them</w:t>
      </w:r>
      <w:r w:rsidR="006052D5">
        <w:t>, and an assessment</w:t>
      </w:r>
      <w:r w:rsidR="0070679A">
        <w:t xml:space="preserve"> was</w:t>
      </w:r>
      <w:r w:rsidR="006052D5">
        <w:t xml:space="preserve"> made that he understood at least some English</w:t>
      </w:r>
      <w:r w:rsidR="0070679A">
        <w:t xml:space="preserve">, and that he was presenting himself </w:t>
      </w:r>
      <w:r w:rsidR="000E6B04">
        <w:t xml:space="preserve">during their interview </w:t>
      </w:r>
      <w:r w:rsidR="0070679A">
        <w:t>as an adult</w:t>
      </w:r>
      <w:r w:rsidR="000E6B04">
        <w:t xml:space="preserve"> rather than as a child</w:t>
      </w:r>
      <w:r w:rsidR="006052D5">
        <w:t>. He was told that he was assessed as being between 25-27 years old</w:t>
      </w:r>
      <w:r w:rsidR="0090544D">
        <w:t xml:space="preserve">, and </w:t>
      </w:r>
      <w:r w:rsidR="00DF3581">
        <w:t>the reasons for that conclusion</w:t>
      </w:r>
      <w:r w:rsidR="0090544D">
        <w:t>.</w:t>
      </w:r>
      <w:r w:rsidR="004F5833">
        <w:t xml:space="preserve"> The second ground, as drafted, and</w:t>
      </w:r>
      <w:r w:rsidR="00DF3581">
        <w:t xml:space="preserve"> </w:t>
      </w:r>
      <w:r w:rsidR="000E6B04">
        <w:t xml:space="preserve">in my judgement </w:t>
      </w:r>
      <w:r w:rsidR="00DF3581">
        <w:t>quite</w:t>
      </w:r>
      <w:r w:rsidR="004F5833">
        <w:t xml:space="preserve"> wrongly, asserts that only a physical examination was conducted. </w:t>
      </w:r>
    </w:p>
    <w:p w:rsidR="002C76AA" w:rsidRDefault="004F5833" w:rsidP="008B38D2">
      <w:pPr>
        <w:pStyle w:val="p"/>
      </w:pPr>
      <w:r>
        <w:t>In the circumstances Mr Boyle was pressed as to why, in the light of the Judge’s unchallenged findings as to what had occurred</w:t>
      </w:r>
      <w:r w:rsidR="00C648DD">
        <w:t>,</w:t>
      </w:r>
      <w:r>
        <w:t xml:space="preserve"> th</w:t>
      </w:r>
      <w:r w:rsidR="00DF3581">
        <w:t>e</w:t>
      </w:r>
      <w:r w:rsidR="000D53D9">
        <w:t xml:space="preserve"> social workers’</w:t>
      </w:r>
      <w:r>
        <w:t xml:space="preserve"> age assessment was said </w:t>
      </w:r>
      <w:r w:rsidR="00C648DD">
        <w:t>to be flawed. His response was that the entire process was flawed as a result of the absence of an “appropriate adult” to safeguard the Appellant</w:t>
      </w:r>
      <w:r w:rsidR="00922D25">
        <w:t xml:space="preserve">, although the decision of </w:t>
      </w:r>
      <w:r w:rsidR="008019AD">
        <w:t xml:space="preserve">Stanley </w:t>
      </w:r>
      <w:proofErr w:type="spellStart"/>
      <w:r w:rsidR="008019AD">
        <w:t>Burnton</w:t>
      </w:r>
      <w:proofErr w:type="spellEnd"/>
      <w:r w:rsidR="008019AD">
        <w:t xml:space="preserve"> J (as he then was) in </w:t>
      </w:r>
      <w:r w:rsidR="008019AD">
        <w:rPr>
          <w:u w:val="single"/>
        </w:rPr>
        <w:t>B v London borough of Merton</w:t>
      </w:r>
      <w:r w:rsidR="008019AD">
        <w:t xml:space="preserve"> [2003] EWHC 1689 makes no reference to the need for one</w:t>
      </w:r>
      <w:r w:rsidR="00DF3581">
        <w:t>.</w:t>
      </w:r>
      <w:r w:rsidR="008019AD">
        <w:t xml:space="preserve"> </w:t>
      </w:r>
      <w:proofErr w:type="gramStart"/>
      <w:r w:rsidR="008019AD">
        <w:t>Indeed</w:t>
      </w:r>
      <w:proofErr w:type="gramEnd"/>
      <w:r w:rsidR="008019AD">
        <w:t xml:space="preserve"> it was stressed in that judgement that the Court should be careful not to impose unrealistic and unnecessary burdens on those required to make such decisions</w:t>
      </w:r>
      <w:r w:rsidR="00172127">
        <w:t xml:space="preserve">, and that the range of decisions will vary from those in which the answer is obvious to those in which it is </w:t>
      </w:r>
      <w:r w:rsidR="00297038">
        <w:t xml:space="preserve">very </w:t>
      </w:r>
      <w:r w:rsidR="00172127">
        <w:t>far from being so, and the level of enquiry unnecessary in one type of case will be necessary in another. In my judgement it is quite clear that this was an age assessment decision</w:t>
      </w:r>
      <w:r w:rsidR="008019AD">
        <w:t xml:space="preserve"> </w:t>
      </w:r>
      <w:r w:rsidR="00172127">
        <w:t xml:space="preserve">that was at </w:t>
      </w:r>
      <w:r w:rsidR="00EF3577">
        <w:t>one</w:t>
      </w:r>
      <w:r w:rsidR="00172127">
        <w:t xml:space="preserve"> end of that scale</w:t>
      </w:r>
      <w:r w:rsidR="002C76AA">
        <w:t>, and the criticisms of the assessment process are not such as to render it procedurally unfair, or, inaccurate in its outcome</w:t>
      </w:r>
      <w:r w:rsidR="001D6922">
        <w:t>.</w:t>
      </w:r>
    </w:p>
    <w:p w:rsidR="001D6922" w:rsidRDefault="001D6922" w:rsidP="008B38D2">
      <w:pPr>
        <w:pStyle w:val="p"/>
      </w:pPr>
      <w:r>
        <w:t xml:space="preserve">Mr Boyle accepted that even if the age assessment decision was not entirely </w:t>
      </w:r>
      <w:r>
        <w:rPr>
          <w:u w:val="single"/>
        </w:rPr>
        <w:t>Merton</w:t>
      </w:r>
      <w:r>
        <w:t xml:space="preserve"> compliant the Judge was still entitled to take it into account as part of a holistic assessment of the evidence</w:t>
      </w:r>
      <w:r w:rsidR="00EF3577">
        <w:t>, and that she had done so</w:t>
      </w:r>
      <w:r>
        <w:t>. In my judgement</w:t>
      </w:r>
      <w:r w:rsidR="00EF3577">
        <w:t xml:space="preserve"> he was right to do so because</w:t>
      </w:r>
      <w:r>
        <w:t xml:space="preserve"> that is precisely what was done</w:t>
      </w:r>
      <w:r w:rsidR="002C76AA">
        <w:t xml:space="preserve"> [41]</w:t>
      </w:r>
      <w:r w:rsidR="00EF3577">
        <w:t>.</w:t>
      </w:r>
      <w:r w:rsidR="000D53D9">
        <w:t xml:space="preserve"> Quite properly that assessment of the evidence included reference to the age ascribed to the Appellant in Greece</w:t>
      </w:r>
      <w:r w:rsidR="00363F5C">
        <w:t xml:space="preserve"> in October 2015</w:t>
      </w:r>
      <w:r w:rsidR="000D53D9">
        <w:t>, either upon his own admission or upon assessment by others.</w:t>
      </w:r>
      <w:r w:rsidR="00EF3577">
        <w:t xml:space="preserve"> Thus, whether the age assessment did comply with the </w:t>
      </w:r>
      <w:r w:rsidR="00EF3577">
        <w:rPr>
          <w:u w:val="single"/>
        </w:rPr>
        <w:t>Merton</w:t>
      </w:r>
      <w:r w:rsidR="00EF3577">
        <w:t xml:space="preserve"> guidance</w:t>
      </w:r>
      <w:r w:rsidR="00AA6AF5">
        <w:t xml:space="preserve"> (</w:t>
      </w:r>
      <w:r w:rsidR="00EF3577">
        <w:t>as in my judgement it did</w:t>
      </w:r>
      <w:r w:rsidR="00AA6AF5">
        <w:t>)</w:t>
      </w:r>
      <w:r w:rsidR="00EF3577">
        <w:t>, or, did not, becomes immaterial.</w:t>
      </w:r>
    </w:p>
    <w:p w:rsidR="00984240" w:rsidRDefault="00DF3581" w:rsidP="008B38D2">
      <w:pPr>
        <w:pStyle w:val="p"/>
      </w:pPr>
      <w:r>
        <w:t xml:space="preserve">The third ground </w:t>
      </w:r>
      <w:r w:rsidR="00BB5844">
        <w:t xml:space="preserve">asserts that the Judge’s </w:t>
      </w:r>
      <w:r w:rsidR="00813A73">
        <w:t>assessment of the weight that she could give to the evidence was flawed, with four limbs to that assertion, based upon paragraphs 38, 42, 43, and 44 of the decision. Mr Boyle accepted that the complaint raised in relation to paragraph 38 was a minor point</w:t>
      </w:r>
      <w:r w:rsidR="00B42CF2">
        <w:t>, and not “fundamental” as the draftswoman had asserted.</w:t>
      </w:r>
      <w:r w:rsidR="00040BF3">
        <w:t xml:space="preserve"> He did not seek to withdraw it, but </w:t>
      </w:r>
      <w:r w:rsidR="00984240">
        <w:t xml:space="preserve">he </w:t>
      </w:r>
      <w:r w:rsidR="00040BF3">
        <w:t>offered no argument in relation to it.</w:t>
      </w:r>
      <w:r w:rsidR="00B42CF2">
        <w:t xml:space="preserve"> Nothing turns on it in any event, because</w:t>
      </w:r>
      <w:r w:rsidR="00984240">
        <w:t xml:space="preserve"> I am satisfied that</w:t>
      </w:r>
      <w:r w:rsidR="00B42CF2">
        <w:t xml:space="preserve"> as set out elsewhere in this decision it is plain that the Judge conducted a holistic assessment of all of the evidence relating to the Appellant’s true age and gave entirely adequate reasons for her conclusion that he was not the age he has claimed to be.</w:t>
      </w:r>
      <w:r w:rsidR="001A4217">
        <w:t xml:space="preserve"> </w:t>
      </w:r>
    </w:p>
    <w:p w:rsidR="00B42CF2" w:rsidRDefault="001A4217" w:rsidP="008B38D2">
      <w:pPr>
        <w:pStyle w:val="p"/>
      </w:pPr>
      <w:r>
        <w:t>The complaint in relation to paragraph</w:t>
      </w:r>
      <w:r w:rsidR="004238C0">
        <w:t>s</w:t>
      </w:r>
      <w:r>
        <w:t xml:space="preserve"> 42 </w:t>
      </w:r>
      <w:r w:rsidR="004238C0">
        <w:t xml:space="preserve">and 43 </w:t>
      </w:r>
      <w:r>
        <w:t>as advanced by Mr Boyle was that no adequate reason had been offered by the Judge for why a child could be expected to know more about their betrothal</w:t>
      </w:r>
      <w:r w:rsidR="004238C0">
        <w:t xml:space="preserve">, and no adequate reason had been offered by the Judge for her approach to the inconsistency between the Appellant’s claim that Maryam was brought up in a strict Shia culture, and yet permitted the freedom to use a mobile phone as she chose (so that she could supposedly contact the </w:t>
      </w:r>
      <w:r w:rsidR="00040BF3">
        <w:t>A</w:t>
      </w:r>
      <w:r w:rsidR="004238C0">
        <w:t>ppellant at will</w:t>
      </w:r>
      <w:r w:rsidR="00040BF3">
        <w:t xml:space="preserve"> although only a child</w:t>
      </w:r>
      <w:r w:rsidR="004238C0">
        <w:t>).</w:t>
      </w:r>
      <w:r w:rsidR="00CF10FA">
        <w:t xml:space="preserve"> I disagree, the reasons given were entirely adequate; </w:t>
      </w:r>
      <w:r w:rsidR="00CF10FA">
        <w:rPr>
          <w:u w:val="single"/>
        </w:rPr>
        <w:t xml:space="preserve">MD </w:t>
      </w:r>
      <w:r w:rsidR="00CF10FA">
        <w:rPr>
          <w:u w:val="single"/>
        </w:rPr>
        <w:lastRenderedPageBreak/>
        <w:t>(Turkey)</w:t>
      </w:r>
      <w:r w:rsidR="00CF10FA">
        <w:t xml:space="preserve"> [2017] EWCA </w:t>
      </w:r>
      <w:proofErr w:type="spellStart"/>
      <w:r w:rsidR="00CF10FA">
        <w:t>Civ</w:t>
      </w:r>
      <w:proofErr w:type="spellEnd"/>
      <w:r w:rsidR="00CF10FA">
        <w:t xml:space="preserve"> 1958.</w:t>
      </w:r>
      <w:r w:rsidR="00984240">
        <w:t xml:space="preserve"> The reality is that this complaint is no more than a disagreement with the Judge’s assessment of the weight that could be given to the evidence.</w:t>
      </w:r>
    </w:p>
    <w:p w:rsidR="00040BF3" w:rsidRDefault="00040BF3" w:rsidP="008B38D2">
      <w:pPr>
        <w:pStyle w:val="p"/>
      </w:pPr>
      <w:r>
        <w:t xml:space="preserve">As to paragraph 44 Mr Boyle accepted that </w:t>
      </w:r>
      <w:r w:rsidR="000C4205">
        <w:t xml:space="preserve">in reality </w:t>
      </w:r>
      <w:r>
        <w:t>the complaint the Appellant wished to advance was not that the reasons offered were inadequate, but that they were perverse.</w:t>
      </w:r>
      <w:r w:rsidR="000C4205">
        <w:t xml:space="preserve"> That was not of course the complaint advanced, or the complaint for which permission had been granted.</w:t>
      </w:r>
      <w:r w:rsidR="003834A2">
        <w:t xml:space="preserve"> Complaints of perversity face a very high hurdle; it is a demanding concept: </w:t>
      </w:r>
      <w:proofErr w:type="spellStart"/>
      <w:r w:rsidR="003834A2">
        <w:rPr>
          <w:u w:val="single"/>
        </w:rPr>
        <w:t>Miftari</w:t>
      </w:r>
      <w:proofErr w:type="spellEnd"/>
      <w:r w:rsidR="003834A2">
        <w:t xml:space="preserve"> [2005] EWCA </w:t>
      </w:r>
      <w:proofErr w:type="spellStart"/>
      <w:r w:rsidR="003834A2">
        <w:t>Civ</w:t>
      </w:r>
      <w:proofErr w:type="spellEnd"/>
      <w:r w:rsidR="003834A2">
        <w:t xml:space="preserve"> 481. This complaint falls well short of that. The point the Judge was clearly making was that the Appellant’s evidence described behaviour by himself and Maryam that fell well outside social norms in conservative Shia Iran</w:t>
      </w:r>
      <w:r w:rsidR="00E12A83">
        <w:t>ian families, such as he had claimed hers were.</w:t>
      </w:r>
    </w:p>
    <w:p w:rsidR="00B47828" w:rsidRDefault="00DF3581" w:rsidP="008B38D2">
      <w:pPr>
        <w:pStyle w:val="p"/>
      </w:pPr>
      <w:r>
        <w:t xml:space="preserve">The fourth ground </w:t>
      </w:r>
      <w:r w:rsidR="00EE2C96">
        <w:t>complains that the Judge’s approach to the weight that she could attach to the existence and content of the document that</w:t>
      </w:r>
      <w:r w:rsidR="00984240">
        <w:t xml:space="preserve"> he had claimed was</w:t>
      </w:r>
      <w:r w:rsidR="00EE2C96">
        <w:t xml:space="preserve"> a genuine and legitimately issued </w:t>
      </w:r>
      <w:proofErr w:type="spellStart"/>
      <w:r w:rsidR="00EE2C96">
        <w:rPr>
          <w:i/>
        </w:rPr>
        <w:t>taskera</w:t>
      </w:r>
      <w:proofErr w:type="spellEnd"/>
      <w:r w:rsidR="00EE2C96">
        <w:t xml:space="preserve"> was materially flawed. As drafted, the ground assert</w:t>
      </w:r>
      <w:r w:rsidR="00AC6E08">
        <w:t>s</w:t>
      </w:r>
      <w:r w:rsidR="00EE2C96">
        <w:t xml:space="preserve"> that it was not open to the Judge to decline to place weight upon this document in the absence of </w:t>
      </w:r>
      <w:r w:rsidR="00A700EA">
        <w:t xml:space="preserve">any evidence from the Respondent to suggest that it was a forgery, or any formal allegation to that effect. </w:t>
      </w:r>
      <w:r w:rsidR="00AC6E08">
        <w:t xml:space="preserve">Mr Boyle accepts that as such the draftswoman went too far. It was for the Judge to assess what weight she could attach to the document, and that obligation arose whether or not the Respondent had asserted, or sought to evidence, that the document was a forgery. In this case the Judge noted that the Appellant </w:t>
      </w:r>
      <w:r w:rsidR="007A1E53">
        <w:t xml:space="preserve">accepted that he </w:t>
      </w:r>
      <w:r w:rsidR="00AC6E08">
        <w:t>had been sent this document from London, and not directly from Afghanistan</w:t>
      </w:r>
      <w:r w:rsidR="007A1E53">
        <w:t>, although he claimed to have spoken to his mother in Afghanistan and requested her to send it to him. There was no explanation for why this had occurred</w:t>
      </w:r>
      <w:r w:rsidR="001D2DD8">
        <w:t>, and the individual who was said to have sent the document to the Appellant from London did not give evidence</w:t>
      </w:r>
      <w:r w:rsidR="00345657">
        <w:t xml:space="preserve">. (Although the index to the Appellant’s bundle suggests that written evidence from him may have been contemplated, none was provided, and the individual identified by the Appellant as having sent him the </w:t>
      </w:r>
      <w:proofErr w:type="spellStart"/>
      <w:r w:rsidR="00345657">
        <w:rPr>
          <w:i/>
        </w:rPr>
        <w:t>taskera</w:t>
      </w:r>
      <w:proofErr w:type="spellEnd"/>
      <w:r w:rsidR="00345657">
        <w:t xml:space="preserve"> did not attend the hearing</w:t>
      </w:r>
      <w:r w:rsidR="001D2DD8">
        <w:t>)</w:t>
      </w:r>
      <w:r w:rsidR="00AC6E08">
        <w:t xml:space="preserve">. </w:t>
      </w:r>
      <w:r w:rsidR="00345657">
        <w:t>T</w:t>
      </w:r>
      <w:r w:rsidR="00AC6E08">
        <w:t>he</w:t>
      </w:r>
      <w:r w:rsidR="00345657">
        <w:t xml:space="preserve"> Judge</w:t>
      </w:r>
      <w:r w:rsidR="00AC6E08">
        <w:t xml:space="preserve"> noted that it was accepted that the format of the document </w:t>
      </w:r>
      <w:r w:rsidR="00B47828">
        <w:t xml:space="preserve">had been </w:t>
      </w:r>
      <w:proofErr w:type="spellStart"/>
      <w:r w:rsidR="00B47828">
        <w:t>superceded</w:t>
      </w:r>
      <w:proofErr w:type="spellEnd"/>
      <w:r w:rsidR="00B47828">
        <w:t xml:space="preserve"> by the Afghan authorities well before the date of issue it bore, and she </w:t>
      </w:r>
      <w:r w:rsidR="001D2DD8">
        <w:t xml:space="preserve">did </w:t>
      </w:r>
      <w:r w:rsidR="00B47828">
        <w:t>look</w:t>
      </w:r>
      <w:r w:rsidR="001D2DD8">
        <w:t xml:space="preserve"> </w:t>
      </w:r>
      <w:r w:rsidR="00B47828">
        <w:t>at the explanation offered for that. She could, but did not expressly, have also borne in mind that no attempt had been made by the Appellant to have the document verified by the Afghan Embassy in London.</w:t>
      </w:r>
    </w:p>
    <w:p w:rsidR="00EE35FF" w:rsidRDefault="006C2EA6" w:rsidP="00EE35FF">
      <w:pPr>
        <w:pStyle w:val="p"/>
      </w:pPr>
      <w:r>
        <w:t xml:space="preserve">In my judgement </w:t>
      </w:r>
      <w:r w:rsidR="00EE35FF">
        <w:t>the</w:t>
      </w:r>
      <w:r>
        <w:t xml:space="preserve"> complaint advanced in ground four in relation to the Judge’s treatment of the </w:t>
      </w:r>
      <w:proofErr w:type="spellStart"/>
      <w:r>
        <w:rPr>
          <w:i/>
        </w:rPr>
        <w:t>taskera</w:t>
      </w:r>
      <w:proofErr w:type="spellEnd"/>
      <w:r>
        <w:t xml:space="preserve"> is inconsistent with the proper approach of the Tribunal to document</w:t>
      </w:r>
      <w:r w:rsidR="00E86807">
        <w:t>ary evidence</w:t>
      </w:r>
      <w:r w:rsidR="00287B78">
        <w:t>, as emphasised by</w:t>
      </w:r>
      <w:r w:rsidR="00EE35FF">
        <w:t xml:space="preserve"> </w:t>
      </w:r>
      <w:proofErr w:type="spellStart"/>
      <w:r w:rsidR="00EE35FF">
        <w:t>Ouseley</w:t>
      </w:r>
      <w:proofErr w:type="spellEnd"/>
      <w:r w:rsidR="00EE35FF">
        <w:t xml:space="preserve"> J in </w:t>
      </w:r>
      <w:r w:rsidR="00EE35FF">
        <w:rPr>
          <w:u w:val="single"/>
        </w:rPr>
        <w:t>CJ (on the application of R) v Cardiff County Council</w:t>
      </w:r>
      <w:r w:rsidR="00EE35FF">
        <w:t xml:space="preserve"> [2011] EWHC 23, </w:t>
      </w:r>
      <w:r w:rsidR="00287B78">
        <w:t xml:space="preserve">when stressing </w:t>
      </w:r>
      <w:r w:rsidR="00EE35FF">
        <w:t xml:space="preserve">the importance of the approach in </w:t>
      </w:r>
      <w:r w:rsidR="00EE35FF">
        <w:rPr>
          <w:u w:val="single"/>
        </w:rPr>
        <w:t>Tanveer Ahmed v SSHD</w:t>
      </w:r>
      <w:r w:rsidR="00EE35FF">
        <w:t xml:space="preserve"> [2002] </w:t>
      </w:r>
      <w:proofErr w:type="spellStart"/>
      <w:r w:rsidR="00EE35FF">
        <w:t>Imm</w:t>
      </w:r>
      <w:proofErr w:type="spellEnd"/>
      <w:r w:rsidR="00EE35FF">
        <w:t xml:space="preserve"> AR 318. Documentary evidence along with its provenance needs to be weighed in the light of all the evidence in the case. Documentary evidence does not carry with it a presumption of authenticity, which specific evidence must disprove, failing which its content must be accepted. What is required is its appraisal in the light of the evidence about its nature, provenance, timing and background evidence and in the light of all the other evidence in the case, especially that given by the claimant. The same can properly be said for oral evidence.</w:t>
      </w:r>
    </w:p>
    <w:p w:rsidR="0008009E" w:rsidRDefault="00287B78" w:rsidP="00E12A83">
      <w:pPr>
        <w:pStyle w:val="p"/>
      </w:pPr>
      <w:r>
        <w:lastRenderedPageBreak/>
        <w:t xml:space="preserve">In this case the Judge clearly did undertake a holistic assessment of </w:t>
      </w:r>
      <w:r w:rsidR="00E86807">
        <w:t xml:space="preserve">all </w:t>
      </w:r>
      <w:r>
        <w:t xml:space="preserve">the evidence </w:t>
      </w:r>
      <w:r w:rsidR="00E86807">
        <w:t xml:space="preserve">that was </w:t>
      </w:r>
      <w:r>
        <w:t xml:space="preserve">placed before her upon the issue of the Appellant’s true age. </w:t>
      </w:r>
      <w:r w:rsidR="00287B05">
        <w:t xml:space="preserve">That included the age assessment undertaken in Greece, the age assessment undertaken in Leicestershire, the lack of any expert professional opinion evidence to </w:t>
      </w:r>
      <w:r w:rsidR="007E6462">
        <w:t>suggest that</w:t>
      </w:r>
      <w:r w:rsidR="00287B05">
        <w:t xml:space="preserve"> he was the age he claimed to be, </w:t>
      </w:r>
      <w:r w:rsidR="00431A32">
        <w:t xml:space="preserve">the unreliability of his evidence generally, and, the document that was said to be a genuine </w:t>
      </w:r>
      <w:proofErr w:type="spellStart"/>
      <w:r w:rsidR="00431A32">
        <w:rPr>
          <w:i/>
        </w:rPr>
        <w:t>taskera</w:t>
      </w:r>
      <w:proofErr w:type="spellEnd"/>
      <w:r w:rsidR="00431A32">
        <w:rPr>
          <w:i/>
        </w:rPr>
        <w:t>.</w:t>
      </w:r>
      <w:r w:rsidR="00431A32">
        <w:t xml:space="preserve"> </w:t>
      </w:r>
      <w:r>
        <w:t xml:space="preserve">It was well open to her to conclude, as she did, that the </w:t>
      </w:r>
      <w:proofErr w:type="spellStart"/>
      <w:r w:rsidR="00287B05">
        <w:rPr>
          <w:i/>
        </w:rPr>
        <w:t>taskera</w:t>
      </w:r>
      <w:proofErr w:type="spellEnd"/>
      <w:r w:rsidR="00287B05">
        <w:t xml:space="preserve"> had not been sent to him from Afghanistan as</w:t>
      </w:r>
      <w:r w:rsidR="00E86807">
        <w:t xml:space="preserve"> had initially been</w:t>
      </w:r>
      <w:r w:rsidR="00287B05">
        <w:t xml:space="preserve"> claimed</w:t>
      </w:r>
      <w:r w:rsidR="00E86807">
        <w:t xml:space="preserve">. </w:t>
      </w:r>
      <w:proofErr w:type="gramStart"/>
      <w:r w:rsidR="00E86807">
        <w:t>Indeed</w:t>
      </w:r>
      <w:proofErr w:type="gramEnd"/>
      <w:r w:rsidR="00E86807">
        <w:t xml:space="preserve"> it was accepted before her that it had not been sent to him directly from Afghanistan.</w:t>
      </w:r>
      <w:r w:rsidR="00E904E1">
        <w:t xml:space="preserve"> The individual who was identified by the Appellant as having sent him the document, was said to live in London, but he did not provide evidence in support of the appeal. In my judgement the Judge was perfectly entitled </w:t>
      </w:r>
      <w:r w:rsidR="00431A32">
        <w:t>to conclude for the reasons that she gave (which were entirely adequate) that the Appellant was not the age he claimed to be.</w:t>
      </w:r>
    </w:p>
    <w:p w:rsidR="00DA0E43" w:rsidRDefault="00DA0E43" w:rsidP="00DA0E43">
      <w:pPr>
        <w:numPr>
          <w:ilvl w:val="0"/>
          <w:numId w:val="3"/>
        </w:numPr>
        <w:spacing w:before="240"/>
        <w:jc w:val="both"/>
        <w:rPr>
          <w:rFonts w:ascii="Book Antiqua" w:hAnsi="Book Antiqua" w:cs="Arial"/>
        </w:rPr>
      </w:pPr>
      <w:r>
        <w:rPr>
          <w:rFonts w:ascii="Book Antiqua" w:hAnsi="Book Antiqua" w:cs="Arial"/>
        </w:rPr>
        <w:t>In the circumstances, and notwithstanding the terms in which permission to appeal was granted, I therefore dismiss the Appellant’s challenge, and confirm the decision to dismiss the appeal on all grounds.</w:t>
      </w:r>
    </w:p>
    <w:p w:rsidR="00DA0E43" w:rsidRPr="004153F5" w:rsidRDefault="00DA0E43" w:rsidP="00DA0E43">
      <w:pPr>
        <w:numPr>
          <w:ilvl w:val="0"/>
          <w:numId w:val="3"/>
        </w:numPr>
        <w:spacing w:before="240"/>
        <w:jc w:val="both"/>
        <w:rPr>
          <w:rFonts w:ascii="Book Antiqua" w:hAnsi="Book Antiqua" w:cs="Arial"/>
        </w:rPr>
      </w:pPr>
      <w:r>
        <w:rPr>
          <w:rFonts w:ascii="Book Antiqua" w:hAnsi="Book Antiqua" w:cs="Arial"/>
        </w:rPr>
        <w:t xml:space="preserve">The </w:t>
      </w:r>
      <w:r w:rsidRPr="004153F5">
        <w:rPr>
          <w:rFonts w:ascii="Book Antiqua" w:hAnsi="Book Antiqua" w:cs="Arial"/>
        </w:rPr>
        <w:t xml:space="preserve">anonymity direction </w:t>
      </w:r>
      <w:r>
        <w:rPr>
          <w:rFonts w:ascii="Book Antiqua" w:hAnsi="Book Antiqua" w:cs="Arial"/>
        </w:rPr>
        <w:t xml:space="preserve">previously made </w:t>
      </w:r>
      <w:r w:rsidRPr="004153F5">
        <w:rPr>
          <w:rFonts w:ascii="Book Antiqua" w:hAnsi="Book Antiqua" w:cs="Arial"/>
        </w:rPr>
        <w:t>is</w:t>
      </w:r>
      <w:r>
        <w:rPr>
          <w:rFonts w:ascii="Book Antiqua" w:hAnsi="Book Antiqua" w:cs="Arial"/>
        </w:rPr>
        <w:t xml:space="preserve"> continued</w:t>
      </w:r>
      <w:r w:rsidRPr="004153F5">
        <w:rPr>
          <w:rFonts w:ascii="Book Antiqua" w:hAnsi="Book Antiqua" w:cs="Arial"/>
        </w:rPr>
        <w:t>.</w:t>
      </w:r>
    </w:p>
    <w:p w:rsidR="00DA0E43" w:rsidRPr="004153F5" w:rsidRDefault="00DA0E43" w:rsidP="00DA0E43">
      <w:pPr>
        <w:jc w:val="both"/>
        <w:rPr>
          <w:rFonts w:ascii="Book Antiqua" w:hAnsi="Book Antiqua" w:cs="Arial"/>
        </w:rPr>
      </w:pPr>
    </w:p>
    <w:p w:rsidR="00DA0E43" w:rsidRPr="004153F5" w:rsidRDefault="00DA0E43" w:rsidP="00DA0E43">
      <w:pPr>
        <w:spacing w:before="240"/>
        <w:jc w:val="both"/>
        <w:rPr>
          <w:rFonts w:ascii="Book Antiqua" w:hAnsi="Book Antiqua" w:cs="Arial"/>
          <w:u w:val="single"/>
        </w:rPr>
      </w:pPr>
      <w:r w:rsidRPr="004153F5">
        <w:rPr>
          <w:rFonts w:ascii="Book Antiqua" w:hAnsi="Book Antiqua" w:cs="Arial"/>
          <w:u w:val="single"/>
        </w:rPr>
        <w:t>Notice of decision</w:t>
      </w:r>
    </w:p>
    <w:p w:rsidR="00DA0E43" w:rsidRPr="0012180A" w:rsidRDefault="00DA0E43" w:rsidP="00DA0E43">
      <w:pPr>
        <w:spacing w:before="120" w:after="120"/>
        <w:jc w:val="both"/>
        <w:rPr>
          <w:rFonts w:ascii="Book Antiqua" w:hAnsi="Book Antiqua"/>
        </w:rPr>
      </w:pPr>
      <w:r>
        <w:rPr>
          <w:rFonts w:ascii="Book Antiqua" w:hAnsi="Book Antiqua"/>
        </w:rPr>
        <w:t xml:space="preserve">The decision promulgated on </w:t>
      </w:r>
      <w:r w:rsidR="00E12A83">
        <w:rPr>
          <w:rFonts w:ascii="Book Antiqua" w:hAnsi="Book Antiqua"/>
        </w:rPr>
        <w:t>25 July</w:t>
      </w:r>
      <w:r>
        <w:rPr>
          <w:rFonts w:ascii="Book Antiqua" w:hAnsi="Book Antiqua"/>
        </w:rPr>
        <w:t xml:space="preserve"> 2017 did not involve the making of an error of law sufficient to require the decision to be set aside. </w:t>
      </w:r>
      <w:r w:rsidRPr="0012180A">
        <w:rPr>
          <w:rFonts w:ascii="Book Antiqua" w:hAnsi="Book Antiqua"/>
        </w:rPr>
        <w:t xml:space="preserve">The </w:t>
      </w:r>
      <w:r>
        <w:rPr>
          <w:rFonts w:ascii="Book Antiqua" w:hAnsi="Book Antiqua"/>
        </w:rPr>
        <w:t xml:space="preserve">decision of the First </w:t>
      </w:r>
      <w:proofErr w:type="gramStart"/>
      <w:r>
        <w:rPr>
          <w:rFonts w:ascii="Book Antiqua" w:hAnsi="Book Antiqua"/>
        </w:rPr>
        <w:t>tier</w:t>
      </w:r>
      <w:proofErr w:type="gramEnd"/>
      <w:r>
        <w:rPr>
          <w:rFonts w:ascii="Book Antiqua" w:hAnsi="Book Antiqua"/>
        </w:rPr>
        <w:t xml:space="preserve"> Tribunal to</w:t>
      </w:r>
      <w:r w:rsidR="00B740C3">
        <w:rPr>
          <w:rFonts w:ascii="Book Antiqua" w:hAnsi="Book Antiqua"/>
        </w:rPr>
        <w:t xml:space="preserve"> dismiss the</w:t>
      </w:r>
      <w:r>
        <w:rPr>
          <w:rFonts w:ascii="Book Antiqua" w:hAnsi="Book Antiqua"/>
        </w:rPr>
        <w:t xml:space="preserve"> </w:t>
      </w:r>
      <w:r w:rsidRPr="0012180A">
        <w:rPr>
          <w:rFonts w:ascii="Book Antiqua" w:hAnsi="Book Antiqua"/>
        </w:rPr>
        <w:t>appeal is</w:t>
      </w:r>
      <w:r>
        <w:rPr>
          <w:rFonts w:ascii="Book Antiqua" w:hAnsi="Book Antiqua"/>
        </w:rPr>
        <w:t xml:space="preserve"> accordingly confirmed.</w:t>
      </w:r>
    </w:p>
    <w:p w:rsidR="00DA0E43" w:rsidRPr="004153F5" w:rsidRDefault="00DA0E43" w:rsidP="00DA0E43">
      <w:pPr>
        <w:jc w:val="both"/>
        <w:rPr>
          <w:rFonts w:ascii="Book Antiqua" w:hAnsi="Book Antiqua" w:cs="Arial"/>
        </w:rPr>
      </w:pPr>
    </w:p>
    <w:p w:rsidR="00F771D5" w:rsidRPr="004153F5" w:rsidRDefault="00F771D5" w:rsidP="00E12A83">
      <w:pPr>
        <w:spacing w:before="120" w:after="120"/>
        <w:jc w:val="both"/>
        <w:rPr>
          <w:rFonts w:ascii="Book Antiqua" w:hAnsi="Book Antiqua" w:cs="Arial"/>
        </w:rPr>
      </w:pPr>
      <w:r w:rsidRPr="004153F5">
        <w:rPr>
          <w:rFonts w:ascii="Book Antiqua" w:hAnsi="Book Antiqua" w:cs="Arial"/>
          <w:u w:val="single"/>
        </w:rPr>
        <w:t xml:space="preserve">Direction </w:t>
      </w:r>
      <w:r>
        <w:rPr>
          <w:rFonts w:ascii="Book Antiqua" w:hAnsi="Book Antiqua" w:cs="Arial"/>
          <w:u w:val="single"/>
        </w:rPr>
        <w:t>R</w:t>
      </w:r>
      <w:r w:rsidRPr="004153F5">
        <w:rPr>
          <w:rFonts w:ascii="Book Antiqua" w:hAnsi="Book Antiqua" w:cs="Arial"/>
          <w:u w:val="single"/>
        </w:rPr>
        <w:t xml:space="preserve">egarding </w:t>
      </w:r>
      <w:r>
        <w:rPr>
          <w:rFonts w:ascii="Book Antiqua" w:hAnsi="Book Antiqua" w:cs="Arial"/>
          <w:u w:val="single"/>
        </w:rPr>
        <w:t>A</w:t>
      </w:r>
      <w:r w:rsidRPr="004153F5">
        <w:rPr>
          <w:rFonts w:ascii="Book Antiqua" w:hAnsi="Book Antiqua" w:cs="Arial"/>
          <w:u w:val="single"/>
        </w:rPr>
        <w:t>nonymity – Rule 14 of the Tribunal Procedure (Upper Tribunal) Rules 2008</w:t>
      </w:r>
    </w:p>
    <w:p w:rsidR="00F771D5" w:rsidRPr="004153F5" w:rsidRDefault="00F771D5" w:rsidP="00F771D5">
      <w:pPr>
        <w:jc w:val="both"/>
        <w:rPr>
          <w:rFonts w:ascii="Book Antiqua" w:hAnsi="Book Antiqua" w:cs="Arial"/>
        </w:rPr>
      </w:pPr>
    </w:p>
    <w:p w:rsidR="00F771D5" w:rsidRPr="00687601" w:rsidRDefault="00F771D5" w:rsidP="00F771D5">
      <w:pPr>
        <w:jc w:val="both"/>
        <w:rPr>
          <w:rFonts w:ascii="Book Antiqua" w:hAnsi="Book Antiqua" w:cs="Arial"/>
        </w:rPr>
      </w:pPr>
      <w:r w:rsidRPr="004153F5">
        <w:rPr>
          <w:rFonts w:ascii="Book Antiqua" w:hAnsi="Book Antiqua" w:cs="Arial"/>
        </w:rPr>
        <w:t xml:space="preserve">Unless and </w:t>
      </w:r>
      <w:r w:rsidRPr="004153F5">
        <w:rPr>
          <w:rFonts w:ascii="Book Antiqua" w:hAnsi="Book Antiqua"/>
        </w:rPr>
        <w:t xml:space="preserve">until a Tribunal or court directs otherwise, the Appellant is granted anonymity.  No report of these proceedings shall directly or indirectly identify him or any member of </w:t>
      </w:r>
      <w:r w:rsidR="006E1DAD">
        <w:rPr>
          <w:rFonts w:ascii="Book Antiqua" w:hAnsi="Book Antiqua"/>
        </w:rPr>
        <w:t>his</w:t>
      </w:r>
      <w:r w:rsidRPr="004153F5">
        <w:rPr>
          <w:rFonts w:ascii="Book Antiqua" w:hAnsi="Book Antiqua"/>
        </w:rPr>
        <w:t xml:space="preserve"> family.  This direction applies both to the Appellant and to the Respondent.  Failure to comply with this direction could lead to contempt of court proceedings.</w:t>
      </w:r>
    </w:p>
    <w:p w:rsidR="00F771D5" w:rsidRPr="00F5664C" w:rsidRDefault="00F771D5" w:rsidP="00F771D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E3CA8">
        <w:rPr>
          <w:rFonts w:ascii="Book Antiqua" w:hAnsi="Book Antiqua" w:cs="Arial"/>
        </w:rPr>
        <w:t xml:space="preserve"> </w:t>
      </w:r>
      <w:r w:rsidR="00E12A83">
        <w:rPr>
          <w:rFonts w:ascii="Book Antiqua" w:hAnsi="Book Antiqua" w:cs="Arial"/>
        </w:rPr>
        <w:t>8</w:t>
      </w:r>
      <w:r w:rsidR="0012180A">
        <w:rPr>
          <w:rFonts w:ascii="Book Antiqua" w:hAnsi="Book Antiqua" w:cs="Arial"/>
        </w:rPr>
        <w:t xml:space="preserve"> Ma</w:t>
      </w:r>
      <w:r w:rsidR="00E12A83">
        <w:rPr>
          <w:rFonts w:ascii="Book Antiqua" w:hAnsi="Book Antiqua" w:cs="Arial"/>
        </w:rPr>
        <w:t>y</w:t>
      </w:r>
      <w:r w:rsidR="00DE3CA8">
        <w:rPr>
          <w:rFonts w:ascii="Book Antiqua" w:hAnsi="Book Antiqua" w:cs="Arial"/>
        </w:rPr>
        <w:t xml:space="preserve"> 2018</w:t>
      </w:r>
    </w:p>
    <w:p w:rsidR="005B7789" w:rsidRPr="00F5664C" w:rsidRDefault="004B3E92" w:rsidP="0056420C">
      <w:pPr>
        <w:tabs>
          <w:tab w:val="left" w:pos="2520"/>
        </w:tabs>
        <w:jc w:val="both"/>
        <w:rPr>
          <w:rFonts w:ascii="Book Antiqua" w:hAnsi="Book Antiqua" w:cs="Arial"/>
        </w:rPr>
      </w:pPr>
      <w:r>
        <w:rPr>
          <w:rFonts w:ascii="Book Antiqua" w:hAnsi="Book Antiqua" w:cs="Arial"/>
        </w:rPr>
        <w:t>Deputy Upper Tribunal Judge J M Holmes</w:t>
      </w: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9B5" w:rsidRDefault="004E29B5">
      <w:r>
        <w:separator/>
      </w:r>
    </w:p>
  </w:endnote>
  <w:endnote w:type="continuationSeparator" w:id="0">
    <w:p w:rsidR="004E29B5" w:rsidRDefault="004E2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756D0">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9B5" w:rsidRDefault="004E29B5">
      <w:r>
        <w:separator/>
      </w:r>
    </w:p>
  </w:footnote>
  <w:footnote w:type="continuationSeparator" w:id="0">
    <w:p w:rsidR="004E29B5" w:rsidRDefault="004E2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8662C2" w:rsidRDefault="008741A2"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8662C2">
      <w:rPr>
        <w:rFonts w:ascii="Book Antiqua" w:hAnsi="Book Antiqua" w:cs="Arial"/>
        <w:sz w:val="16"/>
        <w:szCs w:val="16"/>
      </w:rPr>
      <w:t>PA/</w:t>
    </w:r>
    <w:r w:rsidR="0010049F">
      <w:rPr>
        <w:rFonts w:ascii="Book Antiqua" w:hAnsi="Book Antiqua" w:cs="Arial"/>
        <w:sz w:val="16"/>
        <w:szCs w:val="16"/>
      </w:rPr>
      <w:t>0</w:t>
    </w:r>
    <w:r w:rsidR="00DE46F9">
      <w:rPr>
        <w:rFonts w:ascii="Book Antiqua" w:hAnsi="Book Antiqua" w:cs="Arial"/>
        <w:sz w:val="16"/>
        <w:szCs w:val="16"/>
      </w:rPr>
      <w:t>3831</w:t>
    </w:r>
    <w:r w:rsidRPr="008662C2">
      <w:rPr>
        <w:rFonts w:ascii="Book Antiqua" w:hAnsi="Book Antiqua" w:cs="Arial"/>
        <w:sz w:val="16"/>
        <w:szCs w:val="16"/>
      </w:rPr>
      <w:t>/201</w:t>
    </w:r>
    <w:r w:rsidR="00DE46F9">
      <w:rPr>
        <w:rFonts w:ascii="Book Antiqua" w:hAnsi="Book Antiqua" w:cs="Arial"/>
        <w:sz w:val="16"/>
        <w:szCs w:val="16"/>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646EC9A"/>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88920B6"/>
    <w:multiLevelType w:val="multilevel"/>
    <w:tmpl w:val="C130E64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11D2822"/>
    <w:multiLevelType w:val="hybridMultilevel"/>
    <w:tmpl w:val="9DB016EC"/>
    <w:lvl w:ilvl="0" w:tplc="5C50BAFA">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ED9160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52F12E1"/>
    <w:multiLevelType w:val="hybridMultilevel"/>
    <w:tmpl w:val="642C6F34"/>
    <w:lvl w:ilvl="0" w:tplc="AAF2B46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38CD12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2"/>
  </w:num>
  <w:num w:numId="5">
    <w:abstractNumId w:val="21"/>
  </w:num>
  <w:num w:numId="6">
    <w:abstractNumId w:val="13"/>
  </w:num>
  <w:num w:numId="7">
    <w:abstractNumId w:val="20"/>
  </w:num>
  <w:num w:numId="8">
    <w:abstractNumId w:val="9"/>
  </w:num>
  <w:num w:numId="9">
    <w:abstractNumId w:val="6"/>
  </w:num>
  <w:num w:numId="10">
    <w:abstractNumId w:val="19"/>
  </w:num>
  <w:num w:numId="11">
    <w:abstractNumId w:val="18"/>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11"/>
  </w:num>
  <w:num w:numId="20">
    <w:abstractNumId w:val="7"/>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62"/>
    <w:rsid w:val="00000621"/>
    <w:rsid w:val="000034D7"/>
    <w:rsid w:val="000036C2"/>
    <w:rsid w:val="00006456"/>
    <w:rsid w:val="000076C5"/>
    <w:rsid w:val="00033811"/>
    <w:rsid w:val="00033AD9"/>
    <w:rsid w:val="00033D3D"/>
    <w:rsid w:val="000369F5"/>
    <w:rsid w:val="00040BF3"/>
    <w:rsid w:val="00041DF8"/>
    <w:rsid w:val="00053EF8"/>
    <w:rsid w:val="000551DC"/>
    <w:rsid w:val="00062155"/>
    <w:rsid w:val="00071A7E"/>
    <w:rsid w:val="00073DC7"/>
    <w:rsid w:val="000746C0"/>
    <w:rsid w:val="00074D1D"/>
    <w:rsid w:val="0008009E"/>
    <w:rsid w:val="00090EC4"/>
    <w:rsid w:val="00092580"/>
    <w:rsid w:val="000B3FBB"/>
    <w:rsid w:val="000B4B7A"/>
    <w:rsid w:val="000B5306"/>
    <w:rsid w:val="000C4205"/>
    <w:rsid w:val="000C4652"/>
    <w:rsid w:val="000C5BE7"/>
    <w:rsid w:val="000D01C9"/>
    <w:rsid w:val="000D53D9"/>
    <w:rsid w:val="000D5D94"/>
    <w:rsid w:val="000E0CD7"/>
    <w:rsid w:val="000E6B04"/>
    <w:rsid w:val="000F25D1"/>
    <w:rsid w:val="000F4DE7"/>
    <w:rsid w:val="0010049F"/>
    <w:rsid w:val="00101B85"/>
    <w:rsid w:val="00113604"/>
    <w:rsid w:val="00114F8B"/>
    <w:rsid w:val="001165A7"/>
    <w:rsid w:val="001212D5"/>
    <w:rsid w:val="0012180A"/>
    <w:rsid w:val="00131FEF"/>
    <w:rsid w:val="001424D3"/>
    <w:rsid w:val="00142919"/>
    <w:rsid w:val="001455DF"/>
    <w:rsid w:val="00151BB7"/>
    <w:rsid w:val="00167D3A"/>
    <w:rsid w:val="00172127"/>
    <w:rsid w:val="00172FD4"/>
    <w:rsid w:val="001753A0"/>
    <w:rsid w:val="001A1E2C"/>
    <w:rsid w:val="001A4217"/>
    <w:rsid w:val="001A6AB2"/>
    <w:rsid w:val="001B223D"/>
    <w:rsid w:val="001D2DD8"/>
    <w:rsid w:val="001D3DB0"/>
    <w:rsid w:val="001D6922"/>
    <w:rsid w:val="001F047C"/>
    <w:rsid w:val="001F2716"/>
    <w:rsid w:val="001F58E7"/>
    <w:rsid w:val="0020133A"/>
    <w:rsid w:val="0020382C"/>
    <w:rsid w:val="00207617"/>
    <w:rsid w:val="002101C9"/>
    <w:rsid w:val="002236E8"/>
    <w:rsid w:val="00223A1C"/>
    <w:rsid w:val="00234405"/>
    <w:rsid w:val="00241E2B"/>
    <w:rsid w:val="002531DE"/>
    <w:rsid w:val="002541E1"/>
    <w:rsid w:val="00255071"/>
    <w:rsid w:val="002756D0"/>
    <w:rsid w:val="00283659"/>
    <w:rsid w:val="002843CA"/>
    <w:rsid w:val="00285C3A"/>
    <w:rsid w:val="00286C97"/>
    <w:rsid w:val="00287B05"/>
    <w:rsid w:val="00287B78"/>
    <w:rsid w:val="00287FC4"/>
    <w:rsid w:val="00297038"/>
    <w:rsid w:val="002B4097"/>
    <w:rsid w:val="002B4BE4"/>
    <w:rsid w:val="002C0BCF"/>
    <w:rsid w:val="002C4E73"/>
    <w:rsid w:val="002C6466"/>
    <w:rsid w:val="002C76AA"/>
    <w:rsid w:val="002D4654"/>
    <w:rsid w:val="002D68BF"/>
    <w:rsid w:val="002F0057"/>
    <w:rsid w:val="002F4F4D"/>
    <w:rsid w:val="003104DA"/>
    <w:rsid w:val="00311C93"/>
    <w:rsid w:val="00312805"/>
    <w:rsid w:val="00313BDE"/>
    <w:rsid w:val="0031448F"/>
    <w:rsid w:val="00322139"/>
    <w:rsid w:val="00323207"/>
    <w:rsid w:val="0032689B"/>
    <w:rsid w:val="00330BCA"/>
    <w:rsid w:val="00334215"/>
    <w:rsid w:val="00336CBF"/>
    <w:rsid w:val="00337926"/>
    <w:rsid w:val="00345657"/>
    <w:rsid w:val="003458C3"/>
    <w:rsid w:val="003546C8"/>
    <w:rsid w:val="00361D3F"/>
    <w:rsid w:val="00363F5C"/>
    <w:rsid w:val="00376272"/>
    <w:rsid w:val="00382DD9"/>
    <w:rsid w:val="003834A2"/>
    <w:rsid w:val="0038446E"/>
    <w:rsid w:val="003950EA"/>
    <w:rsid w:val="003A0FB3"/>
    <w:rsid w:val="003A7CF2"/>
    <w:rsid w:val="003B3EE6"/>
    <w:rsid w:val="003C5CE5"/>
    <w:rsid w:val="003D600C"/>
    <w:rsid w:val="003D7E0D"/>
    <w:rsid w:val="003E267B"/>
    <w:rsid w:val="003E7CD1"/>
    <w:rsid w:val="003F51DE"/>
    <w:rsid w:val="00402B9E"/>
    <w:rsid w:val="004153F5"/>
    <w:rsid w:val="00415613"/>
    <w:rsid w:val="0041703C"/>
    <w:rsid w:val="004238C0"/>
    <w:rsid w:val="00423932"/>
    <w:rsid w:val="00423C2B"/>
    <w:rsid w:val="004249CB"/>
    <w:rsid w:val="0043037F"/>
    <w:rsid w:val="00431A32"/>
    <w:rsid w:val="00431F69"/>
    <w:rsid w:val="00440BF5"/>
    <w:rsid w:val="0044127D"/>
    <w:rsid w:val="00443CB3"/>
    <w:rsid w:val="004448DB"/>
    <w:rsid w:val="00446C9A"/>
    <w:rsid w:val="00450A7A"/>
    <w:rsid w:val="00460E22"/>
    <w:rsid w:val="00464F1A"/>
    <w:rsid w:val="00466A2B"/>
    <w:rsid w:val="00477193"/>
    <w:rsid w:val="0047793E"/>
    <w:rsid w:val="00487C54"/>
    <w:rsid w:val="00496B5D"/>
    <w:rsid w:val="004A1848"/>
    <w:rsid w:val="004A7783"/>
    <w:rsid w:val="004B0F37"/>
    <w:rsid w:val="004B26A5"/>
    <w:rsid w:val="004B3E92"/>
    <w:rsid w:val="004C323C"/>
    <w:rsid w:val="004C7BDC"/>
    <w:rsid w:val="004D24DD"/>
    <w:rsid w:val="004D6EAD"/>
    <w:rsid w:val="004E29B5"/>
    <w:rsid w:val="004E665F"/>
    <w:rsid w:val="004F5833"/>
    <w:rsid w:val="00501489"/>
    <w:rsid w:val="00502D64"/>
    <w:rsid w:val="00507FEC"/>
    <w:rsid w:val="00510F0E"/>
    <w:rsid w:val="00520271"/>
    <w:rsid w:val="00521196"/>
    <w:rsid w:val="00522B40"/>
    <w:rsid w:val="005336A4"/>
    <w:rsid w:val="005479E1"/>
    <w:rsid w:val="00550419"/>
    <w:rsid w:val="005570FD"/>
    <w:rsid w:val="005575EA"/>
    <w:rsid w:val="0056420C"/>
    <w:rsid w:val="005659E0"/>
    <w:rsid w:val="00567276"/>
    <w:rsid w:val="0057790C"/>
    <w:rsid w:val="00585D47"/>
    <w:rsid w:val="00586987"/>
    <w:rsid w:val="00593795"/>
    <w:rsid w:val="005A725F"/>
    <w:rsid w:val="005A75FF"/>
    <w:rsid w:val="005B6C88"/>
    <w:rsid w:val="005B7789"/>
    <w:rsid w:val="005D3B80"/>
    <w:rsid w:val="005D6CBF"/>
    <w:rsid w:val="005F30DA"/>
    <w:rsid w:val="005F5FE1"/>
    <w:rsid w:val="0060331A"/>
    <w:rsid w:val="006052D5"/>
    <w:rsid w:val="0061740E"/>
    <w:rsid w:val="0062215B"/>
    <w:rsid w:val="0062623D"/>
    <w:rsid w:val="006405D9"/>
    <w:rsid w:val="006449EB"/>
    <w:rsid w:val="00647CEF"/>
    <w:rsid w:val="006535B9"/>
    <w:rsid w:val="006542F7"/>
    <w:rsid w:val="00654EE0"/>
    <w:rsid w:val="0065791C"/>
    <w:rsid w:val="00660C86"/>
    <w:rsid w:val="00690B8A"/>
    <w:rsid w:val="00691AC3"/>
    <w:rsid w:val="006A3DF4"/>
    <w:rsid w:val="006A51FF"/>
    <w:rsid w:val="006B6BBA"/>
    <w:rsid w:val="006C2EA6"/>
    <w:rsid w:val="006D1DFA"/>
    <w:rsid w:val="006D506B"/>
    <w:rsid w:val="006E1DAD"/>
    <w:rsid w:val="006E3C90"/>
    <w:rsid w:val="006F56D6"/>
    <w:rsid w:val="00704B61"/>
    <w:rsid w:val="0070679A"/>
    <w:rsid w:val="00707DB1"/>
    <w:rsid w:val="00713B3E"/>
    <w:rsid w:val="00720409"/>
    <w:rsid w:val="00722A1F"/>
    <w:rsid w:val="007353BB"/>
    <w:rsid w:val="00741E92"/>
    <w:rsid w:val="00742282"/>
    <w:rsid w:val="00742A8D"/>
    <w:rsid w:val="00752359"/>
    <w:rsid w:val="007552A9"/>
    <w:rsid w:val="0075568A"/>
    <w:rsid w:val="007563E0"/>
    <w:rsid w:val="00757E54"/>
    <w:rsid w:val="00761858"/>
    <w:rsid w:val="00767D59"/>
    <w:rsid w:val="00776E97"/>
    <w:rsid w:val="00777B62"/>
    <w:rsid w:val="00780FD7"/>
    <w:rsid w:val="007912AD"/>
    <w:rsid w:val="007A1E53"/>
    <w:rsid w:val="007A1F28"/>
    <w:rsid w:val="007B0824"/>
    <w:rsid w:val="007C00D2"/>
    <w:rsid w:val="007C0CD9"/>
    <w:rsid w:val="007C351A"/>
    <w:rsid w:val="007C67CD"/>
    <w:rsid w:val="007D7157"/>
    <w:rsid w:val="007E226B"/>
    <w:rsid w:val="007E345F"/>
    <w:rsid w:val="007E3D5D"/>
    <w:rsid w:val="007E4EBD"/>
    <w:rsid w:val="007E6462"/>
    <w:rsid w:val="007E7696"/>
    <w:rsid w:val="007F60EF"/>
    <w:rsid w:val="008019AD"/>
    <w:rsid w:val="008057EB"/>
    <w:rsid w:val="00813A73"/>
    <w:rsid w:val="0082119B"/>
    <w:rsid w:val="008303B8"/>
    <w:rsid w:val="00833DCE"/>
    <w:rsid w:val="00842418"/>
    <w:rsid w:val="0084283A"/>
    <w:rsid w:val="008456F8"/>
    <w:rsid w:val="008500C0"/>
    <w:rsid w:val="00850588"/>
    <w:rsid w:val="00852A9A"/>
    <w:rsid w:val="0086165A"/>
    <w:rsid w:val="008634DB"/>
    <w:rsid w:val="0086522F"/>
    <w:rsid w:val="00865FBF"/>
    <w:rsid w:val="008662C2"/>
    <w:rsid w:val="008715F9"/>
    <w:rsid w:val="00871D34"/>
    <w:rsid w:val="008741A2"/>
    <w:rsid w:val="00876028"/>
    <w:rsid w:val="008825B6"/>
    <w:rsid w:val="00884D10"/>
    <w:rsid w:val="0089003B"/>
    <w:rsid w:val="00895F7F"/>
    <w:rsid w:val="008B270C"/>
    <w:rsid w:val="008B38D2"/>
    <w:rsid w:val="008B731B"/>
    <w:rsid w:val="008C3D3D"/>
    <w:rsid w:val="008C71B9"/>
    <w:rsid w:val="008D4131"/>
    <w:rsid w:val="008F1932"/>
    <w:rsid w:val="008F294D"/>
    <w:rsid w:val="0090544D"/>
    <w:rsid w:val="0091209A"/>
    <w:rsid w:val="00921062"/>
    <w:rsid w:val="00922D25"/>
    <w:rsid w:val="0092618D"/>
    <w:rsid w:val="0093083E"/>
    <w:rsid w:val="009308D1"/>
    <w:rsid w:val="00933303"/>
    <w:rsid w:val="00944544"/>
    <w:rsid w:val="00946E41"/>
    <w:rsid w:val="00947072"/>
    <w:rsid w:val="00947526"/>
    <w:rsid w:val="00950912"/>
    <w:rsid w:val="0096632C"/>
    <w:rsid w:val="00966ECF"/>
    <w:rsid w:val="009727A3"/>
    <w:rsid w:val="00980AF2"/>
    <w:rsid w:val="0098267B"/>
    <w:rsid w:val="00984240"/>
    <w:rsid w:val="00987733"/>
    <w:rsid w:val="00987774"/>
    <w:rsid w:val="009A11E8"/>
    <w:rsid w:val="009A6967"/>
    <w:rsid w:val="009B0104"/>
    <w:rsid w:val="009B5DB5"/>
    <w:rsid w:val="009D521E"/>
    <w:rsid w:val="009E26EE"/>
    <w:rsid w:val="009E30B4"/>
    <w:rsid w:val="009E4E62"/>
    <w:rsid w:val="009E6222"/>
    <w:rsid w:val="009F365C"/>
    <w:rsid w:val="009F442D"/>
    <w:rsid w:val="009F5220"/>
    <w:rsid w:val="009F7C4D"/>
    <w:rsid w:val="009F7E3C"/>
    <w:rsid w:val="00A15234"/>
    <w:rsid w:val="00A201AB"/>
    <w:rsid w:val="00A211D6"/>
    <w:rsid w:val="00A216C7"/>
    <w:rsid w:val="00A27F13"/>
    <w:rsid w:val="00A31C8B"/>
    <w:rsid w:val="00A43BD7"/>
    <w:rsid w:val="00A45052"/>
    <w:rsid w:val="00A56176"/>
    <w:rsid w:val="00A62541"/>
    <w:rsid w:val="00A700EA"/>
    <w:rsid w:val="00A70EA8"/>
    <w:rsid w:val="00A740C1"/>
    <w:rsid w:val="00A75965"/>
    <w:rsid w:val="00A7722B"/>
    <w:rsid w:val="00A842B7"/>
    <w:rsid w:val="00A845DC"/>
    <w:rsid w:val="00A97AEE"/>
    <w:rsid w:val="00AA30E9"/>
    <w:rsid w:val="00AA6AF5"/>
    <w:rsid w:val="00AA6B53"/>
    <w:rsid w:val="00AA7166"/>
    <w:rsid w:val="00AB6D4D"/>
    <w:rsid w:val="00AC1B5C"/>
    <w:rsid w:val="00AC5CF6"/>
    <w:rsid w:val="00AC6753"/>
    <w:rsid w:val="00AC6E08"/>
    <w:rsid w:val="00AE327A"/>
    <w:rsid w:val="00AE35B5"/>
    <w:rsid w:val="00AE5DC5"/>
    <w:rsid w:val="00AF0622"/>
    <w:rsid w:val="00B144FA"/>
    <w:rsid w:val="00B14CB7"/>
    <w:rsid w:val="00B15A5F"/>
    <w:rsid w:val="00B15D74"/>
    <w:rsid w:val="00B16F58"/>
    <w:rsid w:val="00B25961"/>
    <w:rsid w:val="00B30648"/>
    <w:rsid w:val="00B337AA"/>
    <w:rsid w:val="00B3524D"/>
    <w:rsid w:val="00B37ADC"/>
    <w:rsid w:val="00B40F69"/>
    <w:rsid w:val="00B42CF2"/>
    <w:rsid w:val="00B4659E"/>
    <w:rsid w:val="00B46616"/>
    <w:rsid w:val="00B477C8"/>
    <w:rsid w:val="00B47828"/>
    <w:rsid w:val="00B52399"/>
    <w:rsid w:val="00B610E3"/>
    <w:rsid w:val="00B61205"/>
    <w:rsid w:val="00B617C4"/>
    <w:rsid w:val="00B626FA"/>
    <w:rsid w:val="00B7040A"/>
    <w:rsid w:val="00B740C3"/>
    <w:rsid w:val="00B82CDB"/>
    <w:rsid w:val="00B917CA"/>
    <w:rsid w:val="00B96FA0"/>
    <w:rsid w:val="00BB0235"/>
    <w:rsid w:val="00BB5844"/>
    <w:rsid w:val="00BC2BF7"/>
    <w:rsid w:val="00BD4196"/>
    <w:rsid w:val="00BE0225"/>
    <w:rsid w:val="00BE31CE"/>
    <w:rsid w:val="00BF0D89"/>
    <w:rsid w:val="00BF22CA"/>
    <w:rsid w:val="00BF3AA5"/>
    <w:rsid w:val="00BF3E38"/>
    <w:rsid w:val="00BF7003"/>
    <w:rsid w:val="00C14413"/>
    <w:rsid w:val="00C26032"/>
    <w:rsid w:val="00C265B0"/>
    <w:rsid w:val="00C321B5"/>
    <w:rsid w:val="00C345E1"/>
    <w:rsid w:val="00C45556"/>
    <w:rsid w:val="00C5017B"/>
    <w:rsid w:val="00C60E5D"/>
    <w:rsid w:val="00C648DD"/>
    <w:rsid w:val="00C7282E"/>
    <w:rsid w:val="00C84141"/>
    <w:rsid w:val="00C977BA"/>
    <w:rsid w:val="00CA13EC"/>
    <w:rsid w:val="00CA5EE8"/>
    <w:rsid w:val="00CA7417"/>
    <w:rsid w:val="00CB6E35"/>
    <w:rsid w:val="00CC3360"/>
    <w:rsid w:val="00CC4A1A"/>
    <w:rsid w:val="00CC6CEE"/>
    <w:rsid w:val="00CD2DDC"/>
    <w:rsid w:val="00CE1A46"/>
    <w:rsid w:val="00CE26B2"/>
    <w:rsid w:val="00CE3956"/>
    <w:rsid w:val="00CE74B6"/>
    <w:rsid w:val="00CF10FA"/>
    <w:rsid w:val="00CF253F"/>
    <w:rsid w:val="00CF56B4"/>
    <w:rsid w:val="00CF5E17"/>
    <w:rsid w:val="00D01276"/>
    <w:rsid w:val="00D1251C"/>
    <w:rsid w:val="00D155E5"/>
    <w:rsid w:val="00D20F09"/>
    <w:rsid w:val="00D22636"/>
    <w:rsid w:val="00D40FD9"/>
    <w:rsid w:val="00D45764"/>
    <w:rsid w:val="00D53769"/>
    <w:rsid w:val="00D65912"/>
    <w:rsid w:val="00D706DC"/>
    <w:rsid w:val="00D85C13"/>
    <w:rsid w:val="00D91BE3"/>
    <w:rsid w:val="00D94AFC"/>
    <w:rsid w:val="00DA0E43"/>
    <w:rsid w:val="00DA555A"/>
    <w:rsid w:val="00DB70AE"/>
    <w:rsid w:val="00DB7231"/>
    <w:rsid w:val="00DC028B"/>
    <w:rsid w:val="00DC36AA"/>
    <w:rsid w:val="00DC36C9"/>
    <w:rsid w:val="00DC7F9E"/>
    <w:rsid w:val="00DD5071"/>
    <w:rsid w:val="00DD5625"/>
    <w:rsid w:val="00DD5C39"/>
    <w:rsid w:val="00DE26AF"/>
    <w:rsid w:val="00DE348D"/>
    <w:rsid w:val="00DE3CA8"/>
    <w:rsid w:val="00DE46F9"/>
    <w:rsid w:val="00DE7DB7"/>
    <w:rsid w:val="00DF3002"/>
    <w:rsid w:val="00DF3581"/>
    <w:rsid w:val="00DF7048"/>
    <w:rsid w:val="00E00A0A"/>
    <w:rsid w:val="00E04BC0"/>
    <w:rsid w:val="00E05528"/>
    <w:rsid w:val="00E07F57"/>
    <w:rsid w:val="00E1040E"/>
    <w:rsid w:val="00E12A83"/>
    <w:rsid w:val="00E3199A"/>
    <w:rsid w:val="00E43A93"/>
    <w:rsid w:val="00E50BCE"/>
    <w:rsid w:val="00E61292"/>
    <w:rsid w:val="00E76309"/>
    <w:rsid w:val="00E77C4D"/>
    <w:rsid w:val="00E80BE2"/>
    <w:rsid w:val="00E81D01"/>
    <w:rsid w:val="00E86807"/>
    <w:rsid w:val="00E87450"/>
    <w:rsid w:val="00E87B2E"/>
    <w:rsid w:val="00E904E1"/>
    <w:rsid w:val="00EA0A8F"/>
    <w:rsid w:val="00EA40C9"/>
    <w:rsid w:val="00ED1CCF"/>
    <w:rsid w:val="00ED4F0F"/>
    <w:rsid w:val="00EE2C96"/>
    <w:rsid w:val="00EE35FF"/>
    <w:rsid w:val="00EE45D8"/>
    <w:rsid w:val="00EE5362"/>
    <w:rsid w:val="00EF126F"/>
    <w:rsid w:val="00EF3577"/>
    <w:rsid w:val="00F004CD"/>
    <w:rsid w:val="00F03B44"/>
    <w:rsid w:val="00F06C48"/>
    <w:rsid w:val="00F119C1"/>
    <w:rsid w:val="00F12F50"/>
    <w:rsid w:val="00F151EA"/>
    <w:rsid w:val="00F21508"/>
    <w:rsid w:val="00F22A22"/>
    <w:rsid w:val="00F22C21"/>
    <w:rsid w:val="00F22EDA"/>
    <w:rsid w:val="00F25A92"/>
    <w:rsid w:val="00F27B76"/>
    <w:rsid w:val="00F3224D"/>
    <w:rsid w:val="00F33E0E"/>
    <w:rsid w:val="00F42933"/>
    <w:rsid w:val="00F47AEA"/>
    <w:rsid w:val="00F5664C"/>
    <w:rsid w:val="00F67F04"/>
    <w:rsid w:val="00F75110"/>
    <w:rsid w:val="00F771D5"/>
    <w:rsid w:val="00F77C13"/>
    <w:rsid w:val="00F80609"/>
    <w:rsid w:val="00F8731F"/>
    <w:rsid w:val="00FA000D"/>
    <w:rsid w:val="00FB7E80"/>
    <w:rsid w:val="00FC57C1"/>
    <w:rsid w:val="00FC7B86"/>
    <w:rsid w:val="00FD48A3"/>
    <w:rsid w:val="00FE0C6A"/>
    <w:rsid w:val="00FF3453"/>
    <w:rsid w:val="00FF5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17D0C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460E22"/>
    <w:pPr>
      <w:numPr>
        <w:numId w:val="3"/>
      </w:numPr>
      <w:spacing w:before="240"/>
      <w:jc w:val="both"/>
    </w:pPr>
    <w:rPr>
      <w:rFonts w:ascii="Book Antiqua" w:hAnsi="Book Antiqua" w:cs="Arial"/>
    </w:rPr>
  </w:style>
  <w:style w:type="paragraph" w:customStyle="1" w:styleId="q">
    <w:name w:val="q"/>
    <w:basedOn w:val="Normal"/>
    <w:rsid w:val="00980AF2"/>
    <w:pPr>
      <w:spacing w:before="240"/>
      <w:ind w:left="1134"/>
      <w:jc w:val="both"/>
    </w:pPr>
    <w:rPr>
      <w:rFonts w:ascii="Garamond" w:hAnsi="Garamond" w:cs="Arial"/>
      <w:i/>
      <w:sz w:val="20"/>
    </w:rPr>
  </w:style>
  <w:style w:type="paragraph" w:customStyle="1" w:styleId="HFirstwordonlyunderlined">
    <w:name w:val="HFirstwordonlyunderlined"/>
    <w:basedOn w:val="p"/>
    <w:rsid w:val="00980AF2"/>
    <w:pPr>
      <w:numPr>
        <w:numId w:val="0"/>
      </w:numPr>
    </w:pPr>
    <w:rPr>
      <w:rFonts w:cs="Courier New"/>
      <w:u w:val="single"/>
    </w:rPr>
  </w:style>
  <w:style w:type="paragraph" w:customStyle="1" w:styleId="qn">
    <w:name w:val="qn"/>
    <w:basedOn w:val="q"/>
    <w:rsid w:val="00980AF2"/>
    <w:pPr>
      <w:ind w:left="170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2541</Words>
  <Characters>14486</Characters>
  <Application>Microsoft Office Word</Application>
  <DocSecurity>0</DocSecurity>
  <Lines>120</Lines>
  <Paragraphs>33</Paragraphs>
  <ScaleCrop>false</ScaleCrop>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2018-06-07T12:07:00Z</dcterms:created>
  <dcterms:modified xsi:type="dcterms:W3CDTF">2018-06-07T12:07:00Z</dcterms:modified>
</cp:coreProperties>
</file>