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E6D" w:rsidRPr="00DD1BE9" w:rsidRDefault="00B50E6D" w:rsidP="00B50E6D">
      <w:pPr>
        <w:tabs>
          <w:tab w:val="right" w:pos="9639"/>
        </w:tabs>
        <w:rPr>
          <w:rFonts w:ascii="Book Antiqua" w:hAnsi="Book Antiqua"/>
          <w:b/>
        </w:rPr>
      </w:pPr>
    </w:p>
    <w:p w:rsidR="00B50E6D" w:rsidRPr="00DD1BE9" w:rsidRDefault="00B50E6D" w:rsidP="00B50E6D">
      <w:pPr>
        <w:jc w:val="center"/>
        <w:rPr>
          <w:rFonts w:ascii="Book Antiqua" w:hAnsi="Book Antiqua"/>
          <w:sz w:val="16"/>
          <w:szCs w:val="16"/>
        </w:rPr>
      </w:pPr>
      <w:r w:rsidRPr="00DD1BE9">
        <w:rPr>
          <w:rFonts w:ascii="Book Antiqua" w:hAnsi="Book Antiqua"/>
          <w:noProof/>
        </w:rPr>
        <w:drawing>
          <wp:inline distT="0" distB="0" distL="0" distR="0" wp14:anchorId="3A9A400B" wp14:editId="4A97C202">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B50E6D" w:rsidRPr="00DD1BE9" w:rsidRDefault="00B50E6D" w:rsidP="00B50E6D">
      <w:pPr>
        <w:pStyle w:val="Heading2"/>
        <w:rPr>
          <w:rFonts w:ascii="Book Antiqua" w:hAnsi="Book Antiqua" w:cs="Arial"/>
          <w:i w:val="0"/>
          <w:sz w:val="24"/>
          <w:szCs w:val="24"/>
        </w:rPr>
      </w:pPr>
      <w:bookmarkStart w:id="0" w:name="_GoBack"/>
      <w:bookmarkEnd w:id="0"/>
      <w:r w:rsidRPr="00DD1BE9">
        <w:rPr>
          <w:rFonts w:ascii="Book Antiqua" w:hAnsi="Book Antiqua" w:cs="Arial"/>
          <w:i w:val="0"/>
          <w:sz w:val="24"/>
          <w:szCs w:val="24"/>
        </w:rPr>
        <w:t>Upper Tribunal</w:t>
      </w:r>
    </w:p>
    <w:p w:rsidR="00B50E6D" w:rsidRDefault="00B50E6D" w:rsidP="00B50E6D">
      <w:pPr>
        <w:pStyle w:val="BodyText"/>
        <w:rPr>
          <w:rFonts w:ascii="Book Antiqua" w:hAnsi="Book Antiqua" w:cs="Arial"/>
          <w:b/>
        </w:rPr>
      </w:pPr>
      <w:r w:rsidRPr="00DD1BE9">
        <w:rPr>
          <w:rFonts w:ascii="Book Antiqua" w:hAnsi="Book Antiqua" w:cs="Arial"/>
          <w:b/>
        </w:rPr>
        <w:t>Immigration and Asylum Chamber</w:t>
      </w:r>
      <w:r w:rsidRPr="00DD1BE9">
        <w:rPr>
          <w:rFonts w:ascii="Book Antiqua" w:hAnsi="Book Antiqua" w:cs="Arial"/>
        </w:rPr>
        <w:tab/>
        <w:t xml:space="preserve">               </w:t>
      </w:r>
      <w:r>
        <w:rPr>
          <w:rFonts w:ascii="Book Antiqua" w:hAnsi="Book Antiqua" w:cs="Arial"/>
          <w:b/>
        </w:rPr>
        <w:t>Appeal Number:  PA</w:t>
      </w:r>
      <w:r w:rsidRPr="00DD1BE9">
        <w:rPr>
          <w:rFonts w:ascii="Book Antiqua" w:hAnsi="Book Antiqua" w:cs="Arial"/>
          <w:b/>
        </w:rPr>
        <w:t>/</w:t>
      </w:r>
      <w:r>
        <w:rPr>
          <w:rFonts w:ascii="Book Antiqua" w:hAnsi="Book Antiqua" w:cs="Arial"/>
          <w:b/>
        </w:rPr>
        <w:t>03858</w:t>
      </w:r>
      <w:r w:rsidRPr="00DD1BE9">
        <w:rPr>
          <w:rFonts w:ascii="Book Antiqua" w:hAnsi="Book Antiqua" w:cs="Arial"/>
          <w:b/>
        </w:rPr>
        <w:t>/201</w:t>
      </w:r>
      <w:r>
        <w:rPr>
          <w:rFonts w:ascii="Book Antiqua" w:hAnsi="Book Antiqua" w:cs="Arial"/>
          <w:b/>
        </w:rPr>
        <w:t>7</w:t>
      </w:r>
    </w:p>
    <w:p w:rsidR="00B50E6D" w:rsidRPr="00DD1BE9" w:rsidRDefault="00B50E6D" w:rsidP="00B50E6D">
      <w:pPr>
        <w:pStyle w:val="BodyText"/>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p>
    <w:p w:rsidR="00B50E6D" w:rsidRPr="00DD1BE9" w:rsidRDefault="00B50E6D" w:rsidP="00B50E6D">
      <w:pPr>
        <w:tabs>
          <w:tab w:val="right" w:pos="9639"/>
        </w:tabs>
        <w:jc w:val="center"/>
        <w:rPr>
          <w:rFonts w:ascii="Book Antiqua" w:hAnsi="Book Antiqua"/>
          <w:b/>
          <w:u w:val="single"/>
        </w:rPr>
      </w:pPr>
      <w:r w:rsidRPr="00DD1BE9">
        <w:rPr>
          <w:rFonts w:ascii="Book Antiqua" w:hAnsi="Book Antiqua"/>
          <w:b/>
          <w:u w:val="single"/>
        </w:rPr>
        <w:t>THE IMMIGRATION ACTS</w:t>
      </w:r>
    </w:p>
    <w:p w:rsidR="00B50E6D" w:rsidRPr="00DD1BE9" w:rsidRDefault="00B50E6D" w:rsidP="00B50E6D">
      <w:pPr>
        <w:jc w:val="center"/>
        <w:rPr>
          <w:rFonts w:ascii="Book Antiqua" w:hAnsi="Book Antiqua"/>
          <w:b/>
          <w:u w:val="single"/>
        </w:rPr>
      </w:pPr>
    </w:p>
    <w:tbl>
      <w:tblPr>
        <w:tblW w:w="0" w:type="auto"/>
        <w:tblLook w:val="01E0" w:firstRow="1" w:lastRow="1" w:firstColumn="1" w:lastColumn="1" w:noHBand="0" w:noVBand="0"/>
      </w:tblPr>
      <w:tblGrid>
        <w:gridCol w:w="4111"/>
        <w:gridCol w:w="4915"/>
      </w:tblGrid>
      <w:tr w:rsidR="00B50E6D" w:rsidRPr="009374BF" w:rsidTr="002526F7">
        <w:tc>
          <w:tcPr>
            <w:tcW w:w="4111" w:type="dxa"/>
            <w:shd w:val="clear" w:color="auto" w:fill="auto"/>
          </w:tcPr>
          <w:p w:rsidR="00B50E6D" w:rsidRPr="009374BF" w:rsidRDefault="00B50E6D" w:rsidP="00F4113F">
            <w:pPr>
              <w:jc w:val="both"/>
              <w:rPr>
                <w:rFonts w:ascii="Book Antiqua" w:hAnsi="Book Antiqua"/>
                <w:b/>
              </w:rPr>
            </w:pPr>
            <w:r w:rsidRPr="009374BF">
              <w:rPr>
                <w:rFonts w:ascii="Book Antiqua" w:hAnsi="Book Antiqua"/>
                <w:b/>
              </w:rPr>
              <w:t xml:space="preserve">Heard at Field House </w:t>
            </w:r>
          </w:p>
        </w:tc>
        <w:tc>
          <w:tcPr>
            <w:tcW w:w="4915" w:type="dxa"/>
            <w:shd w:val="clear" w:color="auto" w:fill="auto"/>
          </w:tcPr>
          <w:p w:rsidR="00B50E6D" w:rsidRPr="009374BF" w:rsidRDefault="002526F7" w:rsidP="00F4113F">
            <w:pPr>
              <w:jc w:val="both"/>
              <w:rPr>
                <w:rFonts w:ascii="Book Antiqua" w:hAnsi="Book Antiqua"/>
                <w:b/>
              </w:rPr>
            </w:pPr>
            <w:r>
              <w:rPr>
                <w:rFonts w:ascii="Book Antiqua" w:hAnsi="Book Antiqua"/>
                <w:b/>
              </w:rPr>
              <w:t xml:space="preserve">                </w:t>
            </w:r>
            <w:r w:rsidR="00B50E6D" w:rsidRPr="009374BF">
              <w:rPr>
                <w:rFonts w:ascii="Book Antiqua" w:hAnsi="Book Antiqua"/>
                <w:b/>
              </w:rPr>
              <w:t xml:space="preserve"> </w:t>
            </w:r>
            <w:r>
              <w:rPr>
                <w:rFonts w:ascii="Book Antiqua" w:hAnsi="Book Antiqua"/>
                <w:b/>
              </w:rPr>
              <w:t xml:space="preserve">Decision &amp; Reasons Promulgated </w:t>
            </w:r>
          </w:p>
        </w:tc>
      </w:tr>
      <w:tr w:rsidR="00B50E6D" w:rsidRPr="009374BF" w:rsidTr="002526F7">
        <w:tc>
          <w:tcPr>
            <w:tcW w:w="4111" w:type="dxa"/>
            <w:shd w:val="clear" w:color="auto" w:fill="auto"/>
          </w:tcPr>
          <w:p w:rsidR="00B50E6D" w:rsidRPr="009374BF" w:rsidRDefault="00B50E6D" w:rsidP="00F4113F">
            <w:pPr>
              <w:jc w:val="both"/>
              <w:rPr>
                <w:rFonts w:ascii="Book Antiqua" w:hAnsi="Book Antiqua"/>
                <w:b/>
              </w:rPr>
            </w:pPr>
            <w:r w:rsidRPr="009374BF">
              <w:rPr>
                <w:rFonts w:ascii="Book Antiqua" w:hAnsi="Book Antiqua"/>
                <w:b/>
              </w:rPr>
              <w:t xml:space="preserve">On </w:t>
            </w:r>
            <w:r>
              <w:rPr>
                <w:rFonts w:ascii="Book Antiqua" w:hAnsi="Book Antiqua"/>
                <w:b/>
              </w:rPr>
              <w:t>23</w:t>
            </w:r>
            <w:r w:rsidRPr="009374BF">
              <w:rPr>
                <w:rFonts w:ascii="Book Antiqua" w:hAnsi="Book Antiqua"/>
                <w:b/>
              </w:rPr>
              <w:t xml:space="preserve"> April 2018</w:t>
            </w:r>
          </w:p>
        </w:tc>
        <w:tc>
          <w:tcPr>
            <w:tcW w:w="4915" w:type="dxa"/>
            <w:shd w:val="clear" w:color="auto" w:fill="auto"/>
          </w:tcPr>
          <w:p w:rsidR="00B50E6D" w:rsidRPr="009374BF" w:rsidRDefault="002526F7" w:rsidP="00F4113F">
            <w:pPr>
              <w:jc w:val="both"/>
              <w:rPr>
                <w:rFonts w:ascii="Book Antiqua" w:hAnsi="Book Antiqua"/>
                <w:b/>
              </w:rPr>
            </w:pPr>
            <w:r>
              <w:rPr>
                <w:rFonts w:ascii="Book Antiqua" w:hAnsi="Book Antiqua"/>
                <w:b/>
              </w:rPr>
              <w:t xml:space="preserve">                 On 20 June 2018     </w:t>
            </w:r>
          </w:p>
        </w:tc>
      </w:tr>
      <w:tr w:rsidR="00B50E6D" w:rsidRPr="009374BF" w:rsidTr="002526F7">
        <w:trPr>
          <w:trHeight w:val="80"/>
        </w:trPr>
        <w:tc>
          <w:tcPr>
            <w:tcW w:w="4111" w:type="dxa"/>
            <w:shd w:val="clear" w:color="auto" w:fill="auto"/>
          </w:tcPr>
          <w:p w:rsidR="00B50E6D" w:rsidRPr="009374BF" w:rsidRDefault="00B50E6D" w:rsidP="00F4113F">
            <w:pPr>
              <w:jc w:val="both"/>
              <w:rPr>
                <w:rFonts w:ascii="Book Antiqua" w:hAnsi="Book Antiqua"/>
                <w:b/>
              </w:rPr>
            </w:pPr>
          </w:p>
        </w:tc>
        <w:tc>
          <w:tcPr>
            <w:tcW w:w="4915" w:type="dxa"/>
            <w:shd w:val="clear" w:color="auto" w:fill="auto"/>
          </w:tcPr>
          <w:p w:rsidR="00B50E6D" w:rsidRPr="009374BF" w:rsidRDefault="00B50E6D" w:rsidP="00F4113F">
            <w:pPr>
              <w:jc w:val="both"/>
              <w:rPr>
                <w:rFonts w:ascii="Book Antiqua" w:hAnsi="Book Antiqua"/>
                <w:b/>
              </w:rPr>
            </w:pPr>
          </w:p>
        </w:tc>
      </w:tr>
    </w:tbl>
    <w:p w:rsidR="00CF31FD" w:rsidRDefault="00CF31FD" w:rsidP="00B50E6D">
      <w:pPr>
        <w:widowControl w:val="0"/>
        <w:jc w:val="center"/>
        <w:rPr>
          <w:rFonts w:ascii="Book Antiqua" w:hAnsi="Book Antiqua"/>
          <w:b/>
          <w:sz w:val="26"/>
        </w:rPr>
      </w:pPr>
    </w:p>
    <w:p w:rsidR="00B50E6D" w:rsidRPr="00DD1BE9" w:rsidRDefault="00B50E6D" w:rsidP="00B50E6D">
      <w:pPr>
        <w:widowControl w:val="0"/>
        <w:jc w:val="center"/>
        <w:rPr>
          <w:rFonts w:ascii="Book Antiqua" w:hAnsi="Book Antiqua"/>
          <w:b/>
          <w:sz w:val="26"/>
        </w:rPr>
      </w:pPr>
      <w:r w:rsidRPr="00DD1BE9">
        <w:rPr>
          <w:rFonts w:ascii="Book Antiqua" w:hAnsi="Book Antiqua"/>
          <w:b/>
          <w:sz w:val="26"/>
        </w:rPr>
        <w:t>Before</w:t>
      </w:r>
    </w:p>
    <w:p w:rsidR="00B50E6D" w:rsidRPr="00DD1BE9" w:rsidRDefault="00B50E6D" w:rsidP="00B50E6D">
      <w:pPr>
        <w:widowControl w:val="0"/>
        <w:jc w:val="center"/>
        <w:rPr>
          <w:rFonts w:ascii="Book Antiqua" w:hAnsi="Book Antiqua"/>
          <w:b/>
          <w:sz w:val="26"/>
        </w:rPr>
      </w:pPr>
    </w:p>
    <w:p w:rsidR="00B50E6D" w:rsidRPr="00CF31FD" w:rsidRDefault="00CF31FD" w:rsidP="00B50E6D">
      <w:pPr>
        <w:widowControl w:val="0"/>
        <w:jc w:val="center"/>
        <w:rPr>
          <w:rFonts w:ascii="Book Antiqua" w:hAnsi="Book Antiqua"/>
          <w:b/>
        </w:rPr>
      </w:pPr>
      <w:bookmarkStart w:id="1" w:name="Text4"/>
      <w:bookmarkEnd w:id="1"/>
      <w:r w:rsidRPr="00CF31FD">
        <w:rPr>
          <w:rFonts w:ascii="Book Antiqua" w:hAnsi="Book Antiqua"/>
          <w:b/>
        </w:rPr>
        <w:t>UPPER TRIBUNAL JUDGE KEKIĆ</w:t>
      </w:r>
    </w:p>
    <w:p w:rsidR="00B50E6D" w:rsidRPr="00CF31FD" w:rsidRDefault="00B50E6D" w:rsidP="00B50E6D">
      <w:pPr>
        <w:widowControl w:val="0"/>
        <w:jc w:val="center"/>
        <w:rPr>
          <w:rFonts w:ascii="Book Antiqua" w:hAnsi="Book Antiqua"/>
          <w:b/>
        </w:rPr>
      </w:pPr>
    </w:p>
    <w:p w:rsidR="00B50E6D" w:rsidRPr="00CF31FD" w:rsidRDefault="00B50E6D" w:rsidP="00B50E6D">
      <w:pPr>
        <w:widowControl w:val="0"/>
        <w:jc w:val="center"/>
        <w:rPr>
          <w:rFonts w:ascii="Book Antiqua" w:hAnsi="Book Antiqua"/>
          <w:b/>
        </w:rPr>
      </w:pPr>
      <w:r w:rsidRPr="00CF31FD">
        <w:rPr>
          <w:rFonts w:ascii="Book Antiqua" w:hAnsi="Book Antiqua"/>
          <w:b/>
        </w:rPr>
        <w:t>Between</w:t>
      </w:r>
    </w:p>
    <w:p w:rsidR="00B50E6D" w:rsidRPr="00CF31FD" w:rsidRDefault="00B50E6D" w:rsidP="00B50E6D">
      <w:pPr>
        <w:widowControl w:val="0"/>
        <w:rPr>
          <w:rFonts w:ascii="Book Antiqua" w:hAnsi="Book Antiqua"/>
          <w:b/>
        </w:rPr>
      </w:pPr>
      <w:r w:rsidRPr="00CF31FD">
        <w:rPr>
          <w:rFonts w:ascii="Book Antiqua" w:hAnsi="Book Antiqua"/>
          <w:b/>
        </w:rPr>
        <w:tab/>
      </w:r>
      <w:r w:rsidRPr="00CF31FD">
        <w:rPr>
          <w:rFonts w:ascii="Book Antiqua" w:hAnsi="Book Antiqua"/>
          <w:b/>
        </w:rPr>
        <w:tab/>
        <w:t xml:space="preserve">                   </w:t>
      </w:r>
    </w:p>
    <w:p w:rsidR="00B50E6D" w:rsidRPr="00CF31FD" w:rsidRDefault="009E3293" w:rsidP="00B50E6D">
      <w:pPr>
        <w:widowControl w:val="0"/>
        <w:jc w:val="center"/>
        <w:rPr>
          <w:rFonts w:ascii="Book Antiqua" w:hAnsi="Book Antiqua"/>
          <w:b/>
        </w:rPr>
      </w:pPr>
      <w:r w:rsidRPr="00CF31FD">
        <w:rPr>
          <w:rFonts w:ascii="Book Antiqua" w:hAnsi="Book Antiqua"/>
          <w:b/>
        </w:rPr>
        <w:t>M S K</w:t>
      </w:r>
    </w:p>
    <w:p w:rsidR="00B50E6D" w:rsidRPr="00CF31FD" w:rsidRDefault="00CF31FD" w:rsidP="00B50E6D">
      <w:pPr>
        <w:widowControl w:val="0"/>
        <w:jc w:val="center"/>
        <w:rPr>
          <w:rFonts w:ascii="Book Antiqua" w:hAnsi="Book Antiqua"/>
        </w:rPr>
      </w:pPr>
      <w:r w:rsidRPr="00CF31FD">
        <w:rPr>
          <w:rFonts w:ascii="Book Antiqua" w:hAnsi="Book Antiqua"/>
        </w:rPr>
        <w:t>(ANONYMITY ORDER MADE)</w:t>
      </w:r>
    </w:p>
    <w:p w:rsidR="00B50E6D" w:rsidRPr="00CF31FD" w:rsidRDefault="00B50E6D" w:rsidP="00B50E6D">
      <w:pPr>
        <w:widowControl w:val="0"/>
        <w:ind w:firstLine="6480"/>
        <w:jc w:val="center"/>
        <w:rPr>
          <w:rFonts w:ascii="Book Antiqua" w:hAnsi="Book Antiqua"/>
        </w:rPr>
      </w:pPr>
      <w:r w:rsidRPr="00CF31FD">
        <w:rPr>
          <w:rFonts w:ascii="Book Antiqua" w:hAnsi="Book Antiqua"/>
          <w:u w:val="single"/>
        </w:rPr>
        <w:t>Appellant</w:t>
      </w:r>
    </w:p>
    <w:p w:rsidR="00B50E6D" w:rsidRPr="00DD1BE9" w:rsidRDefault="00B50E6D" w:rsidP="00B50E6D">
      <w:pPr>
        <w:widowControl w:val="0"/>
        <w:jc w:val="center"/>
        <w:rPr>
          <w:rFonts w:ascii="Book Antiqua" w:hAnsi="Book Antiqua"/>
          <w:b/>
          <w:sz w:val="26"/>
        </w:rPr>
      </w:pPr>
      <w:r w:rsidRPr="00DD1BE9">
        <w:rPr>
          <w:rFonts w:ascii="Book Antiqua" w:hAnsi="Book Antiqua"/>
          <w:b/>
          <w:sz w:val="26"/>
        </w:rPr>
        <w:t>and</w:t>
      </w:r>
    </w:p>
    <w:p w:rsidR="00B50E6D" w:rsidRPr="00DD1BE9" w:rsidRDefault="00B50E6D" w:rsidP="00B50E6D">
      <w:pPr>
        <w:widowControl w:val="0"/>
        <w:jc w:val="both"/>
        <w:rPr>
          <w:rFonts w:ascii="Book Antiqua" w:hAnsi="Book Antiqua"/>
          <w:b/>
          <w:sz w:val="26"/>
        </w:rPr>
      </w:pPr>
    </w:p>
    <w:p w:rsidR="00B50E6D" w:rsidRPr="00DD1BE9" w:rsidRDefault="00CF31FD" w:rsidP="00CF31FD">
      <w:pPr>
        <w:widowControl w:val="0"/>
        <w:jc w:val="center"/>
        <w:rPr>
          <w:rFonts w:ascii="Book Antiqua" w:hAnsi="Book Antiqua"/>
          <w:b/>
          <w:sz w:val="26"/>
        </w:rPr>
      </w:pPr>
      <w:r w:rsidRPr="00CF31FD">
        <w:rPr>
          <w:rFonts w:ascii="Book Antiqua" w:hAnsi="Book Antiqua"/>
          <w:b/>
        </w:rPr>
        <w:t>SECRETARY OF STATE FOR THE HOME DEPARTMENT</w:t>
      </w:r>
    </w:p>
    <w:p w:rsidR="00B50E6D" w:rsidRPr="00CF31FD" w:rsidRDefault="00B50E6D" w:rsidP="00B50E6D">
      <w:pPr>
        <w:widowControl w:val="0"/>
        <w:ind w:firstLine="6480"/>
        <w:jc w:val="both"/>
        <w:rPr>
          <w:rFonts w:ascii="Book Antiqua" w:hAnsi="Book Antiqua"/>
        </w:rPr>
      </w:pPr>
      <w:r w:rsidRPr="00CF31FD">
        <w:rPr>
          <w:rFonts w:ascii="Book Antiqua" w:hAnsi="Book Antiqua"/>
        </w:rPr>
        <w:t xml:space="preserve">        </w:t>
      </w:r>
      <w:r w:rsidRPr="00CF31FD">
        <w:rPr>
          <w:rFonts w:ascii="Book Antiqua" w:hAnsi="Book Antiqua"/>
          <w:u w:val="single"/>
        </w:rPr>
        <w:t>Respondent</w:t>
      </w:r>
      <w:r w:rsidRPr="00CF31FD">
        <w:rPr>
          <w:rFonts w:ascii="Book Antiqua" w:hAnsi="Book Antiqua"/>
        </w:rPr>
        <w:tab/>
      </w:r>
    </w:p>
    <w:p w:rsidR="00B50E6D" w:rsidRPr="00DD1BE9" w:rsidRDefault="00B50E6D" w:rsidP="00B50E6D">
      <w:pPr>
        <w:widowControl w:val="0"/>
        <w:jc w:val="center"/>
        <w:rPr>
          <w:rFonts w:ascii="Book Antiqua" w:hAnsi="Book Antiqua"/>
          <w:b/>
          <w:sz w:val="28"/>
          <w:u w:val="single"/>
        </w:rPr>
      </w:pPr>
    </w:p>
    <w:p w:rsidR="00CF31FD" w:rsidRDefault="00CF31FD" w:rsidP="00B50E6D">
      <w:pPr>
        <w:widowControl w:val="0"/>
        <w:jc w:val="both"/>
        <w:rPr>
          <w:rFonts w:ascii="Book Antiqua" w:hAnsi="Book Antiqua"/>
          <w:b/>
          <w:u w:val="single"/>
        </w:rPr>
      </w:pPr>
    </w:p>
    <w:p w:rsidR="00B50E6D" w:rsidRDefault="00B50E6D" w:rsidP="00B50E6D">
      <w:pPr>
        <w:widowControl w:val="0"/>
        <w:jc w:val="both"/>
        <w:rPr>
          <w:rFonts w:ascii="Book Antiqua" w:hAnsi="Book Antiqua"/>
          <w:b/>
          <w:u w:val="single"/>
        </w:rPr>
      </w:pPr>
      <w:r w:rsidRPr="00DD1BE9">
        <w:rPr>
          <w:rFonts w:ascii="Book Antiqua" w:hAnsi="Book Antiqua"/>
          <w:b/>
          <w:u w:val="single"/>
        </w:rPr>
        <w:t>Representation</w:t>
      </w:r>
      <w:r w:rsidR="00CF31FD">
        <w:rPr>
          <w:rFonts w:ascii="Book Antiqua" w:hAnsi="Book Antiqua"/>
          <w:b/>
          <w:u w:val="single"/>
        </w:rPr>
        <w:t>:</w:t>
      </w:r>
    </w:p>
    <w:p w:rsidR="00CF31FD" w:rsidRPr="00DD1BE9" w:rsidRDefault="00CF31FD" w:rsidP="00B50E6D">
      <w:pPr>
        <w:widowControl w:val="0"/>
        <w:jc w:val="both"/>
        <w:rPr>
          <w:rFonts w:ascii="Book Antiqua" w:hAnsi="Book Antiqua"/>
        </w:rPr>
      </w:pPr>
    </w:p>
    <w:p w:rsidR="00B50E6D" w:rsidRPr="00DD1BE9" w:rsidRDefault="00B50E6D" w:rsidP="00B50E6D">
      <w:pPr>
        <w:widowControl w:val="0"/>
        <w:ind w:left="2880" w:hanging="2880"/>
        <w:jc w:val="both"/>
        <w:rPr>
          <w:rFonts w:ascii="Book Antiqua" w:hAnsi="Book Antiqua"/>
        </w:rPr>
      </w:pPr>
      <w:r w:rsidRPr="00DD1BE9">
        <w:rPr>
          <w:rFonts w:ascii="Book Antiqua" w:hAnsi="Book Antiqua"/>
        </w:rPr>
        <w:t>F</w:t>
      </w:r>
      <w:smartTag w:uri="urn:schemas-microsoft-com:office:smarttags" w:element="PersonName">
        <w:r w:rsidRPr="00DD1BE9">
          <w:rPr>
            <w:rFonts w:ascii="Book Antiqua" w:hAnsi="Book Antiqua"/>
          </w:rPr>
          <w:t>or</w:t>
        </w:r>
      </w:smartTag>
      <w:r w:rsidRPr="00DD1BE9">
        <w:rPr>
          <w:rFonts w:ascii="Book Antiqua" w:hAnsi="Book Antiqua"/>
        </w:rPr>
        <w:t xml:space="preserve"> the Appellant:</w:t>
      </w:r>
      <w:r w:rsidRPr="00DD1BE9">
        <w:rPr>
          <w:rFonts w:ascii="Book Antiqua" w:hAnsi="Book Antiqua"/>
        </w:rPr>
        <w:tab/>
      </w:r>
      <w:r>
        <w:rPr>
          <w:rFonts w:ascii="Book Antiqua" w:hAnsi="Book Antiqua"/>
        </w:rPr>
        <w:t xml:space="preserve">Mr K Smyth, Solicitor Advocate, </w:t>
      </w:r>
      <w:proofErr w:type="spellStart"/>
      <w:r>
        <w:rPr>
          <w:rFonts w:ascii="Book Antiqua" w:hAnsi="Book Antiqua"/>
        </w:rPr>
        <w:t>Kesar</w:t>
      </w:r>
      <w:proofErr w:type="spellEnd"/>
      <w:r>
        <w:rPr>
          <w:rFonts w:ascii="Book Antiqua" w:hAnsi="Book Antiqua"/>
        </w:rPr>
        <w:t xml:space="preserve"> &amp; Co solicitors   </w:t>
      </w:r>
    </w:p>
    <w:p w:rsidR="00B50E6D" w:rsidRDefault="00B50E6D" w:rsidP="00B50E6D">
      <w:pPr>
        <w:widowControl w:val="0"/>
        <w:ind w:left="2880" w:hanging="2880"/>
        <w:jc w:val="both"/>
        <w:rPr>
          <w:rFonts w:ascii="Book Antiqua" w:hAnsi="Book Antiqua"/>
        </w:rPr>
      </w:pPr>
      <w:r w:rsidRPr="00DD1BE9">
        <w:rPr>
          <w:rFonts w:ascii="Book Antiqua" w:hAnsi="Book Antiqua"/>
        </w:rPr>
        <w:t>F</w:t>
      </w:r>
      <w:smartTag w:uri="urn:schemas-microsoft-com:office:smarttags" w:element="PersonName">
        <w:r w:rsidRPr="00DD1BE9">
          <w:rPr>
            <w:rFonts w:ascii="Book Antiqua" w:hAnsi="Book Antiqua"/>
          </w:rPr>
          <w:t>or</w:t>
        </w:r>
      </w:smartTag>
      <w:r>
        <w:rPr>
          <w:rFonts w:ascii="Book Antiqua" w:hAnsi="Book Antiqua"/>
        </w:rPr>
        <w:t xml:space="preserve"> the Respondent:</w:t>
      </w:r>
      <w:r>
        <w:rPr>
          <w:rFonts w:ascii="Book Antiqua" w:hAnsi="Book Antiqua"/>
        </w:rPr>
        <w:tab/>
        <w:t>Ms Z Ahmed</w:t>
      </w:r>
      <w:r w:rsidRPr="00DD1BE9">
        <w:rPr>
          <w:rFonts w:ascii="Book Antiqua" w:hAnsi="Book Antiqua"/>
        </w:rPr>
        <w:t xml:space="preserve">, </w:t>
      </w:r>
      <w:r>
        <w:rPr>
          <w:rFonts w:ascii="Book Antiqua" w:hAnsi="Book Antiqua"/>
        </w:rPr>
        <w:t xml:space="preserve">Senior </w:t>
      </w:r>
      <w:r w:rsidRPr="00DD1BE9">
        <w:rPr>
          <w:rFonts w:ascii="Book Antiqua" w:hAnsi="Book Antiqua"/>
        </w:rPr>
        <w:t xml:space="preserve">Home Office Presenting Officer  </w:t>
      </w:r>
    </w:p>
    <w:p w:rsidR="00CF31FD" w:rsidRDefault="00CF31FD" w:rsidP="00B50E6D">
      <w:pPr>
        <w:widowControl w:val="0"/>
        <w:ind w:left="2880" w:hanging="2880"/>
        <w:jc w:val="both"/>
        <w:rPr>
          <w:rFonts w:ascii="Book Antiqua" w:hAnsi="Book Antiqua"/>
        </w:rPr>
      </w:pPr>
    </w:p>
    <w:p w:rsidR="00CF31FD" w:rsidRPr="00CF31FD" w:rsidRDefault="00CF31FD" w:rsidP="00CF31FD">
      <w:pPr>
        <w:widowControl w:val="0"/>
        <w:jc w:val="center"/>
        <w:rPr>
          <w:rFonts w:ascii="Book Antiqua" w:hAnsi="Book Antiqua"/>
        </w:rPr>
      </w:pPr>
      <w:r w:rsidRPr="00CF31FD">
        <w:rPr>
          <w:rFonts w:ascii="Book Antiqua" w:hAnsi="Book Antiqua"/>
          <w:b/>
          <w:u w:val="single"/>
        </w:rPr>
        <w:t>DETERMINATION AND REASONS</w:t>
      </w:r>
    </w:p>
    <w:p w:rsidR="00CF31FD" w:rsidRPr="00DD1BE9" w:rsidRDefault="00CF31FD" w:rsidP="00B50E6D">
      <w:pPr>
        <w:widowControl w:val="0"/>
        <w:ind w:left="2880" w:hanging="2880"/>
        <w:jc w:val="both"/>
        <w:rPr>
          <w:rFonts w:ascii="Book Antiqua" w:hAnsi="Book Antiqua"/>
        </w:rPr>
      </w:pPr>
    </w:p>
    <w:p w:rsidR="00B50E6D" w:rsidRDefault="00B50E6D" w:rsidP="00B50E6D">
      <w:pPr>
        <w:tabs>
          <w:tab w:val="left" w:pos="2520"/>
        </w:tabs>
        <w:jc w:val="both"/>
        <w:rPr>
          <w:rFonts w:ascii="Book Antiqua" w:hAnsi="Book Antiqua"/>
          <w:b/>
        </w:rPr>
      </w:pPr>
    </w:p>
    <w:p w:rsidR="00B50E6D" w:rsidRPr="00DD1BE9" w:rsidRDefault="00B50E6D" w:rsidP="00B50E6D">
      <w:pPr>
        <w:tabs>
          <w:tab w:val="left" w:pos="2520"/>
        </w:tabs>
        <w:jc w:val="both"/>
        <w:rPr>
          <w:rFonts w:ascii="Book Antiqua" w:hAnsi="Book Antiqua"/>
          <w:b/>
        </w:rPr>
      </w:pPr>
      <w:r>
        <w:rPr>
          <w:rFonts w:ascii="Book Antiqua" w:hAnsi="Book Antiqua"/>
          <w:b/>
        </w:rPr>
        <w:t>Background</w:t>
      </w:r>
      <w:r w:rsidR="00526985">
        <w:rPr>
          <w:rFonts w:ascii="Book Antiqua" w:hAnsi="Book Antiqua"/>
          <w:b/>
        </w:rPr>
        <w:t xml:space="preserve"> and conclusions </w:t>
      </w:r>
    </w:p>
    <w:p w:rsidR="00B50E6D" w:rsidRPr="00DD1BE9" w:rsidRDefault="00B50E6D" w:rsidP="00B50E6D">
      <w:pPr>
        <w:widowControl w:val="0"/>
        <w:jc w:val="both"/>
        <w:rPr>
          <w:rFonts w:ascii="Book Antiqua" w:hAnsi="Book Antiqua"/>
        </w:rPr>
      </w:pPr>
      <w:r w:rsidRPr="00DD1BE9">
        <w:rPr>
          <w:rFonts w:ascii="Book Antiqua" w:hAnsi="Book Antiqua"/>
        </w:rPr>
        <w:tab/>
      </w:r>
    </w:p>
    <w:p w:rsidR="00B50E6D" w:rsidRPr="00FF1604" w:rsidRDefault="00B50E6D" w:rsidP="00B50E6D">
      <w:pPr>
        <w:pStyle w:val="Level1"/>
        <w:widowControl/>
        <w:numPr>
          <w:ilvl w:val="0"/>
          <w:numId w:val="1"/>
        </w:numPr>
        <w:ind w:left="720" w:hanging="720"/>
        <w:jc w:val="both"/>
        <w:rPr>
          <w:rFonts w:ascii="Book Antiqua" w:hAnsi="Book Antiqua" w:cs="Arial"/>
          <w:b/>
        </w:rPr>
      </w:pPr>
      <w:r w:rsidRPr="00DD1BE9">
        <w:rPr>
          <w:rFonts w:ascii="Book Antiqua" w:hAnsi="Book Antiqua" w:cs="Arial"/>
        </w:rPr>
        <w:t xml:space="preserve"> </w:t>
      </w:r>
      <w:r w:rsidRPr="00DD1BE9">
        <w:rPr>
          <w:rFonts w:ascii="Book Antiqua" w:hAnsi="Book Antiqua" w:cs="Arial"/>
        </w:rPr>
        <w:tab/>
      </w:r>
      <w:r>
        <w:rPr>
          <w:rFonts w:ascii="Book Antiqua" w:hAnsi="Book Antiqua" w:cs="Arial"/>
        </w:rPr>
        <w:t xml:space="preserve">This appeal comes before me following the grant of permission to the appellant by First-tier Tribunal Judge Hollingworth on 22 September 2017 in respect of the determination of First-tier Tribunal Judge Brewer who dismissed the appeal by way of a determination dated 12 June 2017. </w:t>
      </w:r>
      <w:r w:rsidRPr="00DD1BE9">
        <w:rPr>
          <w:rFonts w:ascii="Book Antiqua" w:hAnsi="Book Antiqua" w:cs="Arial"/>
        </w:rPr>
        <w:t xml:space="preserve"> </w:t>
      </w:r>
    </w:p>
    <w:p w:rsidR="00B50E6D" w:rsidRPr="001D0BB2" w:rsidRDefault="00B50E6D" w:rsidP="00B50E6D">
      <w:pPr>
        <w:pStyle w:val="Level1"/>
        <w:widowControl/>
        <w:jc w:val="both"/>
        <w:rPr>
          <w:rFonts w:ascii="Book Antiqua" w:hAnsi="Book Antiqua" w:cs="Arial"/>
          <w:b/>
        </w:rPr>
      </w:pPr>
    </w:p>
    <w:p w:rsidR="00B50E6D" w:rsidRDefault="00B50E6D" w:rsidP="00B50E6D">
      <w:pPr>
        <w:pStyle w:val="Level1"/>
        <w:widowControl/>
        <w:numPr>
          <w:ilvl w:val="0"/>
          <w:numId w:val="1"/>
        </w:numPr>
        <w:ind w:left="720" w:hanging="720"/>
        <w:jc w:val="both"/>
        <w:rPr>
          <w:rFonts w:ascii="Book Antiqua" w:hAnsi="Book Antiqua" w:cs="Arial"/>
        </w:rPr>
      </w:pPr>
      <w:r w:rsidRPr="00DD1BE9">
        <w:rPr>
          <w:rFonts w:ascii="Book Antiqua" w:hAnsi="Book Antiqua" w:cs="Arial"/>
        </w:rPr>
        <w:t xml:space="preserve"> </w:t>
      </w:r>
      <w:r w:rsidRPr="00DD1BE9">
        <w:rPr>
          <w:rFonts w:ascii="Book Antiqua" w:hAnsi="Book Antiqua" w:cs="Arial"/>
        </w:rPr>
        <w:tab/>
        <w:t xml:space="preserve">The </w:t>
      </w:r>
      <w:r>
        <w:rPr>
          <w:rFonts w:ascii="Book Antiqua" w:hAnsi="Book Antiqua" w:cs="Arial"/>
        </w:rPr>
        <w:t xml:space="preserve">appellant is an Afghan national and it is accepted that he was born on 19 January 2004 and was aged 13 at the date of his hearing. He has been granted </w:t>
      </w:r>
      <w:r>
        <w:rPr>
          <w:rFonts w:ascii="Book Antiqua" w:hAnsi="Book Antiqua" w:cs="Arial"/>
        </w:rPr>
        <w:lastRenderedPageBreak/>
        <w:t xml:space="preserve">discretionary leave but challenges the decision of the respondent dated 7 April 2017 to refuse his claim for protection.       </w:t>
      </w:r>
    </w:p>
    <w:p w:rsidR="00B50E6D" w:rsidRDefault="00B50E6D" w:rsidP="00B50E6D">
      <w:pPr>
        <w:pStyle w:val="Level1"/>
        <w:widowControl/>
        <w:jc w:val="both"/>
        <w:rPr>
          <w:rFonts w:ascii="Book Antiqua" w:hAnsi="Book Antiqua" w:cs="Arial"/>
        </w:rPr>
      </w:pPr>
    </w:p>
    <w:p w:rsidR="00B50E6D" w:rsidRDefault="00B50E6D" w:rsidP="00B50E6D">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Several serious criticisms are made against the judge; mostly these pertain to his conduct at the hearing and towards the appellant. </w:t>
      </w:r>
    </w:p>
    <w:p w:rsidR="00B50E6D" w:rsidRDefault="00B50E6D" w:rsidP="00B50E6D">
      <w:pPr>
        <w:pStyle w:val="ListParagraph"/>
        <w:rPr>
          <w:rFonts w:ascii="Book Antiqua" w:hAnsi="Book Antiqua"/>
        </w:rPr>
      </w:pPr>
    </w:p>
    <w:p w:rsidR="00B50E6D" w:rsidRDefault="00B50E6D" w:rsidP="00B50E6D">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When the matter first came before the Upper Tribunal, it was considered appropriate to refer the complaints to Judge Brewer and to invite him for his comments. This was done but the judge has failed to respond. The matter was therefore relisted and now comes before me. </w:t>
      </w:r>
    </w:p>
    <w:p w:rsidR="00B50E6D" w:rsidRDefault="00B50E6D" w:rsidP="00B50E6D">
      <w:pPr>
        <w:pStyle w:val="ListParagraph"/>
        <w:rPr>
          <w:rFonts w:ascii="Book Antiqua" w:hAnsi="Book Antiqua"/>
        </w:rPr>
      </w:pPr>
    </w:p>
    <w:p w:rsidR="00526985" w:rsidRDefault="00B50E6D" w:rsidP="00B50E6D">
      <w:pPr>
        <w:pStyle w:val="Level1"/>
        <w:widowControl/>
        <w:numPr>
          <w:ilvl w:val="0"/>
          <w:numId w:val="1"/>
        </w:numPr>
        <w:ind w:left="720" w:hanging="720"/>
        <w:jc w:val="both"/>
        <w:rPr>
          <w:rFonts w:ascii="Book Antiqua" w:hAnsi="Book Antiqua" w:cs="Arial"/>
        </w:rPr>
      </w:pPr>
      <w:r w:rsidRPr="00B50E6D">
        <w:rPr>
          <w:rFonts w:ascii="Book Antiqua" w:hAnsi="Book Antiqua" w:cs="Arial"/>
        </w:rPr>
        <w:t xml:space="preserve">  </w:t>
      </w:r>
      <w:r w:rsidRPr="00B50E6D">
        <w:rPr>
          <w:rFonts w:ascii="Book Antiqua" w:hAnsi="Book Antiqua" w:cs="Arial"/>
        </w:rPr>
        <w:tab/>
        <w:t xml:space="preserve">The appellant was present at the hearing. </w:t>
      </w:r>
      <w:r>
        <w:rPr>
          <w:rFonts w:ascii="Book Antiqua" w:hAnsi="Book Antiqua" w:cs="Arial"/>
        </w:rPr>
        <w:t xml:space="preserve">I notified the parties of the steps that had been taken to obtain the judge’s comments and the absence of a response. Ms Ahmed wished to read out the Presenting Officer’s note on file to the court before </w:t>
      </w:r>
      <w:r w:rsidR="00526985">
        <w:rPr>
          <w:rFonts w:ascii="Book Antiqua" w:hAnsi="Book Antiqua" w:cs="Arial"/>
        </w:rPr>
        <w:t>matters proceeded further and I permitted her to do so. The record stated that the judge’s questioning of the appellant was excessive and inappropriate. Given those observations, she indicated that she could not resist the appellant’s application for a remittal. Mr Smyth confirmed he was content with that position.</w:t>
      </w:r>
    </w:p>
    <w:p w:rsidR="00526985" w:rsidRDefault="00526985" w:rsidP="00526985">
      <w:pPr>
        <w:pStyle w:val="ListParagraph"/>
        <w:rPr>
          <w:rFonts w:ascii="Book Antiqua" w:hAnsi="Book Antiqua"/>
        </w:rPr>
      </w:pPr>
    </w:p>
    <w:p w:rsidR="00B50E6D" w:rsidRPr="00526985" w:rsidRDefault="00B50E6D" w:rsidP="00B50E6D">
      <w:pPr>
        <w:pStyle w:val="Level1"/>
        <w:widowControl/>
        <w:numPr>
          <w:ilvl w:val="0"/>
          <w:numId w:val="1"/>
        </w:numPr>
        <w:ind w:left="720" w:hanging="720"/>
        <w:jc w:val="both"/>
        <w:rPr>
          <w:rFonts w:ascii="Book Antiqua" w:hAnsi="Book Antiqua" w:cs="Arial"/>
        </w:rPr>
      </w:pPr>
      <w:r w:rsidRPr="00526985">
        <w:rPr>
          <w:rFonts w:ascii="Book Antiqua" w:hAnsi="Book Antiqua" w:cs="Arial"/>
        </w:rPr>
        <w:t xml:space="preserve"> </w:t>
      </w:r>
      <w:r w:rsidRPr="00526985">
        <w:rPr>
          <w:rFonts w:ascii="Book Antiqua" w:hAnsi="Book Antiqua" w:cs="Arial"/>
        </w:rPr>
        <w:tab/>
        <w:t xml:space="preserve">I am grateful to both sides for their assistance.  </w:t>
      </w:r>
      <w:r w:rsidR="00526985">
        <w:rPr>
          <w:rFonts w:ascii="Book Antiqua" w:hAnsi="Book Antiqua" w:cs="Arial"/>
        </w:rPr>
        <w:t xml:space="preserve">Fortunately, such a scenario is rare but that does not excuse the judge’s conduct nor is it any consolation to the appellant who was, apparently, reduced to tears by the aggressive questioning. In such circumstances, and where the judge in question has not taken the opportunity to put forward his side, I have no option but to set aside the determination in its entirety and to remit the appeal to the First-tier Tribunal for a fresh hearing before another judge of that Tribunal. </w:t>
      </w:r>
      <w:r w:rsidR="00526985" w:rsidRPr="008726AF">
        <w:rPr>
          <w:rFonts w:ascii="Book Antiqua" w:hAnsi="Book Antiqua" w:cs="Arial"/>
        </w:rPr>
        <w:t>No findings are preserved.</w:t>
      </w:r>
      <w:r w:rsidR="00526985">
        <w:rPr>
          <w:rFonts w:ascii="Book Antiqua" w:hAnsi="Book Antiqua" w:cs="Arial"/>
        </w:rPr>
        <w:t xml:space="preserve"> Given the appellant’s young age and vulnerability, it is hoped that the delay in scheduling a hearing will be minimal</w:t>
      </w:r>
      <w:r w:rsidRPr="00526985">
        <w:rPr>
          <w:rFonts w:ascii="Book Antiqua" w:hAnsi="Book Antiqua" w:cs="Arial"/>
        </w:rPr>
        <w:t xml:space="preserve">. </w:t>
      </w:r>
    </w:p>
    <w:p w:rsidR="00B50E6D" w:rsidRDefault="00B50E6D" w:rsidP="00B50E6D">
      <w:pPr>
        <w:pStyle w:val="Level1"/>
        <w:widowControl/>
        <w:ind w:left="720"/>
        <w:jc w:val="both"/>
        <w:rPr>
          <w:rFonts w:ascii="Book Antiqua" w:hAnsi="Book Antiqua" w:cs="Arial"/>
        </w:rPr>
      </w:pPr>
    </w:p>
    <w:p w:rsidR="00B50E6D" w:rsidRPr="00526985" w:rsidRDefault="00B50E6D" w:rsidP="00526985">
      <w:pPr>
        <w:pStyle w:val="Level1"/>
        <w:widowControl/>
        <w:jc w:val="both"/>
        <w:rPr>
          <w:rFonts w:ascii="Book Antiqua" w:hAnsi="Book Antiqua"/>
          <w:b/>
        </w:rPr>
      </w:pPr>
      <w:r w:rsidRPr="00526985">
        <w:rPr>
          <w:rFonts w:ascii="Book Antiqua" w:hAnsi="Book Antiqua"/>
          <w:b/>
        </w:rPr>
        <w:t xml:space="preserve">Decision </w:t>
      </w:r>
    </w:p>
    <w:p w:rsidR="00B50E6D" w:rsidRPr="00DD1BE9" w:rsidRDefault="00B50E6D" w:rsidP="00B50E6D">
      <w:pPr>
        <w:jc w:val="both"/>
        <w:rPr>
          <w:rFonts w:ascii="Book Antiqua" w:hAnsi="Book Antiqua"/>
        </w:rPr>
      </w:pPr>
    </w:p>
    <w:p w:rsidR="00B50E6D" w:rsidRDefault="00B50E6D" w:rsidP="00B50E6D">
      <w:pPr>
        <w:pStyle w:val="Level1"/>
        <w:widowControl/>
        <w:numPr>
          <w:ilvl w:val="0"/>
          <w:numId w:val="1"/>
        </w:numPr>
        <w:ind w:left="720" w:hanging="720"/>
        <w:jc w:val="both"/>
        <w:rPr>
          <w:rFonts w:ascii="Book Antiqua" w:hAnsi="Book Antiqua" w:cs="Arial"/>
        </w:rPr>
      </w:pPr>
      <w:r w:rsidRPr="00DD1BE9">
        <w:rPr>
          <w:rFonts w:ascii="Book Antiqua" w:hAnsi="Book Antiqua" w:cs="Arial"/>
        </w:rPr>
        <w:t xml:space="preserve"> </w:t>
      </w:r>
      <w:r w:rsidRPr="00DD1BE9">
        <w:rPr>
          <w:rFonts w:ascii="Book Antiqua" w:hAnsi="Book Antiqua" w:cs="Arial"/>
        </w:rPr>
        <w:tab/>
      </w:r>
      <w:r>
        <w:rPr>
          <w:rFonts w:ascii="Book Antiqua" w:hAnsi="Book Antiqua" w:cs="Arial"/>
        </w:rPr>
        <w:t>The First-tier Tribunal Judge made errors of law such that his decision must be set aside and re-made by another judge of that Tribunal at a date</w:t>
      </w:r>
      <w:r w:rsidR="00526985">
        <w:rPr>
          <w:rFonts w:ascii="Book Antiqua" w:hAnsi="Book Antiqua" w:cs="Arial"/>
        </w:rPr>
        <w:t xml:space="preserve"> to be arranged</w:t>
      </w:r>
      <w:r>
        <w:rPr>
          <w:rFonts w:ascii="Book Antiqua" w:hAnsi="Book Antiqua" w:cs="Arial"/>
        </w:rPr>
        <w:t xml:space="preserve">.  </w:t>
      </w:r>
    </w:p>
    <w:p w:rsidR="00B50E6D" w:rsidRDefault="00B50E6D" w:rsidP="00B50E6D">
      <w:pPr>
        <w:pStyle w:val="Level1"/>
        <w:widowControl/>
        <w:jc w:val="both"/>
        <w:rPr>
          <w:rFonts w:ascii="Book Antiqua" w:hAnsi="Book Antiqua" w:cs="Arial"/>
        </w:rPr>
      </w:pPr>
    </w:p>
    <w:p w:rsidR="00B50E6D" w:rsidRPr="00767E2B" w:rsidRDefault="00B50E6D" w:rsidP="00B50E6D">
      <w:pPr>
        <w:pStyle w:val="Level1"/>
        <w:widowControl/>
        <w:jc w:val="both"/>
        <w:rPr>
          <w:rFonts w:ascii="Book Antiqua" w:hAnsi="Book Antiqua" w:cs="Arial"/>
          <w:b/>
        </w:rPr>
      </w:pPr>
      <w:r w:rsidRPr="00767E2B">
        <w:rPr>
          <w:rFonts w:ascii="Book Antiqua" w:hAnsi="Book Antiqua" w:cs="Arial"/>
          <w:b/>
        </w:rPr>
        <w:t>Directions</w:t>
      </w:r>
    </w:p>
    <w:p w:rsidR="00B50E6D" w:rsidRDefault="00B50E6D" w:rsidP="00B50E6D">
      <w:pPr>
        <w:pStyle w:val="Level1"/>
        <w:widowControl/>
        <w:jc w:val="both"/>
        <w:rPr>
          <w:rFonts w:ascii="Book Antiqua" w:hAnsi="Book Antiqua" w:cs="Arial"/>
        </w:rPr>
      </w:pPr>
    </w:p>
    <w:p w:rsidR="00B50E6D" w:rsidRDefault="00B50E6D" w:rsidP="00B50E6D">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No later than five working days prior to the resumed hearing, the appellant shall file and serve a skeleton argument and full statement </w:t>
      </w:r>
      <w:r w:rsidR="00526985">
        <w:rPr>
          <w:rFonts w:ascii="Book Antiqua" w:hAnsi="Book Antiqua" w:cs="Arial"/>
        </w:rPr>
        <w:t>unless this has already been done</w:t>
      </w:r>
      <w:r>
        <w:rPr>
          <w:rFonts w:ascii="Book Antiqua" w:hAnsi="Book Antiqua" w:cs="Arial"/>
        </w:rPr>
        <w:t xml:space="preserve">.  </w:t>
      </w:r>
    </w:p>
    <w:p w:rsidR="00B50E6D" w:rsidRDefault="00B50E6D" w:rsidP="00B50E6D">
      <w:pPr>
        <w:pStyle w:val="Level1"/>
        <w:widowControl/>
        <w:jc w:val="both"/>
        <w:rPr>
          <w:rFonts w:ascii="Book Antiqua" w:hAnsi="Book Antiqua" w:cs="Arial"/>
        </w:rPr>
      </w:pPr>
    </w:p>
    <w:p w:rsidR="00B50E6D" w:rsidRDefault="00B50E6D" w:rsidP="00B50E6D">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Any other documentary evidence relied on and which has not already been submitted must also be filed within the same time frame.  </w:t>
      </w:r>
    </w:p>
    <w:p w:rsidR="00B50E6D" w:rsidRDefault="00B50E6D" w:rsidP="00B50E6D">
      <w:pPr>
        <w:pStyle w:val="Level1"/>
        <w:widowControl/>
        <w:jc w:val="both"/>
        <w:rPr>
          <w:rFonts w:ascii="Book Antiqua" w:hAnsi="Book Antiqua" w:cs="Arial"/>
        </w:rPr>
      </w:pPr>
    </w:p>
    <w:p w:rsidR="00B50E6D" w:rsidRDefault="00B50E6D" w:rsidP="00B50E6D">
      <w:pPr>
        <w:pStyle w:val="Level1"/>
        <w:widowControl/>
        <w:numPr>
          <w:ilvl w:val="0"/>
          <w:numId w:val="1"/>
        </w:numPr>
        <w:ind w:left="720" w:hanging="720"/>
        <w:jc w:val="both"/>
        <w:rPr>
          <w:rFonts w:ascii="Book Antiqua" w:hAnsi="Book Antiqua" w:cs="Arial"/>
        </w:rPr>
      </w:pPr>
      <w:r>
        <w:rPr>
          <w:rFonts w:ascii="Book Antiqua" w:hAnsi="Book Antiqua" w:cs="Arial"/>
        </w:rPr>
        <w:lastRenderedPageBreak/>
        <w:t xml:space="preserve"> </w:t>
      </w:r>
      <w:r>
        <w:rPr>
          <w:rFonts w:ascii="Book Antiqua" w:hAnsi="Book Antiqua" w:cs="Arial"/>
        </w:rPr>
        <w:tab/>
        <w:t xml:space="preserve">A hearing time of </w:t>
      </w:r>
      <w:r w:rsidR="00526985">
        <w:rPr>
          <w:rFonts w:ascii="Book Antiqua" w:hAnsi="Book Antiqua" w:cs="Arial"/>
        </w:rPr>
        <w:t xml:space="preserve">2 </w:t>
      </w:r>
      <w:r>
        <w:rPr>
          <w:rFonts w:ascii="Book Antiqua" w:hAnsi="Book Antiqua" w:cs="Arial"/>
        </w:rPr>
        <w:t xml:space="preserve">hours shall be allocated as agreed by the parties and a </w:t>
      </w:r>
      <w:proofErr w:type="spellStart"/>
      <w:r w:rsidR="00526985">
        <w:rPr>
          <w:rFonts w:ascii="Book Antiqua" w:hAnsi="Book Antiqua" w:cs="Arial"/>
        </w:rPr>
        <w:t>Pushtu</w:t>
      </w:r>
      <w:proofErr w:type="spellEnd"/>
      <w:r w:rsidR="00526985">
        <w:rPr>
          <w:rFonts w:ascii="Book Antiqua" w:hAnsi="Book Antiqua" w:cs="Arial"/>
        </w:rPr>
        <w:t xml:space="preserve"> </w:t>
      </w:r>
      <w:r>
        <w:rPr>
          <w:rFonts w:ascii="Book Antiqua" w:hAnsi="Book Antiqua" w:cs="Arial"/>
        </w:rPr>
        <w:t xml:space="preserve">interpreter shall be arranged. </w:t>
      </w:r>
    </w:p>
    <w:p w:rsidR="00526985" w:rsidRDefault="00526985" w:rsidP="00526985">
      <w:pPr>
        <w:pStyle w:val="ListParagraph"/>
        <w:rPr>
          <w:rFonts w:ascii="Book Antiqua" w:hAnsi="Book Antiqua"/>
        </w:rPr>
      </w:pPr>
    </w:p>
    <w:p w:rsidR="00526985" w:rsidRPr="00526985" w:rsidRDefault="00526985" w:rsidP="00526985">
      <w:pPr>
        <w:pStyle w:val="Level1"/>
        <w:widowControl/>
        <w:jc w:val="both"/>
        <w:rPr>
          <w:rFonts w:ascii="Book Antiqua" w:hAnsi="Book Antiqua" w:cs="Arial"/>
          <w:b/>
        </w:rPr>
      </w:pPr>
      <w:r w:rsidRPr="00526985">
        <w:rPr>
          <w:rFonts w:ascii="Book Antiqua" w:hAnsi="Book Antiqua" w:cs="Arial"/>
          <w:b/>
        </w:rPr>
        <w:t>Anonymity</w:t>
      </w:r>
    </w:p>
    <w:p w:rsidR="00526985" w:rsidRDefault="00526985" w:rsidP="00526985">
      <w:pPr>
        <w:pStyle w:val="ListParagraph"/>
        <w:rPr>
          <w:rFonts w:ascii="Book Antiqua" w:hAnsi="Book Antiqua"/>
        </w:rPr>
      </w:pPr>
    </w:p>
    <w:p w:rsidR="00526985" w:rsidRDefault="00526985" w:rsidP="00B50E6D">
      <w:pPr>
        <w:pStyle w:val="Level1"/>
        <w:widowControl/>
        <w:numPr>
          <w:ilvl w:val="0"/>
          <w:numId w:val="1"/>
        </w:numPr>
        <w:ind w:left="720" w:hanging="720"/>
        <w:jc w:val="both"/>
        <w:rPr>
          <w:rFonts w:ascii="Book Antiqua" w:hAnsi="Book Antiqua" w:cs="Arial"/>
        </w:rPr>
      </w:pPr>
      <w:r>
        <w:rPr>
          <w:rFonts w:ascii="Book Antiqua" w:hAnsi="Book Antiqua" w:cs="Arial"/>
        </w:rPr>
        <w:t xml:space="preserve"> </w:t>
      </w:r>
      <w:r>
        <w:rPr>
          <w:rFonts w:ascii="Book Antiqua" w:hAnsi="Book Antiqua" w:cs="Arial"/>
        </w:rPr>
        <w:tab/>
        <w:t xml:space="preserve">I continue the anonymity order made by the First-tier Tribunal. </w:t>
      </w:r>
    </w:p>
    <w:p w:rsidR="00B50E6D" w:rsidRDefault="00B50E6D" w:rsidP="00B50E6D">
      <w:pPr>
        <w:pStyle w:val="ListParagraph"/>
        <w:rPr>
          <w:rFonts w:ascii="Book Antiqua" w:hAnsi="Book Antiqua"/>
        </w:rPr>
      </w:pPr>
    </w:p>
    <w:p w:rsidR="00B50E6D" w:rsidRPr="00DD1BE9" w:rsidRDefault="00B50E6D" w:rsidP="00526985">
      <w:pPr>
        <w:pStyle w:val="Level1"/>
        <w:widowControl/>
        <w:ind w:left="720"/>
        <w:jc w:val="both"/>
        <w:rPr>
          <w:rFonts w:ascii="Book Antiqua" w:hAnsi="Book Antiqua" w:cs="Arial"/>
        </w:rPr>
      </w:pPr>
    </w:p>
    <w:p w:rsidR="00B50E6D" w:rsidRDefault="00B50E6D" w:rsidP="00B50E6D">
      <w:pPr>
        <w:pStyle w:val="Level1"/>
        <w:widowControl/>
        <w:jc w:val="both"/>
        <w:rPr>
          <w:rFonts w:ascii="Book Antiqua" w:hAnsi="Book Antiqua" w:cs="Arial"/>
          <w:b/>
        </w:rPr>
      </w:pPr>
    </w:p>
    <w:p w:rsidR="00B50E6D" w:rsidRPr="00DD1BE9" w:rsidRDefault="00B50E6D" w:rsidP="00B50E6D">
      <w:pPr>
        <w:pStyle w:val="Level1"/>
        <w:widowControl/>
        <w:ind w:firstLine="720"/>
        <w:jc w:val="both"/>
        <w:rPr>
          <w:rFonts w:ascii="Book Antiqua" w:hAnsi="Book Antiqua" w:cs="Arial"/>
        </w:rPr>
      </w:pPr>
      <w:r w:rsidRPr="00CD15BE">
        <w:rPr>
          <w:rFonts w:ascii="Book Antiqua" w:hAnsi="Book Antiqua" w:cs="Arial"/>
          <w:b/>
        </w:rPr>
        <w:t>Signed:</w:t>
      </w:r>
    </w:p>
    <w:p w:rsidR="00B50E6D" w:rsidRPr="00CD15BE" w:rsidRDefault="00B50E6D" w:rsidP="00B50E6D">
      <w:pPr>
        <w:pStyle w:val="Level1"/>
        <w:widowControl/>
        <w:ind w:left="720"/>
        <w:jc w:val="both"/>
        <w:rPr>
          <w:rFonts w:ascii="Book Antiqua" w:hAnsi="Book Antiqua" w:cs="Arial"/>
          <w:b/>
        </w:rPr>
      </w:pPr>
      <w:r>
        <w:rPr>
          <w:noProof/>
        </w:rPr>
        <w:drawing>
          <wp:anchor distT="0" distB="0" distL="114300" distR="114300" simplePos="0" relativeHeight="251659264" behindDoc="0" locked="0" layoutInCell="1" allowOverlap="1" wp14:anchorId="3AFAA2AA" wp14:editId="3C3F28BA">
            <wp:simplePos x="0" y="0"/>
            <wp:positionH relativeFrom="column">
              <wp:posOffset>118745</wp:posOffset>
            </wp:positionH>
            <wp:positionV relativeFrom="paragraph">
              <wp:posOffset>128905</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0E6D" w:rsidRDefault="00B50E6D" w:rsidP="00B50E6D">
      <w:pPr>
        <w:pStyle w:val="Level1"/>
        <w:widowControl/>
        <w:ind w:left="720"/>
        <w:jc w:val="both"/>
        <w:rPr>
          <w:rFonts w:ascii="Book Antiqua" w:hAnsi="Book Antiqua" w:cs="Arial"/>
        </w:rPr>
      </w:pPr>
    </w:p>
    <w:p w:rsidR="00B50E6D" w:rsidRPr="00DD1BE9" w:rsidRDefault="00B50E6D" w:rsidP="00B50E6D">
      <w:pPr>
        <w:pStyle w:val="Level1"/>
        <w:widowControl/>
        <w:ind w:left="720"/>
        <w:jc w:val="both"/>
        <w:rPr>
          <w:rFonts w:ascii="Book Antiqua" w:hAnsi="Book Antiqua" w:cs="Arial"/>
        </w:rPr>
      </w:pPr>
    </w:p>
    <w:p w:rsidR="00B50E6D" w:rsidRDefault="00B50E6D" w:rsidP="00B50E6D">
      <w:pPr>
        <w:widowControl w:val="0"/>
        <w:ind w:left="720"/>
        <w:jc w:val="both"/>
        <w:rPr>
          <w:rFonts w:ascii="Book Antiqua" w:hAnsi="Book Antiqua"/>
          <w:b/>
        </w:rPr>
      </w:pPr>
      <w:r w:rsidRPr="00DD1BE9">
        <w:rPr>
          <w:rFonts w:ascii="Book Antiqua" w:hAnsi="Book Antiqua"/>
          <w:b/>
        </w:rPr>
        <w:t xml:space="preserve">  </w:t>
      </w:r>
      <w:r>
        <w:rPr>
          <w:rFonts w:ascii="Book Antiqua" w:hAnsi="Book Antiqua"/>
          <w:b/>
        </w:rPr>
        <w:t xml:space="preserve">                                                    </w:t>
      </w:r>
    </w:p>
    <w:p w:rsidR="00B50E6D" w:rsidRPr="00DD1BE9" w:rsidRDefault="00B50E6D" w:rsidP="00B50E6D">
      <w:pPr>
        <w:widowControl w:val="0"/>
        <w:jc w:val="both"/>
        <w:rPr>
          <w:rFonts w:ascii="Book Antiqua" w:hAnsi="Book Antiqua"/>
          <w:b/>
        </w:rPr>
      </w:pPr>
    </w:p>
    <w:p w:rsidR="00B50E6D" w:rsidRDefault="00B50E6D" w:rsidP="00B50E6D">
      <w:pPr>
        <w:widowControl w:val="0"/>
        <w:ind w:firstLine="720"/>
        <w:jc w:val="both"/>
        <w:rPr>
          <w:rFonts w:ascii="Book Antiqua" w:hAnsi="Book Antiqua"/>
          <w:b/>
        </w:rPr>
      </w:pPr>
      <w:r w:rsidRPr="00DD1BE9">
        <w:rPr>
          <w:rFonts w:ascii="Book Antiqua" w:hAnsi="Book Antiqua"/>
          <w:b/>
        </w:rPr>
        <w:t>Dr R Kekić</w:t>
      </w:r>
    </w:p>
    <w:p w:rsidR="00B50E6D" w:rsidRDefault="00B50E6D" w:rsidP="00B50E6D">
      <w:pPr>
        <w:ind w:firstLine="720"/>
        <w:rPr>
          <w:rFonts w:ascii="Book Antiqua" w:hAnsi="Book Antiqua"/>
          <w:b/>
        </w:rPr>
      </w:pPr>
      <w:r w:rsidRPr="00DD1BE9">
        <w:rPr>
          <w:rFonts w:ascii="Book Antiqua" w:hAnsi="Book Antiqua"/>
          <w:b/>
        </w:rPr>
        <w:t>Judge of the Upper Tribunal</w:t>
      </w:r>
    </w:p>
    <w:p w:rsidR="00B50E6D" w:rsidRDefault="00B50E6D" w:rsidP="00B50E6D">
      <w:pPr>
        <w:ind w:firstLine="720"/>
      </w:pPr>
      <w:r>
        <w:rPr>
          <w:rFonts w:ascii="Book Antiqua" w:hAnsi="Book Antiqua"/>
          <w:b/>
        </w:rPr>
        <w:t>23 April 2018</w:t>
      </w:r>
    </w:p>
    <w:p w:rsidR="00B50E6D" w:rsidRDefault="00B50E6D" w:rsidP="00B50E6D"/>
    <w:p w:rsidR="007B1745" w:rsidRDefault="007B1745"/>
    <w:sectPr w:rsidR="007B1745" w:rsidSect="00CF31FD">
      <w:headerReference w:type="default" r:id="rId9"/>
      <w:footerReference w:type="even" r:id="rId10"/>
      <w:footerReference w:type="default" r:id="rId11"/>
      <w:footerReference w:type="first" r:id="rId12"/>
      <w:pgSz w:w="11906" w:h="16840" w:code="9"/>
      <w:pgMar w:top="568" w:right="1440" w:bottom="1645" w:left="1440" w:header="1134"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85D" w:rsidRDefault="00C6285D" w:rsidP="00B50E6D">
      <w:r>
        <w:separator/>
      </w:r>
    </w:p>
  </w:endnote>
  <w:endnote w:type="continuationSeparator" w:id="0">
    <w:p w:rsidR="00C6285D" w:rsidRDefault="00C6285D" w:rsidP="00B5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38" w:rsidRDefault="00D515A5" w:rsidP="002D28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4138" w:rsidRDefault="00FC54D3" w:rsidP="002D28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761038"/>
      <w:docPartObj>
        <w:docPartGallery w:val="Page Numbers (Bottom of Page)"/>
        <w:docPartUnique/>
      </w:docPartObj>
    </w:sdtPr>
    <w:sdtEndPr>
      <w:rPr>
        <w:rFonts w:ascii="Book Antiqua" w:hAnsi="Book Antiqua"/>
        <w:noProof/>
      </w:rPr>
    </w:sdtEndPr>
    <w:sdtContent>
      <w:p w:rsidR="00AE36AF" w:rsidRPr="00CF31FD" w:rsidRDefault="00AE36AF">
        <w:pPr>
          <w:pStyle w:val="Footer"/>
          <w:jc w:val="center"/>
          <w:rPr>
            <w:rFonts w:ascii="Book Antiqua" w:hAnsi="Book Antiqua"/>
          </w:rPr>
        </w:pPr>
        <w:r w:rsidRPr="00CF31FD">
          <w:rPr>
            <w:rFonts w:ascii="Book Antiqua" w:hAnsi="Book Antiqua"/>
          </w:rPr>
          <w:fldChar w:fldCharType="begin"/>
        </w:r>
        <w:r w:rsidRPr="00CF31FD">
          <w:rPr>
            <w:rFonts w:ascii="Book Antiqua" w:hAnsi="Book Antiqua"/>
          </w:rPr>
          <w:instrText xml:space="preserve"> PAGE   \* MERGEFORMAT </w:instrText>
        </w:r>
        <w:r w:rsidRPr="00CF31FD">
          <w:rPr>
            <w:rFonts w:ascii="Book Antiqua" w:hAnsi="Book Antiqua"/>
          </w:rPr>
          <w:fldChar w:fldCharType="separate"/>
        </w:r>
        <w:r w:rsidR="00FC54D3">
          <w:rPr>
            <w:rFonts w:ascii="Book Antiqua" w:hAnsi="Book Antiqua"/>
            <w:noProof/>
          </w:rPr>
          <w:t>3</w:t>
        </w:r>
        <w:r w:rsidRPr="00CF31FD">
          <w:rPr>
            <w:rFonts w:ascii="Book Antiqua" w:hAnsi="Book Antiqua"/>
            <w:noProof/>
          </w:rPr>
          <w:fldChar w:fldCharType="end"/>
        </w:r>
      </w:p>
    </w:sdtContent>
  </w:sdt>
  <w:p w:rsidR="008C4138" w:rsidRDefault="00FC54D3" w:rsidP="002D284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38" w:rsidRPr="00CF31FD" w:rsidRDefault="00D515A5">
    <w:pPr>
      <w:jc w:val="center"/>
      <w:rPr>
        <w:rFonts w:ascii="Book Antiqua" w:hAnsi="Book Antiqua"/>
        <w:b/>
      </w:rPr>
    </w:pPr>
    <w:r w:rsidRPr="00CF31FD">
      <w:rPr>
        <w:rFonts w:ascii="Book Antiqua" w:hAnsi="Book Antiqua"/>
        <w:b/>
        <w:spacing w:val="-6"/>
      </w:rPr>
      <w:t>©</w:t>
    </w:r>
    <w:r w:rsidRPr="00CF31FD">
      <w:rPr>
        <w:rFonts w:ascii="Book Antiqua" w:hAnsi="Book Antiqua"/>
        <w:b/>
      </w:rPr>
      <w:t xml:space="preserve"> CROWN COPYRIGHT 2018</w:t>
    </w:r>
  </w:p>
  <w:p w:rsidR="008C4138" w:rsidRDefault="00FC54D3">
    <w:pPr>
      <w:pStyle w:val="Footer"/>
    </w:pPr>
  </w:p>
  <w:p w:rsidR="008C4138" w:rsidRDefault="00FC5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85D" w:rsidRDefault="00C6285D" w:rsidP="00B50E6D">
      <w:r>
        <w:separator/>
      </w:r>
    </w:p>
  </w:footnote>
  <w:footnote w:type="continuationSeparator" w:id="0">
    <w:p w:rsidR="00C6285D" w:rsidRDefault="00C6285D" w:rsidP="00B50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38" w:rsidRPr="00CF31FD" w:rsidRDefault="00B50E6D" w:rsidP="00CF31FD">
    <w:pPr>
      <w:pStyle w:val="Header"/>
      <w:jc w:val="right"/>
      <w:rPr>
        <w:rFonts w:ascii="Book Antiqua" w:hAnsi="Book Antiqua"/>
        <w:sz w:val="16"/>
        <w:szCs w:val="16"/>
      </w:rPr>
    </w:pPr>
    <w:r>
      <w:rPr>
        <w:sz w:val="16"/>
        <w:szCs w:val="16"/>
      </w:rPr>
      <w:tab/>
    </w:r>
    <w:r>
      <w:rPr>
        <w:sz w:val="16"/>
        <w:szCs w:val="16"/>
      </w:rPr>
      <w:tab/>
    </w:r>
    <w:r w:rsidRPr="00CF31FD">
      <w:rPr>
        <w:rFonts w:ascii="Book Antiqua" w:hAnsi="Book Antiqua"/>
        <w:sz w:val="16"/>
        <w:szCs w:val="16"/>
      </w:rPr>
      <w:t xml:space="preserve">            </w:t>
    </w:r>
    <w:r w:rsidR="00CF31FD">
      <w:rPr>
        <w:rFonts w:ascii="Book Antiqua" w:hAnsi="Book Antiqua"/>
        <w:sz w:val="16"/>
        <w:szCs w:val="16"/>
      </w:rPr>
      <w:t xml:space="preserve">Appeal Number: </w:t>
    </w:r>
    <w:r w:rsidRPr="00CF31FD">
      <w:rPr>
        <w:rFonts w:ascii="Book Antiqua" w:hAnsi="Book Antiqua"/>
        <w:sz w:val="16"/>
        <w:szCs w:val="16"/>
      </w:rPr>
      <w:t xml:space="preserve"> PA</w:t>
    </w:r>
    <w:r w:rsidR="00D515A5" w:rsidRPr="00CF31FD">
      <w:rPr>
        <w:rFonts w:ascii="Book Antiqua" w:hAnsi="Book Antiqua"/>
        <w:sz w:val="16"/>
        <w:szCs w:val="16"/>
      </w:rPr>
      <w:t>/0</w:t>
    </w:r>
    <w:r w:rsidRPr="00CF31FD">
      <w:rPr>
        <w:rFonts w:ascii="Book Antiqua" w:hAnsi="Book Antiqua"/>
        <w:sz w:val="16"/>
        <w:szCs w:val="16"/>
      </w:rPr>
      <w:t>3858</w:t>
    </w:r>
    <w:r w:rsidR="00D515A5" w:rsidRPr="00CF31FD">
      <w:rPr>
        <w:rFonts w:ascii="Book Antiqua" w:hAnsi="Book Antiqua"/>
        <w:sz w:val="16"/>
        <w:szCs w:val="16"/>
      </w:rPr>
      <w:t xml:space="preserve">/2017 </w:t>
    </w:r>
  </w:p>
  <w:p w:rsidR="008C4138" w:rsidRPr="00CF31FD" w:rsidRDefault="00FC54D3" w:rsidP="00CF31FD">
    <w:pPr>
      <w:pStyle w:val="Header"/>
      <w:jc w:val="right"/>
      <w:rPr>
        <w:rFonts w:ascii="Book Antiqua" w:hAnsi="Book Antiqua"/>
        <w:sz w:val="16"/>
        <w:szCs w:val="16"/>
      </w:rPr>
    </w:pPr>
  </w:p>
  <w:p w:rsidR="008C4138" w:rsidRPr="00F2274C" w:rsidRDefault="00FC54D3" w:rsidP="00CF31FD">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C490791C"/>
    <w:lvl w:ilvl="0">
      <w:start w:val="1"/>
      <w:numFmt w:val="decimal"/>
      <w:suff w:val="nothing"/>
      <w:lvlText w:val="%1."/>
      <w:lvlJc w:val="left"/>
      <w:rPr>
        <w:rFonts w:ascii="Arial" w:hAnsi="Arial" w:cs="Arial"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6D"/>
    <w:rsid w:val="0005760C"/>
    <w:rsid w:val="002526F7"/>
    <w:rsid w:val="00526985"/>
    <w:rsid w:val="005F5A88"/>
    <w:rsid w:val="00600B54"/>
    <w:rsid w:val="00746BB7"/>
    <w:rsid w:val="007B1745"/>
    <w:rsid w:val="009E3293"/>
    <w:rsid w:val="00A71764"/>
    <w:rsid w:val="00AE36AF"/>
    <w:rsid w:val="00B50E6D"/>
    <w:rsid w:val="00C6285D"/>
    <w:rsid w:val="00CF31FD"/>
    <w:rsid w:val="00D515A5"/>
    <w:rsid w:val="00FC5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01455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E6D"/>
    <w:pPr>
      <w:spacing w:after="0" w:line="240" w:lineRule="auto"/>
    </w:pPr>
    <w:rPr>
      <w:rFonts w:ascii="Arial" w:eastAsia="Times New Roman" w:hAnsi="Arial" w:cs="Arial"/>
      <w:szCs w:val="24"/>
      <w:lang w:eastAsia="en-GB"/>
    </w:rPr>
  </w:style>
  <w:style w:type="paragraph" w:styleId="Heading2">
    <w:name w:val="heading 2"/>
    <w:basedOn w:val="Normal"/>
    <w:next w:val="Normal"/>
    <w:link w:val="Heading2Char"/>
    <w:qFormat/>
    <w:rsid w:val="00B50E6D"/>
    <w:pPr>
      <w:keepNext/>
      <w:spacing w:before="240" w:after="60"/>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0E6D"/>
    <w:rPr>
      <w:rFonts w:ascii="Cambria" w:eastAsia="Times New Roman" w:hAnsi="Cambria"/>
      <w:b/>
      <w:bCs/>
      <w:i/>
      <w:iCs/>
      <w:sz w:val="28"/>
      <w:szCs w:val="28"/>
      <w:lang w:eastAsia="en-GB"/>
    </w:rPr>
  </w:style>
  <w:style w:type="paragraph" w:customStyle="1" w:styleId="Level1">
    <w:name w:val="Level 1"/>
    <w:basedOn w:val="Normal"/>
    <w:rsid w:val="00B50E6D"/>
    <w:pPr>
      <w:widowControl w:val="0"/>
    </w:pPr>
    <w:rPr>
      <w:rFonts w:ascii="Times New Roman" w:hAnsi="Times New Roman" w:cs="Times New Roman"/>
      <w:szCs w:val="20"/>
    </w:rPr>
  </w:style>
  <w:style w:type="paragraph" w:styleId="Footer">
    <w:name w:val="footer"/>
    <w:basedOn w:val="Normal"/>
    <w:link w:val="FooterChar"/>
    <w:uiPriority w:val="99"/>
    <w:rsid w:val="00B50E6D"/>
    <w:pPr>
      <w:tabs>
        <w:tab w:val="center" w:pos="4153"/>
        <w:tab w:val="right" w:pos="8306"/>
      </w:tabs>
    </w:pPr>
  </w:style>
  <w:style w:type="character" w:customStyle="1" w:styleId="FooterChar">
    <w:name w:val="Footer Char"/>
    <w:basedOn w:val="DefaultParagraphFont"/>
    <w:link w:val="Footer"/>
    <w:uiPriority w:val="99"/>
    <w:rsid w:val="00B50E6D"/>
    <w:rPr>
      <w:rFonts w:ascii="Arial" w:eastAsia="Times New Roman" w:hAnsi="Arial" w:cs="Arial"/>
      <w:szCs w:val="24"/>
      <w:lang w:eastAsia="en-GB"/>
    </w:rPr>
  </w:style>
  <w:style w:type="character" w:styleId="PageNumber">
    <w:name w:val="page number"/>
    <w:basedOn w:val="DefaultParagraphFont"/>
    <w:rsid w:val="00B50E6D"/>
  </w:style>
  <w:style w:type="paragraph" w:styleId="Header">
    <w:name w:val="header"/>
    <w:basedOn w:val="Normal"/>
    <w:link w:val="HeaderChar"/>
    <w:rsid w:val="00B50E6D"/>
    <w:pPr>
      <w:tabs>
        <w:tab w:val="center" w:pos="4153"/>
        <w:tab w:val="right" w:pos="8306"/>
      </w:tabs>
    </w:pPr>
  </w:style>
  <w:style w:type="character" w:customStyle="1" w:styleId="HeaderChar">
    <w:name w:val="Header Char"/>
    <w:basedOn w:val="DefaultParagraphFont"/>
    <w:link w:val="Header"/>
    <w:rsid w:val="00B50E6D"/>
    <w:rPr>
      <w:rFonts w:ascii="Arial" w:eastAsia="Times New Roman" w:hAnsi="Arial" w:cs="Arial"/>
      <w:szCs w:val="24"/>
      <w:lang w:eastAsia="en-GB"/>
    </w:rPr>
  </w:style>
  <w:style w:type="paragraph" w:styleId="BodyText">
    <w:name w:val="Body Text"/>
    <w:basedOn w:val="Normal"/>
    <w:link w:val="BodyTextChar"/>
    <w:unhideWhenUsed/>
    <w:rsid w:val="00B50E6D"/>
    <w:pPr>
      <w:spacing w:after="120"/>
    </w:pPr>
    <w:rPr>
      <w:rFonts w:ascii="Times New Roman" w:hAnsi="Times New Roman" w:cs="Times New Roman"/>
    </w:rPr>
  </w:style>
  <w:style w:type="character" w:customStyle="1" w:styleId="BodyTextChar">
    <w:name w:val="Body Text Char"/>
    <w:basedOn w:val="DefaultParagraphFont"/>
    <w:link w:val="BodyText"/>
    <w:rsid w:val="00B50E6D"/>
    <w:rPr>
      <w:rFonts w:ascii="Times New Roman" w:eastAsia="Times New Roman" w:hAnsi="Times New Roman"/>
      <w:szCs w:val="24"/>
      <w:lang w:eastAsia="en-GB"/>
    </w:rPr>
  </w:style>
  <w:style w:type="paragraph" w:styleId="ListParagraph">
    <w:name w:val="List Paragraph"/>
    <w:basedOn w:val="Normal"/>
    <w:uiPriority w:val="34"/>
    <w:qFormat/>
    <w:rsid w:val="00B50E6D"/>
    <w:pPr>
      <w:ind w:left="720"/>
    </w:pPr>
  </w:style>
  <w:style w:type="paragraph" w:styleId="BalloonText">
    <w:name w:val="Balloon Text"/>
    <w:basedOn w:val="Normal"/>
    <w:link w:val="BalloonTextChar"/>
    <w:uiPriority w:val="99"/>
    <w:semiHidden/>
    <w:unhideWhenUsed/>
    <w:rsid w:val="00526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985"/>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2018-07-13T10:23:00Z</dcterms:created>
  <dcterms:modified xsi:type="dcterms:W3CDTF">2018-07-13T10:23:00Z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