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5D9" w:rsidRPr="00F5664C" w:rsidRDefault="0080665E" w:rsidP="00C321B5">
      <w:pPr>
        <w:jc w:val="center"/>
        <w:rPr>
          <w:rFonts w:ascii="Book Antiqua" w:hAnsi="Book Antiqua" w:cs="Arial"/>
          <w:sz w:val="16"/>
          <w:szCs w:val="16"/>
        </w:rPr>
      </w:pPr>
      <w:r>
        <w:rPr>
          <w:noProof/>
        </w:rPr>
        <w:drawing>
          <wp:inline distT="0" distB="0" distL="0" distR="0" wp14:anchorId="296DB190" wp14:editId="7041B980">
            <wp:extent cx="1180800" cy="1036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0800" cy="1036800"/>
                    </a:xfrm>
                    <a:prstGeom prst="rect">
                      <a:avLst/>
                    </a:prstGeom>
                    <a:noFill/>
                    <a:ln>
                      <a:noFill/>
                    </a:ln>
                  </pic:spPr>
                </pic:pic>
              </a:graphicData>
            </a:graphic>
          </wp:inline>
        </w:drawing>
      </w:r>
    </w:p>
    <w:p w:rsidR="00887A6E" w:rsidRDefault="00B705D9"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r w:rsidR="00157CFD">
        <w:rPr>
          <w:rFonts w:ascii="Book Antiqua" w:hAnsi="Book Antiqua" w:cs="Arial"/>
          <w:b/>
        </w:rPr>
        <w:tab/>
      </w:r>
    </w:p>
    <w:p w:rsidR="00887A6E" w:rsidRPr="00887A6E" w:rsidRDefault="00B705D9" w:rsidP="00887A6E">
      <w:pPr>
        <w:tabs>
          <w:tab w:val="right" w:pos="9639"/>
        </w:tabs>
        <w:rPr>
          <w:rFonts w:ascii="Book Antiqua" w:hAnsi="Book Antiqua" w:cs="Arial"/>
          <w:b/>
        </w:rPr>
      </w:pPr>
      <w:r w:rsidRPr="00F5664C">
        <w:rPr>
          <w:rFonts w:ascii="Book Antiqua" w:hAnsi="Book Antiqua" w:cs="Arial"/>
          <w:b/>
        </w:rPr>
        <w:t>(Immigration and Asylum Chamber)</w:t>
      </w:r>
      <w:r w:rsidR="00887A6E" w:rsidRPr="00887A6E">
        <w:rPr>
          <w:rFonts w:ascii="Book Antiqua" w:hAnsi="Book Antiqua" w:cs="Arial"/>
        </w:rPr>
        <w:t xml:space="preserve"> </w:t>
      </w:r>
      <w:r w:rsidR="00887A6E">
        <w:rPr>
          <w:rFonts w:ascii="Book Antiqua" w:hAnsi="Book Antiqua" w:cs="Arial"/>
        </w:rPr>
        <w:t xml:space="preserve">                     </w:t>
      </w:r>
      <w:bookmarkStart w:id="0" w:name="_GoBack"/>
      <w:bookmarkEnd w:id="0"/>
      <w:r w:rsidR="00887A6E" w:rsidRPr="00887A6E">
        <w:rPr>
          <w:rFonts w:ascii="Book Antiqua" w:hAnsi="Book Antiqua" w:cs="Arial"/>
          <w:b/>
        </w:rPr>
        <w:t xml:space="preserve">Appeal Numbers: </w:t>
      </w:r>
      <w:r w:rsidR="00887A6E" w:rsidRPr="00887A6E">
        <w:rPr>
          <w:rFonts w:ascii="Book Antiqua" w:hAnsi="Book Antiqua" w:cs="Arial"/>
          <w:b/>
          <w:caps/>
        </w:rPr>
        <w:t>PA/03979/2018</w:t>
      </w:r>
    </w:p>
    <w:p w:rsidR="00887A6E" w:rsidRPr="00887A6E" w:rsidRDefault="00887A6E" w:rsidP="00887A6E">
      <w:pPr>
        <w:tabs>
          <w:tab w:val="right" w:pos="9639"/>
        </w:tabs>
        <w:rPr>
          <w:rFonts w:ascii="Book Antiqua" w:hAnsi="Book Antiqua" w:cs="Arial"/>
          <w:b/>
        </w:rPr>
      </w:pPr>
      <w:r>
        <w:rPr>
          <w:rFonts w:ascii="Book Antiqua" w:hAnsi="Book Antiqua" w:cs="Arial"/>
          <w:b/>
        </w:rPr>
        <w:t xml:space="preserve">                                                                                                                          </w:t>
      </w:r>
      <w:r w:rsidR="00C476B2">
        <w:rPr>
          <w:rFonts w:ascii="Book Antiqua" w:hAnsi="Book Antiqua" w:cs="Arial"/>
          <w:b/>
        </w:rPr>
        <w:t xml:space="preserve"> </w:t>
      </w:r>
      <w:r w:rsidRPr="00887A6E">
        <w:rPr>
          <w:rFonts w:ascii="Book Antiqua" w:hAnsi="Book Antiqua" w:cs="Arial"/>
          <w:b/>
        </w:rPr>
        <w:t>PA/03980/2018</w:t>
      </w:r>
    </w:p>
    <w:p w:rsidR="00887A6E" w:rsidRDefault="00887A6E" w:rsidP="00157CFD">
      <w:pPr>
        <w:tabs>
          <w:tab w:val="right" w:pos="9639"/>
        </w:tabs>
        <w:rPr>
          <w:rFonts w:ascii="Book Antiqua" w:hAnsi="Book Antiqua" w:cs="Arial"/>
          <w:b/>
        </w:rPr>
      </w:pPr>
    </w:p>
    <w:p w:rsidR="00B705D9" w:rsidRPr="00F5664C" w:rsidRDefault="00B705D9" w:rsidP="00C345E1">
      <w:pPr>
        <w:jc w:val="center"/>
        <w:rPr>
          <w:rFonts w:ascii="Book Antiqua" w:hAnsi="Book Antiqua" w:cs="Arial"/>
          <w:b/>
          <w:u w:val="single"/>
        </w:rPr>
      </w:pPr>
      <w:r w:rsidRPr="00F5664C">
        <w:rPr>
          <w:rFonts w:ascii="Book Antiqua" w:hAnsi="Book Antiqua" w:cs="Arial"/>
          <w:b/>
          <w:u w:val="single"/>
        </w:rPr>
        <w:t>THE IMMIGRATION ACTS</w:t>
      </w:r>
    </w:p>
    <w:p w:rsidR="00B705D9" w:rsidRPr="00F5664C" w:rsidRDefault="00B705D9"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B705D9" w:rsidRPr="00F5664C" w:rsidTr="00887A6E">
        <w:tc>
          <w:tcPr>
            <w:tcW w:w="5103" w:type="dxa"/>
          </w:tcPr>
          <w:p w:rsidR="00B705D9" w:rsidRPr="00321493" w:rsidRDefault="00B705D9" w:rsidP="00321493">
            <w:pPr>
              <w:jc w:val="both"/>
              <w:rPr>
                <w:rFonts w:ascii="Book Antiqua" w:hAnsi="Book Antiqua" w:cs="Arial"/>
                <w:b/>
              </w:rPr>
            </w:pPr>
            <w:r w:rsidRPr="00321493">
              <w:rPr>
                <w:rFonts w:ascii="Book Antiqua" w:hAnsi="Book Antiqua" w:cs="Arial"/>
                <w:b/>
              </w:rPr>
              <w:t>Heard at Field Hous</w:t>
            </w:r>
            <w:r w:rsidR="002F7953">
              <w:rPr>
                <w:rFonts w:ascii="Book Antiqua" w:hAnsi="Book Antiqua" w:cs="Arial"/>
                <w:b/>
              </w:rPr>
              <w:t>e</w:t>
            </w:r>
          </w:p>
        </w:tc>
        <w:tc>
          <w:tcPr>
            <w:tcW w:w="4905" w:type="dxa"/>
          </w:tcPr>
          <w:p w:rsidR="00B705D9" w:rsidRPr="00321493" w:rsidRDefault="00887A6E" w:rsidP="00321493">
            <w:pPr>
              <w:jc w:val="both"/>
              <w:rPr>
                <w:rFonts w:ascii="Book Antiqua" w:hAnsi="Book Antiqua" w:cs="Arial"/>
                <w:b/>
              </w:rPr>
            </w:pPr>
            <w:r>
              <w:rPr>
                <w:rFonts w:ascii="Book Antiqua" w:hAnsi="Book Antiqua" w:cs="Arial"/>
                <w:b/>
              </w:rPr>
              <w:t xml:space="preserve"> </w:t>
            </w:r>
            <w:r w:rsidR="00B705D9" w:rsidRPr="00321493">
              <w:rPr>
                <w:rFonts w:ascii="Book Antiqua" w:hAnsi="Book Antiqua" w:cs="Arial"/>
                <w:b/>
              </w:rPr>
              <w:t>Decision sent to parties on</w:t>
            </w:r>
          </w:p>
        </w:tc>
      </w:tr>
      <w:tr w:rsidR="00B705D9" w:rsidRPr="00F5664C" w:rsidTr="00887A6E">
        <w:tc>
          <w:tcPr>
            <w:tcW w:w="5103" w:type="dxa"/>
          </w:tcPr>
          <w:p w:rsidR="00B705D9" w:rsidRPr="00321493" w:rsidRDefault="00B705D9" w:rsidP="00321493">
            <w:pPr>
              <w:jc w:val="both"/>
              <w:rPr>
                <w:rFonts w:ascii="Book Antiqua" w:hAnsi="Book Antiqua" w:cs="Arial"/>
                <w:b/>
              </w:rPr>
            </w:pPr>
            <w:r w:rsidRPr="00321493">
              <w:rPr>
                <w:rFonts w:ascii="Book Antiqua" w:hAnsi="Book Antiqua" w:cs="Arial"/>
                <w:b/>
              </w:rPr>
              <w:t xml:space="preserve">On </w:t>
            </w:r>
            <w:r w:rsidR="00157CFD">
              <w:rPr>
                <w:rFonts w:ascii="Book Antiqua" w:hAnsi="Book Antiqua" w:cs="Arial"/>
                <w:b/>
              </w:rPr>
              <w:t>6</w:t>
            </w:r>
            <w:r w:rsidR="002F7953" w:rsidRPr="002F7953">
              <w:rPr>
                <w:rFonts w:ascii="Book Antiqua" w:hAnsi="Book Antiqua" w:cs="Arial"/>
                <w:b/>
                <w:vertAlign w:val="superscript"/>
              </w:rPr>
              <w:t>th</w:t>
            </w:r>
            <w:r w:rsidR="002F7953">
              <w:rPr>
                <w:rFonts w:ascii="Book Antiqua" w:hAnsi="Book Antiqua" w:cs="Arial"/>
                <w:b/>
              </w:rPr>
              <w:t xml:space="preserve"> </w:t>
            </w:r>
            <w:r w:rsidR="004E30D7">
              <w:rPr>
                <w:rFonts w:ascii="Book Antiqua" w:hAnsi="Book Antiqua" w:cs="Arial"/>
                <w:b/>
              </w:rPr>
              <w:t>September 2018</w:t>
            </w:r>
          </w:p>
        </w:tc>
        <w:tc>
          <w:tcPr>
            <w:tcW w:w="4905" w:type="dxa"/>
          </w:tcPr>
          <w:p w:rsidR="00B705D9" w:rsidRPr="00321493" w:rsidRDefault="00887A6E" w:rsidP="00321493">
            <w:pPr>
              <w:jc w:val="both"/>
              <w:rPr>
                <w:rFonts w:ascii="Book Antiqua" w:hAnsi="Book Antiqua" w:cs="Arial"/>
                <w:b/>
              </w:rPr>
            </w:pPr>
            <w:r>
              <w:rPr>
                <w:rFonts w:ascii="Book Antiqua" w:hAnsi="Book Antiqua" w:cs="Arial"/>
                <w:b/>
              </w:rPr>
              <w:t xml:space="preserve"> </w:t>
            </w:r>
            <w:r w:rsidR="002F7953">
              <w:rPr>
                <w:rFonts w:ascii="Book Antiqua" w:hAnsi="Book Antiqua" w:cs="Arial"/>
                <w:b/>
              </w:rPr>
              <w:t>On 27</w:t>
            </w:r>
            <w:r w:rsidR="002F7953" w:rsidRPr="002F7953">
              <w:rPr>
                <w:rFonts w:ascii="Book Antiqua" w:hAnsi="Book Antiqua" w:cs="Arial"/>
                <w:b/>
                <w:vertAlign w:val="superscript"/>
              </w:rPr>
              <w:t>th</w:t>
            </w:r>
            <w:r w:rsidR="002F7953">
              <w:rPr>
                <w:rFonts w:ascii="Book Antiqua" w:hAnsi="Book Antiqua" w:cs="Arial"/>
                <w:b/>
              </w:rPr>
              <w:t xml:space="preserve"> September 2018</w:t>
            </w:r>
          </w:p>
        </w:tc>
      </w:tr>
      <w:tr w:rsidR="00B705D9" w:rsidRPr="00F5664C" w:rsidTr="00887A6E">
        <w:tc>
          <w:tcPr>
            <w:tcW w:w="5103" w:type="dxa"/>
          </w:tcPr>
          <w:p w:rsidR="00B705D9" w:rsidRPr="00321493" w:rsidRDefault="00B705D9" w:rsidP="00321493">
            <w:pPr>
              <w:jc w:val="both"/>
              <w:rPr>
                <w:rFonts w:ascii="Book Antiqua" w:hAnsi="Book Antiqua" w:cs="Arial"/>
                <w:b/>
              </w:rPr>
            </w:pPr>
          </w:p>
        </w:tc>
        <w:tc>
          <w:tcPr>
            <w:tcW w:w="4905" w:type="dxa"/>
          </w:tcPr>
          <w:p w:rsidR="00B705D9" w:rsidRPr="00321493" w:rsidRDefault="00B705D9" w:rsidP="00321493">
            <w:pPr>
              <w:jc w:val="both"/>
              <w:rPr>
                <w:rFonts w:ascii="Book Antiqua" w:hAnsi="Book Antiqua" w:cs="Arial"/>
                <w:b/>
              </w:rPr>
            </w:pPr>
          </w:p>
        </w:tc>
      </w:tr>
    </w:tbl>
    <w:p w:rsidR="00B705D9" w:rsidRPr="00F5664C" w:rsidRDefault="00B705D9" w:rsidP="00A15234">
      <w:pPr>
        <w:jc w:val="center"/>
        <w:rPr>
          <w:rFonts w:ascii="Book Antiqua" w:hAnsi="Book Antiqua" w:cs="Arial"/>
        </w:rPr>
      </w:pPr>
    </w:p>
    <w:p w:rsidR="00B705D9" w:rsidRPr="00F5664C" w:rsidRDefault="00B705D9" w:rsidP="00A15234">
      <w:pPr>
        <w:jc w:val="center"/>
        <w:rPr>
          <w:rFonts w:ascii="Book Antiqua" w:hAnsi="Book Antiqua" w:cs="Arial"/>
          <w:b/>
        </w:rPr>
      </w:pPr>
      <w:r w:rsidRPr="00F5664C">
        <w:rPr>
          <w:rFonts w:ascii="Book Antiqua" w:hAnsi="Book Antiqua" w:cs="Arial"/>
          <w:b/>
        </w:rPr>
        <w:t>Before</w:t>
      </w:r>
    </w:p>
    <w:p w:rsidR="00B705D9" w:rsidRPr="00F5664C" w:rsidRDefault="00B705D9" w:rsidP="00A15234">
      <w:pPr>
        <w:jc w:val="center"/>
        <w:rPr>
          <w:rFonts w:ascii="Book Antiqua" w:hAnsi="Book Antiqua" w:cs="Arial"/>
          <w:b/>
        </w:rPr>
      </w:pPr>
    </w:p>
    <w:p w:rsidR="00B705D9" w:rsidRDefault="00B705D9" w:rsidP="00A15234">
      <w:pPr>
        <w:jc w:val="center"/>
        <w:rPr>
          <w:rFonts w:ascii="Book Antiqua" w:hAnsi="Book Antiqua" w:cs="Arial"/>
          <w:b/>
        </w:rPr>
      </w:pPr>
      <w:r>
        <w:rPr>
          <w:rFonts w:ascii="Book Antiqua" w:hAnsi="Book Antiqua" w:cs="Arial"/>
          <w:b/>
        </w:rPr>
        <w:t>UPPER TRIBUNAL</w:t>
      </w:r>
      <w:r w:rsidRPr="00F5664C">
        <w:rPr>
          <w:rFonts w:ascii="Book Antiqua" w:hAnsi="Book Antiqua" w:cs="Arial"/>
          <w:b/>
        </w:rPr>
        <w:t xml:space="preserve"> JUDGE G</w:t>
      </w:r>
      <w:r>
        <w:rPr>
          <w:rFonts w:ascii="Book Antiqua" w:hAnsi="Book Antiqua" w:cs="Arial"/>
          <w:b/>
        </w:rPr>
        <w:t>LEESON</w:t>
      </w:r>
    </w:p>
    <w:p w:rsidR="00B705D9" w:rsidRPr="00F5664C" w:rsidRDefault="00B705D9" w:rsidP="00DE279E">
      <w:pPr>
        <w:jc w:val="center"/>
        <w:rPr>
          <w:rFonts w:ascii="Book Antiqua" w:hAnsi="Book Antiqua" w:cs="Arial"/>
          <w:b/>
        </w:rPr>
      </w:pPr>
    </w:p>
    <w:p w:rsidR="00B705D9" w:rsidRPr="00F5664C" w:rsidRDefault="00B705D9" w:rsidP="00A15234">
      <w:pPr>
        <w:jc w:val="center"/>
        <w:rPr>
          <w:rFonts w:ascii="Book Antiqua" w:hAnsi="Book Antiqua" w:cs="Arial"/>
          <w:b/>
        </w:rPr>
      </w:pPr>
      <w:r w:rsidRPr="00F5664C">
        <w:rPr>
          <w:rFonts w:ascii="Book Antiqua" w:hAnsi="Book Antiqua" w:cs="Arial"/>
          <w:b/>
        </w:rPr>
        <w:t>Between</w:t>
      </w:r>
    </w:p>
    <w:p w:rsidR="00B705D9" w:rsidRPr="00F5664C" w:rsidRDefault="00B705D9" w:rsidP="00A15234">
      <w:pPr>
        <w:jc w:val="center"/>
        <w:rPr>
          <w:rFonts w:ascii="Book Antiqua" w:hAnsi="Book Antiqua" w:cs="Arial"/>
          <w:b/>
        </w:rPr>
      </w:pPr>
    </w:p>
    <w:p w:rsidR="00B705D9" w:rsidRPr="00157CFD" w:rsidRDefault="00157CFD" w:rsidP="00742A8D">
      <w:pPr>
        <w:jc w:val="center"/>
        <w:rPr>
          <w:rFonts w:ascii="Book Antiqua" w:hAnsi="Book Antiqua" w:cs="Arial"/>
          <w:b/>
          <w:caps/>
          <w:sz w:val="26"/>
        </w:rPr>
      </w:pPr>
      <w:r w:rsidRPr="00157CFD">
        <w:rPr>
          <w:rFonts w:ascii="Book Antiqua" w:hAnsi="Book Antiqua" w:cs="Arial"/>
          <w:b/>
          <w:caps/>
          <w:sz w:val="26"/>
        </w:rPr>
        <w:t xml:space="preserve">F </w:t>
      </w:r>
      <w:proofErr w:type="spellStart"/>
      <w:r w:rsidRPr="00157CFD">
        <w:rPr>
          <w:rFonts w:ascii="Book Antiqua" w:hAnsi="Book Antiqua" w:cs="Arial"/>
          <w:b/>
          <w:caps/>
          <w:sz w:val="26"/>
        </w:rPr>
        <w:t>F</w:t>
      </w:r>
      <w:proofErr w:type="spellEnd"/>
      <w:r w:rsidRPr="00157CFD">
        <w:rPr>
          <w:rFonts w:ascii="Book Antiqua" w:hAnsi="Book Antiqua" w:cs="Arial"/>
          <w:b/>
          <w:caps/>
          <w:sz w:val="26"/>
        </w:rPr>
        <w:t xml:space="preserve"> </w:t>
      </w:r>
      <w:r w:rsidRPr="00157CFD">
        <w:rPr>
          <w:rFonts w:ascii="Book Antiqua" w:hAnsi="Book Antiqua" w:cs="Arial"/>
          <w:b/>
          <w:sz w:val="26"/>
        </w:rPr>
        <w:t xml:space="preserve">and </w:t>
      </w:r>
      <w:r w:rsidRPr="00157CFD">
        <w:rPr>
          <w:rFonts w:ascii="Book Antiqua" w:hAnsi="Book Antiqua" w:cs="Arial"/>
          <w:b/>
          <w:caps/>
          <w:sz w:val="26"/>
        </w:rPr>
        <w:t>B S</w:t>
      </w:r>
    </w:p>
    <w:p w:rsidR="00B705D9" w:rsidRPr="00887A6E" w:rsidRDefault="00157CFD" w:rsidP="00742A8D">
      <w:pPr>
        <w:jc w:val="center"/>
        <w:rPr>
          <w:rFonts w:ascii="Book Antiqua" w:hAnsi="Book Antiqua" w:cs="Arial"/>
          <w:caps/>
        </w:rPr>
      </w:pPr>
      <w:r w:rsidRPr="00887A6E">
        <w:rPr>
          <w:rFonts w:ascii="Book Antiqua" w:hAnsi="Book Antiqua" w:cs="Arial"/>
          <w:caps/>
        </w:rPr>
        <w:t xml:space="preserve"> </w:t>
      </w:r>
      <w:r w:rsidR="00B705D9" w:rsidRPr="00887A6E">
        <w:rPr>
          <w:rFonts w:ascii="Book Antiqua" w:hAnsi="Book Antiqua" w:cs="Arial"/>
          <w:caps/>
        </w:rPr>
        <w:t>(anonymity order made)</w:t>
      </w:r>
    </w:p>
    <w:p w:rsidR="00B705D9" w:rsidRPr="00F5664C" w:rsidRDefault="00B705D9" w:rsidP="00704B61">
      <w:pPr>
        <w:jc w:val="right"/>
        <w:rPr>
          <w:rFonts w:ascii="Book Antiqua" w:hAnsi="Book Antiqua" w:cs="Arial"/>
          <w:u w:val="single"/>
        </w:rPr>
      </w:pPr>
      <w:r w:rsidRPr="00F5664C">
        <w:rPr>
          <w:rFonts w:ascii="Book Antiqua" w:hAnsi="Book Antiqua" w:cs="Arial"/>
          <w:u w:val="single"/>
        </w:rPr>
        <w:t>Appellant</w:t>
      </w:r>
      <w:r w:rsidR="009E7B3C">
        <w:rPr>
          <w:rFonts w:ascii="Book Antiqua" w:hAnsi="Book Antiqua" w:cs="Arial"/>
          <w:u w:val="single"/>
        </w:rPr>
        <w:t>s</w:t>
      </w:r>
    </w:p>
    <w:p w:rsidR="00B705D9" w:rsidRPr="00F5664C" w:rsidRDefault="00B705D9" w:rsidP="00704B61">
      <w:pPr>
        <w:jc w:val="center"/>
        <w:rPr>
          <w:rFonts w:ascii="Book Antiqua" w:hAnsi="Book Antiqua" w:cs="Arial"/>
          <w:b/>
        </w:rPr>
      </w:pPr>
    </w:p>
    <w:p w:rsidR="00B705D9" w:rsidRPr="00F5664C" w:rsidRDefault="00B705D9" w:rsidP="00704B61">
      <w:pPr>
        <w:jc w:val="center"/>
        <w:rPr>
          <w:rFonts w:ascii="Book Antiqua" w:hAnsi="Book Antiqua" w:cs="Arial"/>
          <w:b/>
        </w:rPr>
      </w:pPr>
      <w:r w:rsidRPr="00F5664C">
        <w:rPr>
          <w:rFonts w:ascii="Book Antiqua" w:hAnsi="Book Antiqua" w:cs="Arial"/>
          <w:b/>
        </w:rPr>
        <w:t>and</w:t>
      </w:r>
    </w:p>
    <w:p w:rsidR="00B705D9" w:rsidRDefault="00B705D9" w:rsidP="00704B61">
      <w:pPr>
        <w:jc w:val="center"/>
        <w:rPr>
          <w:rFonts w:ascii="Book Antiqua" w:hAnsi="Book Antiqua" w:cs="Arial"/>
          <w:b/>
        </w:rPr>
      </w:pPr>
    </w:p>
    <w:p w:rsidR="00887A6E" w:rsidRPr="00F5664C" w:rsidRDefault="00887A6E" w:rsidP="00704B61">
      <w:pPr>
        <w:jc w:val="center"/>
        <w:rPr>
          <w:rFonts w:ascii="Book Antiqua" w:hAnsi="Book Antiqua" w:cs="Arial"/>
          <w:b/>
        </w:rPr>
      </w:pPr>
      <w:r>
        <w:rPr>
          <w:rFonts w:ascii="Book Antiqua" w:hAnsi="Book Antiqua" w:cs="Arial"/>
          <w:b/>
        </w:rPr>
        <w:t>THE SECRETARY OF STATE FOR THE HOME DEPARTMENT</w:t>
      </w:r>
    </w:p>
    <w:p w:rsidR="00B705D9" w:rsidRPr="00F5664C" w:rsidRDefault="00B705D9" w:rsidP="00DD5071">
      <w:pPr>
        <w:jc w:val="right"/>
        <w:rPr>
          <w:rFonts w:ascii="Book Antiqua" w:hAnsi="Book Antiqua" w:cs="Arial"/>
          <w:u w:val="single"/>
        </w:rPr>
      </w:pPr>
      <w:r w:rsidRPr="00F5664C">
        <w:rPr>
          <w:rFonts w:ascii="Book Antiqua" w:hAnsi="Book Antiqua" w:cs="Arial"/>
          <w:u w:val="single"/>
        </w:rPr>
        <w:t>Respondent</w:t>
      </w:r>
    </w:p>
    <w:p w:rsidR="00B705D9" w:rsidRPr="00F5664C" w:rsidRDefault="00B705D9" w:rsidP="00DD5071">
      <w:pPr>
        <w:rPr>
          <w:rFonts w:ascii="Book Antiqua" w:hAnsi="Book Antiqua" w:cs="Arial"/>
          <w:u w:val="single"/>
        </w:rPr>
      </w:pPr>
    </w:p>
    <w:p w:rsidR="00B705D9" w:rsidRPr="00F5664C" w:rsidRDefault="00B705D9"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B705D9" w:rsidRPr="00F5664C" w:rsidRDefault="00B705D9" w:rsidP="00DD5071">
      <w:pPr>
        <w:rPr>
          <w:rFonts w:ascii="Book Antiqua" w:hAnsi="Book Antiqua" w:cs="Arial"/>
        </w:rPr>
      </w:pPr>
    </w:p>
    <w:p w:rsidR="00B705D9" w:rsidRPr="00F5664C" w:rsidRDefault="00B705D9" w:rsidP="00DE7DB7">
      <w:pPr>
        <w:tabs>
          <w:tab w:val="left" w:pos="2520"/>
        </w:tabs>
        <w:rPr>
          <w:rFonts w:ascii="Book Antiqua" w:hAnsi="Book Antiqua" w:cs="Arial"/>
        </w:rPr>
      </w:pPr>
      <w:r w:rsidRPr="00F5664C">
        <w:rPr>
          <w:rFonts w:ascii="Book Antiqua" w:hAnsi="Book Antiqua" w:cs="Arial"/>
        </w:rPr>
        <w:t>For the Appellant</w:t>
      </w:r>
      <w:r w:rsidR="009E7B3C">
        <w:rPr>
          <w:rFonts w:ascii="Book Antiqua" w:hAnsi="Book Antiqua" w:cs="Arial"/>
        </w:rPr>
        <w:t>s</w:t>
      </w:r>
      <w:r w:rsidRPr="00F5664C">
        <w:rPr>
          <w:rFonts w:ascii="Book Antiqua" w:hAnsi="Book Antiqua" w:cs="Arial"/>
        </w:rPr>
        <w:t>:</w:t>
      </w:r>
      <w:r w:rsidRPr="00F5664C">
        <w:rPr>
          <w:rFonts w:ascii="Book Antiqua" w:hAnsi="Book Antiqua" w:cs="Arial"/>
        </w:rPr>
        <w:tab/>
      </w:r>
      <w:r w:rsidR="009E7B3C">
        <w:rPr>
          <w:rFonts w:ascii="Book Antiqua" w:hAnsi="Book Antiqua" w:cs="Arial"/>
        </w:rPr>
        <w:t>Mr C Mannan,</w:t>
      </w:r>
      <w:r>
        <w:rPr>
          <w:rFonts w:ascii="Book Antiqua" w:hAnsi="Book Antiqua" w:cs="Arial"/>
        </w:rPr>
        <w:t xml:space="preserve"> instructed by </w:t>
      </w:r>
      <w:r w:rsidR="009E7B3C">
        <w:rPr>
          <w:rFonts w:ascii="Book Antiqua" w:hAnsi="Book Antiqua" w:cs="Arial"/>
        </w:rPr>
        <w:t>Stuart &amp; Co Solicitors</w:t>
      </w:r>
    </w:p>
    <w:p w:rsidR="00B705D9" w:rsidRPr="00F5664C" w:rsidRDefault="00B705D9"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9E7B3C">
        <w:rPr>
          <w:rFonts w:ascii="Book Antiqua" w:hAnsi="Book Antiqua" w:cs="Arial"/>
        </w:rPr>
        <w:t>Ms L Kenny</w:t>
      </w:r>
      <w:r>
        <w:rPr>
          <w:rFonts w:ascii="Book Antiqua" w:hAnsi="Book Antiqua" w:cs="Arial"/>
        </w:rPr>
        <w:t>, a Senior Home Office Presenting Officer</w:t>
      </w:r>
    </w:p>
    <w:p w:rsidR="00B705D9" w:rsidRPr="00F5664C" w:rsidRDefault="00B705D9" w:rsidP="00402B9E">
      <w:pPr>
        <w:tabs>
          <w:tab w:val="left" w:pos="2520"/>
        </w:tabs>
        <w:jc w:val="center"/>
        <w:rPr>
          <w:rFonts w:ascii="Book Antiqua" w:hAnsi="Book Antiqua" w:cs="Arial"/>
        </w:rPr>
      </w:pPr>
    </w:p>
    <w:p w:rsidR="00B705D9" w:rsidRDefault="00B705D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rsidR="00B705D9" w:rsidRPr="00267403" w:rsidRDefault="00B705D9" w:rsidP="00267403">
      <w:pPr>
        <w:spacing w:before="240"/>
        <w:jc w:val="both"/>
        <w:rPr>
          <w:rFonts w:ascii="Book Antiqua" w:hAnsi="Book Antiqua" w:cs="Arial"/>
          <w:i/>
          <w:u w:val="single"/>
        </w:rPr>
      </w:pPr>
      <w:r w:rsidRPr="00267403">
        <w:rPr>
          <w:rFonts w:ascii="Book Antiqua" w:hAnsi="Book Antiqua" w:cs="Arial"/>
          <w:b/>
          <w:i/>
          <w:u w:val="single"/>
        </w:rPr>
        <w:t>Anonymity</w:t>
      </w:r>
    </w:p>
    <w:p w:rsidR="00B705D9" w:rsidRPr="00267403" w:rsidRDefault="00B705D9" w:rsidP="00267403">
      <w:pPr>
        <w:spacing w:before="240"/>
        <w:jc w:val="both"/>
        <w:rPr>
          <w:rFonts w:ascii="Book Antiqua" w:hAnsi="Book Antiqua" w:cs="Arial"/>
          <w:i/>
        </w:rPr>
      </w:pPr>
      <w:r w:rsidRPr="00267403">
        <w:rPr>
          <w:rFonts w:ascii="Book Antiqua" w:hAnsi="Book Antiqua" w:cs="Arial"/>
          <w:i/>
        </w:rPr>
        <w:t>The First-tier Tribunal made</w:t>
      </w:r>
      <w:r w:rsidR="005A7AF3">
        <w:rPr>
          <w:rFonts w:ascii="Book Antiqua" w:hAnsi="Book Antiqua" w:cs="Arial"/>
          <w:i/>
        </w:rPr>
        <w:t xml:space="preserve"> </w:t>
      </w:r>
      <w:r w:rsidRPr="00267403">
        <w:rPr>
          <w:rFonts w:ascii="Book Antiqua" w:hAnsi="Book Antiqua" w:cs="Arial"/>
          <w:i/>
        </w:rPr>
        <w:t>an order pursuant to Rule 13 of the Tribunal Procedure (First-tier Tribunal) (Immigration and Asylum Chamber) Rules 2014.  I continue that order pursuant to Rule 14 of the Tribunal Proced</w:t>
      </w:r>
      <w:r w:rsidR="005A7AF3">
        <w:rPr>
          <w:rFonts w:ascii="Book Antiqua" w:hAnsi="Book Antiqua" w:cs="Arial"/>
          <w:i/>
        </w:rPr>
        <w:t>ure (Upper Tribunal) Rules 2008: unless the Upper Tribunal or a court directs otherwise, no report of these proceedings or any form of publication thereof shall identify the original appellant, whether directly or indirectly.  This order applies to, amongst others, all parties.  Any failure to comply with this order could give rise to contempt of court proceedings.</w:t>
      </w:r>
    </w:p>
    <w:p w:rsidR="00B705D9" w:rsidRPr="00267403" w:rsidRDefault="00B705D9" w:rsidP="00402B9E">
      <w:pPr>
        <w:tabs>
          <w:tab w:val="left" w:pos="2520"/>
        </w:tabs>
        <w:jc w:val="center"/>
        <w:rPr>
          <w:rFonts w:ascii="Book Antiqua" w:hAnsi="Book Antiqua" w:cs="Arial"/>
          <w:i/>
        </w:rPr>
      </w:pPr>
    </w:p>
    <w:p w:rsidR="00F22544" w:rsidRDefault="004E30D7" w:rsidP="00284307">
      <w:pPr>
        <w:numPr>
          <w:ilvl w:val="0"/>
          <w:numId w:val="3"/>
        </w:numPr>
        <w:spacing w:before="240"/>
        <w:jc w:val="both"/>
        <w:rPr>
          <w:rFonts w:ascii="Book Antiqua" w:hAnsi="Book Antiqua" w:cs="Arial"/>
        </w:rPr>
      </w:pPr>
      <w:r w:rsidRPr="00F22544">
        <w:rPr>
          <w:rFonts w:ascii="Book Antiqua" w:hAnsi="Book Antiqua" w:cs="Arial"/>
        </w:rPr>
        <w:t>The appellants</w:t>
      </w:r>
      <w:r w:rsidR="00B10855">
        <w:rPr>
          <w:rFonts w:ascii="Book Antiqua" w:hAnsi="Book Antiqua" w:cs="Arial"/>
        </w:rPr>
        <w:t>, a mother and her child, both Gambian citizens,</w:t>
      </w:r>
      <w:r w:rsidRPr="00F22544">
        <w:rPr>
          <w:rFonts w:ascii="Book Antiqua" w:hAnsi="Book Antiqua" w:cs="Arial"/>
        </w:rPr>
        <w:t xml:space="preserve"> appeal with permission against the decision of the First-tier Tribunal on 2</w:t>
      </w:r>
      <w:r w:rsidR="00157CFD">
        <w:rPr>
          <w:rFonts w:ascii="Book Antiqua" w:hAnsi="Book Antiqua" w:cs="Arial"/>
        </w:rPr>
        <w:t>7</w:t>
      </w:r>
      <w:r w:rsidRPr="00F22544">
        <w:rPr>
          <w:rFonts w:ascii="Book Antiqua" w:hAnsi="Book Antiqua" w:cs="Arial"/>
        </w:rPr>
        <w:t xml:space="preserve"> April 2018 dismissing their appeals </w:t>
      </w:r>
      <w:r w:rsidRPr="00F22544">
        <w:rPr>
          <w:rFonts w:ascii="Book Antiqua" w:hAnsi="Book Antiqua" w:cs="Arial"/>
        </w:rPr>
        <w:lastRenderedPageBreak/>
        <w:t xml:space="preserve">against removal to their country of origin, Gambia, following the refusal by the respondent of their protection and human rights claims.  The </w:t>
      </w:r>
      <w:r w:rsidR="00B10855">
        <w:rPr>
          <w:rFonts w:ascii="Book Antiqua" w:hAnsi="Book Antiqua" w:cs="Arial"/>
        </w:rPr>
        <w:t>principal appellant is</w:t>
      </w:r>
      <w:r w:rsidRPr="00F22544">
        <w:rPr>
          <w:rFonts w:ascii="Book Antiqua" w:hAnsi="Book Antiqua" w:cs="Arial"/>
        </w:rPr>
        <w:t xml:space="preserve"> now aged 33 and </w:t>
      </w:r>
      <w:r w:rsidR="00B10855">
        <w:rPr>
          <w:rFonts w:ascii="Book Antiqua" w:hAnsi="Book Antiqua" w:cs="Arial"/>
        </w:rPr>
        <w:t xml:space="preserve">the second appellant, </w:t>
      </w:r>
      <w:r w:rsidRPr="00F22544">
        <w:rPr>
          <w:rFonts w:ascii="Book Antiqua" w:hAnsi="Book Antiqua" w:cs="Arial"/>
        </w:rPr>
        <w:t xml:space="preserve">her </w:t>
      </w:r>
      <w:r w:rsidR="00B10855">
        <w:rPr>
          <w:rFonts w:ascii="Book Antiqua" w:hAnsi="Book Antiqua" w:cs="Arial"/>
        </w:rPr>
        <w:t xml:space="preserve">daughter is almost 3 years old. </w:t>
      </w:r>
      <w:r w:rsidRPr="00F22544">
        <w:rPr>
          <w:rFonts w:ascii="Book Antiqua" w:hAnsi="Book Antiqua" w:cs="Arial"/>
        </w:rPr>
        <w:t xml:space="preserve"> </w:t>
      </w:r>
      <w:r w:rsidR="00B10855">
        <w:rPr>
          <w:rFonts w:ascii="Book Antiqua" w:hAnsi="Book Antiqua" w:cs="Arial"/>
        </w:rPr>
        <w:t xml:space="preserve"> </w:t>
      </w:r>
    </w:p>
    <w:p w:rsidR="004922D1" w:rsidRDefault="004E30D7" w:rsidP="00284307">
      <w:pPr>
        <w:numPr>
          <w:ilvl w:val="0"/>
          <w:numId w:val="3"/>
        </w:numPr>
        <w:spacing w:before="240"/>
        <w:jc w:val="both"/>
        <w:rPr>
          <w:rFonts w:ascii="Book Antiqua" w:hAnsi="Book Antiqua" w:cs="Arial"/>
        </w:rPr>
      </w:pPr>
      <w:r w:rsidRPr="00F22544">
        <w:rPr>
          <w:rFonts w:ascii="Book Antiqua" w:hAnsi="Book Antiqua" w:cs="Arial"/>
        </w:rPr>
        <w:t>As set out in the First-tier Judge’s decision and in the principal appellant’s statement, the principal appellant is a victim of trafficking</w:t>
      </w:r>
      <w:r w:rsidR="004F3746">
        <w:rPr>
          <w:rFonts w:ascii="Book Antiqua" w:hAnsi="Book Antiqua" w:cs="Arial"/>
        </w:rPr>
        <w:t>,</w:t>
      </w:r>
      <w:r w:rsidRPr="00F22544">
        <w:rPr>
          <w:rFonts w:ascii="Book Antiqua" w:hAnsi="Book Antiqua" w:cs="Arial"/>
        </w:rPr>
        <w:t xml:space="preserve"> </w:t>
      </w:r>
      <w:r w:rsidR="00F22544">
        <w:rPr>
          <w:rFonts w:ascii="Book Antiqua" w:hAnsi="Book Antiqua" w:cs="Arial"/>
        </w:rPr>
        <w:t xml:space="preserve">trafficked </w:t>
      </w:r>
      <w:r w:rsidR="004922D1">
        <w:rPr>
          <w:rFonts w:ascii="Book Antiqua" w:hAnsi="Book Antiqua" w:cs="Arial"/>
        </w:rPr>
        <w:t xml:space="preserve">by her great aunt </w:t>
      </w:r>
      <w:r w:rsidR="00F22544">
        <w:rPr>
          <w:rFonts w:ascii="Book Antiqua" w:hAnsi="Book Antiqua" w:cs="Arial"/>
        </w:rPr>
        <w:t xml:space="preserve">to the United Kingdom when she was about 16 years old </w:t>
      </w:r>
      <w:r w:rsidR="004F3746">
        <w:rPr>
          <w:rFonts w:ascii="Book Antiqua" w:hAnsi="Book Antiqua" w:cs="Arial"/>
        </w:rPr>
        <w:t>(</w:t>
      </w:r>
      <w:r w:rsidR="00F22544">
        <w:rPr>
          <w:rFonts w:ascii="Book Antiqua" w:hAnsi="Book Antiqua" w:cs="Arial"/>
        </w:rPr>
        <w:t>in approximately 2001</w:t>
      </w:r>
      <w:r w:rsidR="004F3746">
        <w:rPr>
          <w:rFonts w:ascii="Book Antiqua" w:hAnsi="Book Antiqua" w:cs="Arial"/>
        </w:rPr>
        <w:t>)</w:t>
      </w:r>
      <w:r w:rsidR="00F22544">
        <w:rPr>
          <w:rFonts w:ascii="Book Antiqua" w:hAnsi="Book Antiqua" w:cs="Arial"/>
        </w:rPr>
        <w:t xml:space="preserve"> to work as the housekeeper and childminder of a woman called Nina.  At some point before the beginning of 2005 and possibly considerably earlier the appellant was able to escape from Nina and began to live independently in the United Kingdom. </w:t>
      </w:r>
    </w:p>
    <w:p w:rsidR="004922D1" w:rsidRDefault="00B10855" w:rsidP="00284307">
      <w:pPr>
        <w:numPr>
          <w:ilvl w:val="0"/>
          <w:numId w:val="3"/>
        </w:numPr>
        <w:spacing w:before="240"/>
        <w:jc w:val="both"/>
        <w:rPr>
          <w:rFonts w:ascii="Book Antiqua" w:hAnsi="Book Antiqua" w:cs="Arial"/>
        </w:rPr>
      </w:pPr>
      <w:r>
        <w:rPr>
          <w:rFonts w:ascii="Book Antiqua" w:hAnsi="Book Antiqua" w:cs="Arial"/>
        </w:rPr>
        <w:t>The principal appellant</w:t>
      </w:r>
      <w:r w:rsidR="004922D1">
        <w:rPr>
          <w:rFonts w:ascii="Book Antiqua" w:hAnsi="Book Antiqua" w:cs="Arial"/>
        </w:rPr>
        <w:t xml:space="preserve"> has three children:</w:t>
      </w:r>
    </w:p>
    <w:p w:rsidR="004E30D7" w:rsidRDefault="004922D1" w:rsidP="004922D1">
      <w:pPr>
        <w:pStyle w:val="ListParagraph"/>
        <w:numPr>
          <w:ilvl w:val="1"/>
          <w:numId w:val="3"/>
        </w:numPr>
        <w:spacing w:before="240"/>
        <w:jc w:val="both"/>
        <w:rPr>
          <w:rFonts w:ascii="Book Antiqua" w:hAnsi="Book Antiqua" w:cs="Arial"/>
        </w:rPr>
      </w:pPr>
      <w:r>
        <w:rPr>
          <w:rFonts w:ascii="Book Antiqua" w:hAnsi="Book Antiqua" w:cs="Arial"/>
        </w:rPr>
        <w:t xml:space="preserve">Her eldest child was born in </w:t>
      </w:r>
      <w:r w:rsidR="00F22544" w:rsidRPr="004922D1">
        <w:rPr>
          <w:rFonts w:ascii="Book Antiqua" w:hAnsi="Book Antiqua" w:cs="Arial"/>
        </w:rPr>
        <w:t>November 2005</w:t>
      </w:r>
      <w:r w:rsidRPr="004922D1">
        <w:rPr>
          <w:rFonts w:ascii="Book Antiqua" w:hAnsi="Book Antiqua" w:cs="Arial"/>
        </w:rPr>
        <w:t>,</w:t>
      </w:r>
      <w:r w:rsidR="00F22544" w:rsidRPr="004922D1">
        <w:rPr>
          <w:rFonts w:ascii="Book Antiqua" w:hAnsi="Book Antiqua" w:cs="Arial"/>
        </w:rPr>
        <w:t xml:space="preserve"> </w:t>
      </w:r>
      <w:r>
        <w:rPr>
          <w:rFonts w:ascii="Book Antiqua" w:hAnsi="Book Antiqua" w:cs="Arial"/>
        </w:rPr>
        <w:t xml:space="preserve">but the relationship between </w:t>
      </w:r>
      <w:r w:rsidR="00B10855">
        <w:rPr>
          <w:rFonts w:ascii="Book Antiqua" w:hAnsi="Book Antiqua" w:cs="Arial"/>
        </w:rPr>
        <w:t>the principal appellant</w:t>
      </w:r>
      <w:r>
        <w:rPr>
          <w:rFonts w:ascii="Book Antiqua" w:hAnsi="Book Antiqua" w:cs="Arial"/>
        </w:rPr>
        <w:t xml:space="preserve"> and the child’s father broke down and he returned to Gambia.  </w:t>
      </w:r>
      <w:r w:rsidR="00B10855">
        <w:rPr>
          <w:rFonts w:ascii="Book Antiqua" w:hAnsi="Book Antiqua" w:cs="Arial"/>
        </w:rPr>
        <w:t>The principal appellant</w:t>
      </w:r>
      <w:r>
        <w:rPr>
          <w:rFonts w:ascii="Book Antiqua" w:hAnsi="Book Antiqua" w:cs="Arial"/>
        </w:rPr>
        <w:t xml:space="preserve"> </w:t>
      </w:r>
      <w:r w:rsidR="00F22544" w:rsidRPr="004922D1">
        <w:rPr>
          <w:rFonts w:ascii="Book Antiqua" w:hAnsi="Book Antiqua" w:cs="Arial"/>
        </w:rPr>
        <w:t xml:space="preserve">had great difficulty in looking after </w:t>
      </w:r>
      <w:r>
        <w:rPr>
          <w:rFonts w:ascii="Book Antiqua" w:hAnsi="Book Antiqua" w:cs="Arial"/>
        </w:rPr>
        <w:t xml:space="preserve">the child alone after he left.   </w:t>
      </w:r>
      <w:r w:rsidR="00F22544" w:rsidRPr="004922D1">
        <w:rPr>
          <w:rFonts w:ascii="Book Antiqua" w:hAnsi="Book Antiqua" w:cs="Arial"/>
        </w:rPr>
        <w:t xml:space="preserve">It was </w:t>
      </w:r>
      <w:r w:rsidR="00B10855">
        <w:rPr>
          <w:rFonts w:ascii="Book Antiqua" w:hAnsi="Book Antiqua" w:cs="Arial"/>
        </w:rPr>
        <w:t>the principal appellant</w:t>
      </w:r>
      <w:r w:rsidR="00F22544" w:rsidRPr="004922D1">
        <w:rPr>
          <w:rFonts w:ascii="Book Antiqua" w:hAnsi="Book Antiqua" w:cs="Arial"/>
        </w:rPr>
        <w:t xml:space="preserve">’s evidence that she asked the father to take on the care of that child in Gambia and not to inform her great aunt that the child existed.  That appears to have been successful and </w:t>
      </w:r>
      <w:r w:rsidR="00B10855">
        <w:rPr>
          <w:rFonts w:ascii="Book Antiqua" w:hAnsi="Book Antiqua" w:cs="Arial"/>
        </w:rPr>
        <w:t>the principal appellant</w:t>
      </w:r>
      <w:r w:rsidRPr="004922D1">
        <w:rPr>
          <w:rFonts w:ascii="Book Antiqua" w:hAnsi="Book Antiqua" w:cs="Arial"/>
        </w:rPr>
        <w:t xml:space="preserve">’s </w:t>
      </w:r>
      <w:r>
        <w:rPr>
          <w:rFonts w:ascii="Book Antiqua" w:hAnsi="Book Antiqua" w:cs="Arial"/>
        </w:rPr>
        <w:t>eldest</w:t>
      </w:r>
      <w:r w:rsidR="00F22544" w:rsidRPr="004922D1">
        <w:rPr>
          <w:rFonts w:ascii="Book Antiqua" w:hAnsi="Book Antiqua" w:cs="Arial"/>
        </w:rPr>
        <w:t xml:space="preserve"> child now </w:t>
      </w:r>
      <w:r w:rsidRPr="004922D1">
        <w:rPr>
          <w:rFonts w:ascii="Book Antiqua" w:hAnsi="Book Antiqua" w:cs="Arial"/>
        </w:rPr>
        <w:t xml:space="preserve">lives </w:t>
      </w:r>
      <w:r w:rsidR="00F22544" w:rsidRPr="004922D1">
        <w:rPr>
          <w:rFonts w:ascii="Book Antiqua" w:hAnsi="Book Antiqua" w:cs="Arial"/>
        </w:rPr>
        <w:t xml:space="preserve">in </w:t>
      </w:r>
      <w:r>
        <w:rPr>
          <w:rFonts w:ascii="Book Antiqua" w:hAnsi="Book Antiqua" w:cs="Arial"/>
        </w:rPr>
        <w:t>Gambia;</w:t>
      </w:r>
    </w:p>
    <w:p w:rsidR="004922D1" w:rsidRPr="004922D1" w:rsidRDefault="004922D1" w:rsidP="004922D1">
      <w:pPr>
        <w:pStyle w:val="ListParagraph"/>
        <w:spacing w:before="240"/>
        <w:ind w:left="1134"/>
        <w:jc w:val="both"/>
        <w:rPr>
          <w:rFonts w:ascii="Book Antiqua" w:hAnsi="Book Antiqua" w:cs="Arial"/>
        </w:rPr>
      </w:pPr>
    </w:p>
    <w:p w:rsidR="00F22544" w:rsidRDefault="004922D1" w:rsidP="004922D1">
      <w:pPr>
        <w:pStyle w:val="ListParagraph"/>
        <w:numPr>
          <w:ilvl w:val="1"/>
          <w:numId w:val="3"/>
        </w:numPr>
        <w:jc w:val="both"/>
        <w:rPr>
          <w:rFonts w:ascii="Book Antiqua" w:hAnsi="Book Antiqua" w:cs="Arial"/>
        </w:rPr>
      </w:pPr>
      <w:r>
        <w:rPr>
          <w:rFonts w:ascii="Book Antiqua" w:hAnsi="Book Antiqua" w:cs="Arial"/>
        </w:rPr>
        <w:t xml:space="preserve">In December 2010, </w:t>
      </w:r>
      <w:r w:rsidR="00B10855">
        <w:rPr>
          <w:rFonts w:ascii="Book Antiqua" w:hAnsi="Book Antiqua" w:cs="Arial"/>
        </w:rPr>
        <w:t>the principal appellant</w:t>
      </w:r>
      <w:r w:rsidR="00F22544">
        <w:rPr>
          <w:rFonts w:ascii="Book Antiqua" w:hAnsi="Book Antiqua" w:cs="Arial"/>
        </w:rPr>
        <w:t xml:space="preserve"> had a second child</w:t>
      </w:r>
      <w:r w:rsidR="00EE6ED8">
        <w:rPr>
          <w:rFonts w:ascii="Book Antiqua" w:hAnsi="Book Antiqua" w:cs="Arial"/>
        </w:rPr>
        <w:t>, a son,</w:t>
      </w:r>
      <w:r w:rsidR="00F22544">
        <w:rPr>
          <w:rFonts w:ascii="Book Antiqua" w:hAnsi="Book Antiqua" w:cs="Arial"/>
        </w:rPr>
        <w:t xml:space="preserve"> who was born with disabilities and has been formally adopted.  She sends</w:t>
      </w:r>
      <w:r w:rsidR="00EE6ED8">
        <w:rPr>
          <w:rFonts w:ascii="Book Antiqua" w:hAnsi="Book Antiqua" w:cs="Arial"/>
        </w:rPr>
        <w:t xml:space="preserve"> him</w:t>
      </w:r>
      <w:r w:rsidR="00F22544">
        <w:rPr>
          <w:rFonts w:ascii="Book Antiqua" w:hAnsi="Book Antiqua" w:cs="Arial"/>
        </w:rPr>
        <w:t xml:space="preserve"> two letters a year through Social Services and sometimes gets updates as to his </w:t>
      </w:r>
      <w:r>
        <w:rPr>
          <w:rFonts w:ascii="Book Antiqua" w:hAnsi="Book Antiqua" w:cs="Arial"/>
        </w:rPr>
        <w:t>progress,</w:t>
      </w:r>
      <w:r w:rsidR="00F22544">
        <w:rPr>
          <w:rFonts w:ascii="Book Antiqua" w:hAnsi="Book Antiqua" w:cs="Arial"/>
        </w:rPr>
        <w:t xml:space="preserve"> but she is no longer involved with the parent</w:t>
      </w:r>
      <w:r>
        <w:rPr>
          <w:rFonts w:ascii="Book Antiqua" w:hAnsi="Book Antiqua" w:cs="Arial"/>
        </w:rPr>
        <w:t>ing</w:t>
      </w:r>
      <w:r w:rsidR="00F22544">
        <w:rPr>
          <w:rFonts w:ascii="Book Antiqua" w:hAnsi="Book Antiqua" w:cs="Arial"/>
        </w:rPr>
        <w:t xml:space="preserve"> of that child</w:t>
      </w:r>
      <w:r>
        <w:rPr>
          <w:rFonts w:ascii="Book Antiqua" w:hAnsi="Book Antiqua" w:cs="Arial"/>
        </w:rPr>
        <w:t>;</w:t>
      </w:r>
    </w:p>
    <w:p w:rsidR="004922D1" w:rsidRPr="004922D1" w:rsidRDefault="004922D1" w:rsidP="004922D1">
      <w:pPr>
        <w:pStyle w:val="ListParagraph"/>
        <w:rPr>
          <w:rFonts w:ascii="Book Antiqua" w:hAnsi="Book Antiqua" w:cs="Arial"/>
        </w:rPr>
      </w:pPr>
    </w:p>
    <w:p w:rsidR="00F22544" w:rsidRDefault="004922D1" w:rsidP="004922D1">
      <w:pPr>
        <w:pStyle w:val="ListParagraph"/>
        <w:numPr>
          <w:ilvl w:val="1"/>
          <w:numId w:val="3"/>
        </w:numPr>
        <w:spacing w:before="240"/>
        <w:jc w:val="both"/>
        <w:rPr>
          <w:rFonts w:ascii="Book Antiqua" w:hAnsi="Book Antiqua" w:cs="Arial"/>
        </w:rPr>
      </w:pPr>
      <w:r>
        <w:rPr>
          <w:rFonts w:ascii="Book Antiqua" w:hAnsi="Book Antiqua" w:cs="Arial"/>
        </w:rPr>
        <w:t xml:space="preserve">In December 2014, </w:t>
      </w:r>
      <w:r w:rsidR="00B10855">
        <w:rPr>
          <w:rFonts w:ascii="Book Antiqua" w:hAnsi="Book Antiqua" w:cs="Arial"/>
        </w:rPr>
        <w:t>the principal appellant</w:t>
      </w:r>
      <w:r>
        <w:rPr>
          <w:rFonts w:ascii="Book Antiqua" w:hAnsi="Book Antiqua" w:cs="Arial"/>
        </w:rPr>
        <w:t xml:space="preserve"> had a miscarriage.  On 19 December 2015, the second appellant, her third child, was born in the United Kingdom.  </w:t>
      </w:r>
      <w:r w:rsidR="00EE6ED8">
        <w:rPr>
          <w:rFonts w:ascii="Book Antiqua" w:hAnsi="Book Antiqua" w:cs="Arial"/>
        </w:rPr>
        <w:t>The third appellant</w:t>
      </w:r>
      <w:r>
        <w:rPr>
          <w:rFonts w:ascii="Book Antiqua" w:hAnsi="Book Antiqua" w:cs="Arial"/>
        </w:rPr>
        <w:t xml:space="preserve"> is still only 2 years old.   </w:t>
      </w:r>
      <w:r w:rsidR="00D505A3">
        <w:rPr>
          <w:rFonts w:ascii="Book Antiqua" w:hAnsi="Book Antiqua" w:cs="Arial"/>
        </w:rPr>
        <w:t xml:space="preserve">At the date of her statement </w:t>
      </w:r>
      <w:r w:rsidR="00B10855">
        <w:rPr>
          <w:rFonts w:ascii="Book Antiqua" w:hAnsi="Book Antiqua" w:cs="Arial"/>
        </w:rPr>
        <w:t>the principal appellant</w:t>
      </w:r>
      <w:r w:rsidR="00D505A3">
        <w:rPr>
          <w:rFonts w:ascii="Book Antiqua" w:hAnsi="Book Antiqua" w:cs="Arial"/>
        </w:rPr>
        <w:t xml:space="preserve"> was being supported by friends and the Red Cross.  </w:t>
      </w:r>
    </w:p>
    <w:p w:rsidR="004922D1" w:rsidRDefault="00D505A3" w:rsidP="00284307">
      <w:pPr>
        <w:numPr>
          <w:ilvl w:val="0"/>
          <w:numId w:val="3"/>
        </w:numPr>
        <w:spacing w:before="240"/>
        <w:jc w:val="both"/>
        <w:rPr>
          <w:rFonts w:ascii="Book Antiqua" w:hAnsi="Book Antiqua" w:cs="Arial"/>
        </w:rPr>
      </w:pPr>
      <w:r>
        <w:rPr>
          <w:rFonts w:ascii="Book Antiqua" w:hAnsi="Book Antiqua" w:cs="Arial"/>
        </w:rPr>
        <w:t>The evidence before the First-tier Tribunal did not include a copy</w:t>
      </w:r>
      <w:r w:rsidR="004922D1">
        <w:rPr>
          <w:rFonts w:ascii="Book Antiqua" w:hAnsi="Book Antiqua" w:cs="Arial"/>
        </w:rPr>
        <w:t xml:space="preserve"> of the reasonable grounds or conclusive grounds decision of the </w:t>
      </w:r>
      <w:r w:rsidR="00C6456B">
        <w:rPr>
          <w:rFonts w:ascii="Book Antiqua" w:hAnsi="Book Antiqua" w:cs="Arial"/>
        </w:rPr>
        <w:t>Competent Authority</w:t>
      </w:r>
      <w:r w:rsidR="004922D1">
        <w:rPr>
          <w:rFonts w:ascii="Book Antiqua" w:hAnsi="Book Antiqua" w:cs="Arial"/>
        </w:rPr>
        <w:t xml:space="preserve"> in relation to </w:t>
      </w:r>
      <w:r w:rsidR="00B10855">
        <w:rPr>
          <w:rFonts w:ascii="Book Antiqua" w:hAnsi="Book Antiqua" w:cs="Arial"/>
        </w:rPr>
        <w:t>the principal</w:t>
      </w:r>
      <w:r w:rsidR="004922D1">
        <w:rPr>
          <w:rFonts w:ascii="Book Antiqua" w:hAnsi="Book Antiqua" w:cs="Arial"/>
        </w:rPr>
        <w:t xml:space="preserve"> appellant.  </w:t>
      </w:r>
      <w:r w:rsidR="004922D1" w:rsidRPr="004922D1">
        <w:rPr>
          <w:rFonts w:ascii="Book Antiqua" w:hAnsi="Book Antiqua" w:cs="Arial"/>
        </w:rPr>
        <w:t xml:space="preserve">Both the conclusive grounds decision and the earlier reasonable grounds decision would have been sent to </w:t>
      </w:r>
      <w:r w:rsidR="00B10855">
        <w:rPr>
          <w:rFonts w:ascii="Book Antiqua" w:hAnsi="Book Antiqua" w:cs="Arial"/>
        </w:rPr>
        <w:t>the appellants’</w:t>
      </w:r>
      <w:r w:rsidR="004922D1" w:rsidRPr="004922D1">
        <w:rPr>
          <w:rFonts w:ascii="Book Antiqua" w:hAnsi="Book Antiqua" w:cs="Arial"/>
        </w:rPr>
        <w:t xml:space="preserve"> then solicitors</w:t>
      </w:r>
      <w:r w:rsidR="00B10855">
        <w:rPr>
          <w:rFonts w:ascii="Book Antiqua" w:hAnsi="Book Antiqua" w:cs="Arial"/>
        </w:rPr>
        <w:t xml:space="preserve">, </w:t>
      </w:r>
      <w:r w:rsidR="004922D1" w:rsidRPr="004922D1">
        <w:rPr>
          <w:rFonts w:ascii="Book Antiqua" w:hAnsi="Book Antiqua" w:cs="Arial"/>
        </w:rPr>
        <w:t>Leonard &amp; Co</w:t>
      </w:r>
      <w:r w:rsidR="00B10855">
        <w:rPr>
          <w:rFonts w:ascii="Book Antiqua" w:hAnsi="Book Antiqua" w:cs="Arial"/>
        </w:rPr>
        <w:t xml:space="preserve">. </w:t>
      </w:r>
      <w:r w:rsidR="004922D1" w:rsidRPr="004922D1">
        <w:rPr>
          <w:rFonts w:ascii="Book Antiqua" w:hAnsi="Book Antiqua" w:cs="Arial"/>
        </w:rPr>
        <w:t xml:space="preserve"> </w:t>
      </w:r>
      <w:r w:rsidR="00B10855">
        <w:rPr>
          <w:rFonts w:ascii="Book Antiqua" w:hAnsi="Book Antiqua" w:cs="Arial"/>
        </w:rPr>
        <w:t xml:space="preserve"> </w:t>
      </w:r>
    </w:p>
    <w:p w:rsidR="00D11122" w:rsidRPr="004922D1" w:rsidRDefault="00B10855" w:rsidP="00284307">
      <w:pPr>
        <w:numPr>
          <w:ilvl w:val="0"/>
          <w:numId w:val="3"/>
        </w:numPr>
        <w:spacing w:before="240"/>
        <w:jc w:val="both"/>
        <w:rPr>
          <w:rFonts w:ascii="Book Antiqua" w:hAnsi="Book Antiqua" w:cs="Arial"/>
        </w:rPr>
      </w:pPr>
      <w:r>
        <w:rPr>
          <w:rFonts w:ascii="Book Antiqua" w:hAnsi="Book Antiqua" w:cs="Arial"/>
        </w:rPr>
        <w:t xml:space="preserve">The appellants have </w:t>
      </w:r>
      <w:r w:rsidR="004922D1" w:rsidRPr="004922D1">
        <w:rPr>
          <w:rFonts w:ascii="Book Antiqua" w:hAnsi="Book Antiqua" w:cs="Arial"/>
        </w:rPr>
        <w:t xml:space="preserve">new solicitors now, Stuart &amp; Co, </w:t>
      </w:r>
      <w:r>
        <w:rPr>
          <w:rFonts w:ascii="Book Antiqua" w:hAnsi="Book Antiqua" w:cs="Arial"/>
        </w:rPr>
        <w:t xml:space="preserve">who </w:t>
      </w:r>
      <w:r w:rsidR="004922D1" w:rsidRPr="004922D1">
        <w:rPr>
          <w:rFonts w:ascii="Book Antiqua" w:hAnsi="Book Antiqua" w:cs="Arial"/>
        </w:rPr>
        <w:t xml:space="preserve">have obtained and served </w:t>
      </w:r>
      <w:r w:rsidR="00D505A3" w:rsidRPr="004922D1">
        <w:rPr>
          <w:rFonts w:ascii="Book Antiqua" w:hAnsi="Book Antiqua" w:cs="Arial"/>
        </w:rPr>
        <w:t xml:space="preserve">a copy of </w:t>
      </w:r>
      <w:r w:rsidR="004922D1" w:rsidRPr="004922D1">
        <w:rPr>
          <w:rFonts w:ascii="Book Antiqua" w:hAnsi="Book Antiqua" w:cs="Arial"/>
        </w:rPr>
        <w:t xml:space="preserve">a document from the </w:t>
      </w:r>
      <w:r w:rsidR="00C6456B">
        <w:rPr>
          <w:rFonts w:ascii="Book Antiqua" w:hAnsi="Book Antiqua" w:cs="Arial"/>
        </w:rPr>
        <w:t>Competent Authority</w:t>
      </w:r>
      <w:r w:rsidR="004922D1" w:rsidRPr="004922D1">
        <w:rPr>
          <w:rFonts w:ascii="Book Antiqua" w:hAnsi="Book Antiqua" w:cs="Arial"/>
        </w:rPr>
        <w:t xml:space="preserve"> dated 1 February 2017, which establishes what leave has been given </w:t>
      </w:r>
      <w:proofErr w:type="gramStart"/>
      <w:r w:rsidR="004922D1" w:rsidRPr="004922D1">
        <w:rPr>
          <w:rFonts w:ascii="Book Antiqua" w:hAnsi="Book Antiqua" w:cs="Arial"/>
        </w:rPr>
        <w:t>as a result of</w:t>
      </w:r>
      <w:proofErr w:type="gramEnd"/>
      <w:r w:rsidR="004922D1" w:rsidRPr="004922D1">
        <w:rPr>
          <w:rFonts w:ascii="Book Antiqua" w:hAnsi="Book Antiqua" w:cs="Arial"/>
        </w:rPr>
        <w:t xml:space="preserve"> the conclusive grounds decision.  Ms Kenny, the Home Office Presenting Officer today, did not object to the admission of that document, and I admit it </w:t>
      </w:r>
      <w:r w:rsidR="00D505A3" w:rsidRPr="004922D1">
        <w:rPr>
          <w:rFonts w:ascii="Book Antiqua" w:hAnsi="Book Antiqua" w:cs="Arial"/>
        </w:rPr>
        <w:t>pursuant to Rule 15(2</w:t>
      </w:r>
      <w:r w:rsidR="00F918E4" w:rsidRPr="004922D1">
        <w:rPr>
          <w:rFonts w:ascii="Book Antiqua" w:hAnsi="Book Antiqua" w:cs="Arial"/>
        </w:rPr>
        <w:t>)(a</w:t>
      </w:r>
      <w:r w:rsidR="00D505A3" w:rsidRPr="004922D1">
        <w:rPr>
          <w:rFonts w:ascii="Book Antiqua" w:hAnsi="Book Antiqua" w:cs="Arial"/>
        </w:rPr>
        <w:t xml:space="preserve">) of </w:t>
      </w:r>
      <w:r w:rsidR="004922D1" w:rsidRPr="004922D1">
        <w:rPr>
          <w:rFonts w:ascii="Book Antiqua" w:hAnsi="Book Antiqua" w:cs="Arial"/>
        </w:rPr>
        <w:t>The Tribunal Procedure (Upper Tribunal) Rules 2008 (as amended)</w:t>
      </w:r>
      <w:r w:rsidR="00D505A3" w:rsidRPr="004922D1">
        <w:rPr>
          <w:rFonts w:ascii="Book Antiqua" w:hAnsi="Book Antiqua" w:cs="Arial"/>
        </w:rPr>
        <w:t xml:space="preserve">.  </w:t>
      </w:r>
      <w:r w:rsidR="004922D1">
        <w:rPr>
          <w:rFonts w:ascii="Book Antiqua" w:hAnsi="Book Antiqua" w:cs="Arial"/>
        </w:rPr>
        <w:t xml:space="preserve"> </w:t>
      </w:r>
      <w:r w:rsidR="003507C1" w:rsidRPr="003507C1">
        <w:rPr>
          <w:rFonts w:ascii="Book Antiqua" w:hAnsi="Book Antiqua" w:cs="Arial"/>
        </w:rPr>
        <w:t xml:space="preserve">There is no explanation as to why the decisions of the </w:t>
      </w:r>
      <w:r w:rsidR="00C6456B">
        <w:rPr>
          <w:rFonts w:ascii="Book Antiqua" w:hAnsi="Book Antiqua" w:cs="Arial"/>
        </w:rPr>
        <w:t>Competent Authority</w:t>
      </w:r>
      <w:r w:rsidR="003507C1" w:rsidRPr="003507C1">
        <w:rPr>
          <w:rFonts w:ascii="Book Antiqua" w:hAnsi="Book Antiqua" w:cs="Arial"/>
        </w:rPr>
        <w:t xml:space="preserve"> were not in evidence before the First-tier Tribunal.  </w:t>
      </w:r>
    </w:p>
    <w:p w:rsidR="004922D1" w:rsidRDefault="003507C1" w:rsidP="00284307">
      <w:pPr>
        <w:numPr>
          <w:ilvl w:val="0"/>
          <w:numId w:val="3"/>
        </w:numPr>
        <w:spacing w:before="240"/>
        <w:jc w:val="both"/>
        <w:rPr>
          <w:rFonts w:ascii="Book Antiqua" w:hAnsi="Book Antiqua" w:cs="Arial"/>
        </w:rPr>
      </w:pPr>
      <w:r w:rsidRPr="001A3D78">
        <w:rPr>
          <w:rFonts w:ascii="Book Antiqua" w:hAnsi="Book Antiqua" w:cs="Arial"/>
        </w:rPr>
        <w:lastRenderedPageBreak/>
        <w:t xml:space="preserve">The </w:t>
      </w:r>
      <w:r w:rsidR="004922D1">
        <w:rPr>
          <w:rFonts w:ascii="Book Antiqua" w:hAnsi="Book Antiqua" w:cs="Arial"/>
        </w:rPr>
        <w:t>First-tier Judge</w:t>
      </w:r>
      <w:r w:rsidR="00D11122" w:rsidRPr="001A3D78">
        <w:rPr>
          <w:rFonts w:ascii="Book Antiqua" w:hAnsi="Book Antiqua" w:cs="Arial"/>
        </w:rPr>
        <w:t xml:space="preserve"> accepted that the </w:t>
      </w:r>
      <w:r w:rsidR="004922D1">
        <w:rPr>
          <w:rFonts w:ascii="Book Antiqua" w:hAnsi="Book Antiqua" w:cs="Arial"/>
        </w:rPr>
        <w:t xml:space="preserve">principal </w:t>
      </w:r>
      <w:r w:rsidR="00D11122" w:rsidRPr="001A3D78">
        <w:rPr>
          <w:rFonts w:ascii="Book Antiqua" w:hAnsi="Book Antiqua" w:cs="Arial"/>
        </w:rPr>
        <w:t>appellant had been found to be a victim of trafficking and set out at length the contents of her witness statement of 1</w:t>
      </w:r>
      <w:r w:rsidR="00157CFD">
        <w:rPr>
          <w:rFonts w:ascii="Book Antiqua" w:hAnsi="Book Antiqua" w:cs="Arial"/>
        </w:rPr>
        <w:t>8</w:t>
      </w:r>
      <w:r w:rsidR="00D11122" w:rsidRPr="001A3D78">
        <w:rPr>
          <w:rFonts w:ascii="Book Antiqua" w:hAnsi="Book Antiqua" w:cs="Arial"/>
        </w:rPr>
        <w:t xml:space="preserve"> April 2016.  He then went on to consider whether the </w:t>
      </w:r>
      <w:r w:rsidR="004922D1">
        <w:rPr>
          <w:rFonts w:ascii="Book Antiqua" w:hAnsi="Book Antiqua" w:cs="Arial"/>
        </w:rPr>
        <w:t xml:space="preserve">principal </w:t>
      </w:r>
      <w:r w:rsidR="00D11122" w:rsidRPr="001A3D78">
        <w:rPr>
          <w:rFonts w:ascii="Book Antiqua" w:hAnsi="Book Antiqua" w:cs="Arial"/>
        </w:rPr>
        <w:t xml:space="preserve">appellant was at risk of re-trafficking if returned to </w:t>
      </w:r>
      <w:r w:rsidR="004922D1">
        <w:rPr>
          <w:rFonts w:ascii="Book Antiqua" w:hAnsi="Book Antiqua" w:cs="Arial"/>
        </w:rPr>
        <w:t>Gambia, which is the crucial issue in this appeal</w:t>
      </w:r>
      <w:r w:rsidR="00D11122" w:rsidRPr="001A3D78">
        <w:rPr>
          <w:rFonts w:ascii="Book Antiqua" w:hAnsi="Book Antiqua" w:cs="Arial"/>
        </w:rPr>
        <w:t>.  He concluded that she was not</w:t>
      </w:r>
      <w:r w:rsidR="004922D1">
        <w:rPr>
          <w:rFonts w:ascii="Book Antiqua" w:hAnsi="Book Antiqua" w:cs="Arial"/>
        </w:rPr>
        <w:t xml:space="preserve"> at risk of re-trafficking,</w:t>
      </w:r>
      <w:r w:rsidR="00D11122" w:rsidRPr="001A3D78">
        <w:rPr>
          <w:rFonts w:ascii="Book Antiqua" w:hAnsi="Book Antiqua" w:cs="Arial"/>
        </w:rPr>
        <w:t xml:space="preserve"> for the reasons set out in his decision</w:t>
      </w:r>
      <w:r w:rsidR="004922D1">
        <w:rPr>
          <w:rFonts w:ascii="Book Antiqua" w:hAnsi="Book Antiqua" w:cs="Arial"/>
        </w:rPr>
        <w:t>.</w:t>
      </w:r>
    </w:p>
    <w:p w:rsidR="001A3D78" w:rsidRDefault="004922D1" w:rsidP="00284307">
      <w:pPr>
        <w:numPr>
          <w:ilvl w:val="0"/>
          <w:numId w:val="3"/>
        </w:numPr>
        <w:spacing w:before="240"/>
        <w:jc w:val="both"/>
        <w:rPr>
          <w:rFonts w:ascii="Book Antiqua" w:hAnsi="Book Antiqua" w:cs="Arial"/>
        </w:rPr>
      </w:pPr>
      <w:r>
        <w:rPr>
          <w:rFonts w:ascii="Book Antiqua" w:hAnsi="Book Antiqua" w:cs="Arial"/>
        </w:rPr>
        <w:t xml:space="preserve">The </w:t>
      </w:r>
      <w:r w:rsidR="00B10855">
        <w:rPr>
          <w:rFonts w:ascii="Book Antiqua" w:hAnsi="Book Antiqua" w:cs="Arial"/>
        </w:rPr>
        <w:t>First-tier Judge</w:t>
      </w:r>
      <w:r>
        <w:rPr>
          <w:rFonts w:ascii="Book Antiqua" w:hAnsi="Book Antiqua" w:cs="Arial"/>
        </w:rPr>
        <w:t xml:space="preserve"> then dealt </w:t>
      </w:r>
      <w:r w:rsidR="00D11122" w:rsidRPr="001A3D78">
        <w:rPr>
          <w:rFonts w:ascii="Book Antiqua" w:hAnsi="Book Antiqua" w:cs="Arial"/>
        </w:rPr>
        <w:t xml:space="preserve">with humanitarian protection and human rights.  </w:t>
      </w:r>
      <w:r>
        <w:rPr>
          <w:rFonts w:ascii="Book Antiqua" w:hAnsi="Book Antiqua" w:cs="Arial"/>
        </w:rPr>
        <w:t xml:space="preserve">The Judge accepted at [23] that it was in the best interests of the second appellant to remain with her mother, even if the principal appellant is returned to Gambia. </w:t>
      </w:r>
      <w:r w:rsidR="003507C1">
        <w:rPr>
          <w:rFonts w:ascii="Book Antiqua" w:hAnsi="Book Antiqua" w:cs="Arial"/>
        </w:rPr>
        <w:t>The Judge found</w:t>
      </w:r>
      <w:r w:rsidR="00D11122" w:rsidRPr="001A3D78">
        <w:rPr>
          <w:rFonts w:ascii="Book Antiqua" w:hAnsi="Book Antiqua" w:cs="Arial"/>
        </w:rPr>
        <w:t xml:space="preserve"> that there w</w:t>
      </w:r>
      <w:r w:rsidR="006D5AA0">
        <w:rPr>
          <w:rFonts w:ascii="Book Antiqua" w:hAnsi="Book Antiqua" w:cs="Arial"/>
        </w:rPr>
        <w:t>as</w:t>
      </w:r>
      <w:r w:rsidR="00D11122" w:rsidRPr="001A3D78">
        <w:rPr>
          <w:rFonts w:ascii="Book Antiqua" w:hAnsi="Book Antiqua" w:cs="Arial"/>
        </w:rPr>
        <w:t xml:space="preserve"> no background evidence that </w:t>
      </w:r>
      <w:r w:rsidR="003507C1">
        <w:rPr>
          <w:rFonts w:ascii="Book Antiqua" w:hAnsi="Book Antiqua" w:cs="Arial"/>
        </w:rPr>
        <w:t xml:space="preserve">as a lone mother, the principal appellant </w:t>
      </w:r>
      <w:r w:rsidR="00D11122" w:rsidRPr="001A3D78">
        <w:rPr>
          <w:rFonts w:ascii="Book Antiqua" w:hAnsi="Book Antiqua" w:cs="Arial"/>
        </w:rPr>
        <w:t>would be socially ostracised and unable to support herself or find support in any of the ethnic tribal communit</w:t>
      </w:r>
      <w:r w:rsidR="006D5AA0">
        <w:rPr>
          <w:rFonts w:ascii="Book Antiqua" w:hAnsi="Book Antiqua" w:cs="Arial"/>
        </w:rPr>
        <w:t>ies</w:t>
      </w:r>
      <w:r w:rsidR="00D11122" w:rsidRPr="001A3D78">
        <w:rPr>
          <w:rFonts w:ascii="Book Antiqua" w:hAnsi="Book Antiqua" w:cs="Arial"/>
        </w:rPr>
        <w:t xml:space="preserve"> in </w:t>
      </w:r>
      <w:r w:rsidR="003507C1">
        <w:rPr>
          <w:rFonts w:ascii="Book Antiqua" w:hAnsi="Book Antiqua" w:cs="Arial"/>
        </w:rPr>
        <w:t xml:space="preserve">Gambia, despite the appellant’s assertion to the contrary. </w:t>
      </w:r>
      <w:r w:rsidR="00D11122" w:rsidRPr="001A3D78">
        <w:rPr>
          <w:rFonts w:ascii="Book Antiqua" w:hAnsi="Book Antiqua" w:cs="Arial"/>
        </w:rPr>
        <w:t xml:space="preserve"> </w:t>
      </w:r>
      <w:r w:rsidR="003507C1">
        <w:rPr>
          <w:rFonts w:ascii="Book Antiqua" w:hAnsi="Book Antiqua" w:cs="Arial"/>
        </w:rPr>
        <w:t xml:space="preserve"> </w:t>
      </w:r>
    </w:p>
    <w:p w:rsidR="003507C1" w:rsidRDefault="001A3D78" w:rsidP="00284307">
      <w:pPr>
        <w:numPr>
          <w:ilvl w:val="0"/>
          <w:numId w:val="3"/>
        </w:numPr>
        <w:spacing w:before="240"/>
        <w:jc w:val="both"/>
        <w:rPr>
          <w:rFonts w:ascii="Book Antiqua" w:hAnsi="Book Antiqua" w:cs="Arial"/>
        </w:rPr>
      </w:pPr>
      <w:r w:rsidRPr="001A3D78">
        <w:rPr>
          <w:rFonts w:ascii="Book Antiqua" w:hAnsi="Book Antiqua" w:cs="Arial"/>
        </w:rPr>
        <w:t xml:space="preserve">The First-tier Judge dismissed the appeal.  </w:t>
      </w:r>
    </w:p>
    <w:p w:rsidR="003507C1" w:rsidRPr="003507C1" w:rsidRDefault="00C6456B" w:rsidP="003507C1">
      <w:pPr>
        <w:spacing w:before="240"/>
        <w:jc w:val="both"/>
        <w:rPr>
          <w:rFonts w:ascii="Book Antiqua" w:hAnsi="Book Antiqua" w:cs="Arial"/>
          <w:b/>
        </w:rPr>
      </w:pPr>
      <w:r>
        <w:rPr>
          <w:rFonts w:ascii="Book Antiqua" w:hAnsi="Book Antiqua" w:cs="Arial"/>
          <w:b/>
        </w:rPr>
        <w:t xml:space="preserve">Grounds of appeal </w:t>
      </w:r>
    </w:p>
    <w:p w:rsidR="00C6456B" w:rsidRDefault="001A3D78" w:rsidP="00284307">
      <w:pPr>
        <w:numPr>
          <w:ilvl w:val="0"/>
          <w:numId w:val="3"/>
        </w:numPr>
        <w:spacing w:before="240"/>
        <w:jc w:val="both"/>
        <w:rPr>
          <w:rFonts w:ascii="Book Antiqua" w:hAnsi="Book Antiqua" w:cs="Arial"/>
        </w:rPr>
      </w:pPr>
      <w:r w:rsidRPr="001A3D78">
        <w:rPr>
          <w:rFonts w:ascii="Book Antiqua" w:hAnsi="Book Antiqua" w:cs="Arial"/>
        </w:rPr>
        <w:t>The appellant</w:t>
      </w:r>
      <w:r w:rsidR="00B10855">
        <w:rPr>
          <w:rFonts w:ascii="Book Antiqua" w:hAnsi="Book Antiqua" w:cs="Arial"/>
        </w:rPr>
        <w:t>s</w:t>
      </w:r>
      <w:r w:rsidRPr="001A3D78">
        <w:rPr>
          <w:rFonts w:ascii="Book Antiqua" w:hAnsi="Book Antiqua" w:cs="Arial"/>
        </w:rPr>
        <w:t xml:space="preserve"> appealed to the Upper Tribunal on the basis that</w:t>
      </w:r>
      <w:r w:rsidR="00C6456B">
        <w:rPr>
          <w:rFonts w:ascii="Book Antiqua" w:hAnsi="Book Antiqua" w:cs="Arial"/>
        </w:rPr>
        <w:t>:</w:t>
      </w:r>
    </w:p>
    <w:p w:rsidR="00C6456B" w:rsidRDefault="00C6456B" w:rsidP="00C6456B">
      <w:pPr>
        <w:pStyle w:val="ListParagraph"/>
        <w:numPr>
          <w:ilvl w:val="2"/>
          <w:numId w:val="3"/>
        </w:numPr>
        <w:spacing w:before="240"/>
        <w:jc w:val="both"/>
        <w:rPr>
          <w:rFonts w:ascii="Book Antiqua" w:hAnsi="Book Antiqua" w:cs="Arial"/>
        </w:rPr>
      </w:pPr>
      <w:r>
        <w:rPr>
          <w:rFonts w:ascii="Book Antiqua" w:hAnsi="Book Antiqua" w:cs="Arial"/>
        </w:rPr>
        <w:t>In reaching its decision, the First-tier Tribunal applied too high a standard of proof</w:t>
      </w:r>
      <w:r w:rsidRPr="00C6456B">
        <w:rPr>
          <w:rFonts w:ascii="Book Antiqua" w:hAnsi="Book Antiqua" w:cs="Arial"/>
        </w:rPr>
        <w:t>;</w:t>
      </w:r>
    </w:p>
    <w:p w:rsidR="00C6456B" w:rsidRDefault="00C6456B" w:rsidP="00C6456B">
      <w:pPr>
        <w:pStyle w:val="ListParagraph"/>
        <w:spacing w:before="240"/>
        <w:ind w:left="1701"/>
        <w:jc w:val="both"/>
        <w:rPr>
          <w:rFonts w:ascii="Book Antiqua" w:hAnsi="Book Antiqua" w:cs="Arial"/>
        </w:rPr>
      </w:pPr>
    </w:p>
    <w:p w:rsidR="001A3D78" w:rsidRDefault="00C6456B" w:rsidP="00C6456B">
      <w:pPr>
        <w:pStyle w:val="ListParagraph"/>
        <w:numPr>
          <w:ilvl w:val="2"/>
          <w:numId w:val="3"/>
        </w:numPr>
        <w:spacing w:before="240"/>
        <w:jc w:val="both"/>
        <w:rPr>
          <w:rFonts w:ascii="Book Antiqua" w:hAnsi="Book Antiqua" w:cs="Arial"/>
        </w:rPr>
      </w:pPr>
      <w:r>
        <w:rPr>
          <w:rFonts w:ascii="Book Antiqua" w:hAnsi="Book Antiqua" w:cs="Arial"/>
        </w:rPr>
        <w:t>Applying</w:t>
      </w:r>
      <w:r w:rsidR="001A3D78" w:rsidRPr="00C6456B">
        <w:rPr>
          <w:rFonts w:ascii="Book Antiqua" w:hAnsi="Book Antiqua" w:cs="Arial"/>
        </w:rPr>
        <w:t xml:space="preserve"> </w:t>
      </w:r>
      <w:r w:rsidR="001A3D78" w:rsidRPr="00C6456B">
        <w:rPr>
          <w:rFonts w:ascii="Book Antiqua" w:hAnsi="Book Antiqua" w:cs="Arial"/>
          <w:i/>
        </w:rPr>
        <w:t>PK (Ghana) R (on the application of) v Secretary of State for the Home Department)</w:t>
      </w:r>
      <w:r w:rsidR="001A3D78" w:rsidRPr="00C6456B">
        <w:rPr>
          <w:rFonts w:ascii="Book Antiqua" w:hAnsi="Book Antiqua" w:cs="Arial"/>
        </w:rPr>
        <w:t xml:space="preserve"> [2018] EWCA Civ 98</w:t>
      </w:r>
      <w:r>
        <w:rPr>
          <w:rFonts w:ascii="Book Antiqua" w:hAnsi="Book Antiqua" w:cs="Arial"/>
        </w:rPr>
        <w:t>,</w:t>
      </w:r>
      <w:r w:rsidR="001A3D78" w:rsidRPr="00C6456B">
        <w:rPr>
          <w:rFonts w:ascii="Book Antiqua" w:hAnsi="Book Antiqua" w:cs="Arial"/>
        </w:rPr>
        <w:t xml:space="preserve"> while the Trafficking Convention does not give a foreign national automatic right to remain in a particular country by virtue of being a victim of trafficking alone</w:t>
      </w:r>
      <w:r w:rsidRPr="00C6456B">
        <w:rPr>
          <w:rFonts w:ascii="Book Antiqua" w:hAnsi="Book Antiqua" w:cs="Arial"/>
        </w:rPr>
        <w:t>,</w:t>
      </w:r>
      <w:r w:rsidR="001A3D78" w:rsidRPr="00C6456B">
        <w:rPr>
          <w:rFonts w:ascii="Book Antiqua" w:hAnsi="Book Antiqua" w:cs="Arial"/>
        </w:rPr>
        <w:t xml:space="preserve"> it does require a residence permit to be granted where the </w:t>
      </w:r>
      <w:r>
        <w:rPr>
          <w:rFonts w:ascii="Book Antiqua" w:hAnsi="Book Antiqua" w:cs="Arial"/>
        </w:rPr>
        <w:t>Competent Authority</w:t>
      </w:r>
      <w:r w:rsidRPr="00C6456B">
        <w:rPr>
          <w:rFonts w:ascii="Book Antiqua" w:hAnsi="Book Antiqua" w:cs="Arial"/>
        </w:rPr>
        <w:t xml:space="preserve"> </w:t>
      </w:r>
      <w:r w:rsidR="00097503" w:rsidRPr="00C6456B">
        <w:rPr>
          <w:rFonts w:ascii="Book Antiqua" w:hAnsi="Book Antiqua" w:cs="Arial"/>
        </w:rPr>
        <w:t xml:space="preserve">considers that </w:t>
      </w:r>
      <w:r w:rsidRPr="00C6456B">
        <w:rPr>
          <w:rFonts w:ascii="Book Antiqua" w:hAnsi="Book Antiqua" w:cs="Arial"/>
        </w:rPr>
        <w:t>such a</w:t>
      </w:r>
      <w:r w:rsidR="006D5AA0" w:rsidRPr="00C6456B">
        <w:rPr>
          <w:rFonts w:ascii="Book Antiqua" w:hAnsi="Book Antiqua" w:cs="Arial"/>
        </w:rPr>
        <w:t xml:space="preserve"> </w:t>
      </w:r>
      <w:r w:rsidR="00097503" w:rsidRPr="00C6456B">
        <w:rPr>
          <w:rFonts w:ascii="Book Antiqua" w:hAnsi="Book Antiqua" w:cs="Arial"/>
        </w:rPr>
        <w:t>person’s stay in the country is necessary owing to his or her personal situation</w:t>
      </w:r>
      <w:r>
        <w:rPr>
          <w:rFonts w:ascii="Book Antiqua" w:hAnsi="Book Antiqua" w:cs="Arial"/>
        </w:rPr>
        <w:t>; and that</w:t>
      </w:r>
    </w:p>
    <w:p w:rsidR="00C6456B" w:rsidRPr="00C6456B" w:rsidRDefault="00C6456B" w:rsidP="00C6456B">
      <w:pPr>
        <w:pStyle w:val="ListParagraph"/>
        <w:rPr>
          <w:rFonts w:ascii="Book Antiqua" w:hAnsi="Book Antiqua" w:cs="Arial"/>
        </w:rPr>
      </w:pPr>
    </w:p>
    <w:p w:rsidR="00C6456B" w:rsidRPr="00C6456B" w:rsidRDefault="00C6456B" w:rsidP="00C6456B">
      <w:pPr>
        <w:pStyle w:val="ListParagraph"/>
        <w:numPr>
          <w:ilvl w:val="2"/>
          <w:numId w:val="3"/>
        </w:numPr>
        <w:spacing w:before="240"/>
        <w:jc w:val="both"/>
        <w:rPr>
          <w:rFonts w:ascii="Book Antiqua" w:hAnsi="Book Antiqua" w:cs="Arial"/>
          <w:b/>
        </w:rPr>
      </w:pPr>
      <w:r w:rsidRPr="00C6456B">
        <w:rPr>
          <w:rFonts w:ascii="Book Antiqua" w:hAnsi="Book Antiqua" w:cs="Arial"/>
        </w:rPr>
        <w:t xml:space="preserve">The </w:t>
      </w:r>
      <w:r w:rsidR="00787F69" w:rsidRPr="00C6456B">
        <w:rPr>
          <w:rFonts w:ascii="Book Antiqua" w:hAnsi="Book Antiqua" w:cs="Arial"/>
        </w:rPr>
        <w:t>First-tier Tribunal’s consideration of paragraph 276ADE(vi) and the appellant</w:t>
      </w:r>
      <w:r w:rsidR="00B10855">
        <w:rPr>
          <w:rFonts w:ascii="Book Antiqua" w:hAnsi="Book Antiqua" w:cs="Arial"/>
        </w:rPr>
        <w:t>s’</w:t>
      </w:r>
      <w:r w:rsidR="00787F69" w:rsidRPr="00C6456B">
        <w:rPr>
          <w:rFonts w:ascii="Book Antiqua" w:hAnsi="Book Antiqua" w:cs="Arial"/>
        </w:rPr>
        <w:t xml:space="preserve"> family and private life </w:t>
      </w:r>
      <w:r w:rsidR="00B10855">
        <w:rPr>
          <w:rFonts w:ascii="Book Antiqua" w:hAnsi="Book Antiqua" w:cs="Arial"/>
        </w:rPr>
        <w:t>was</w:t>
      </w:r>
      <w:r w:rsidR="00787F69" w:rsidRPr="00C6456B">
        <w:rPr>
          <w:rFonts w:ascii="Book Antiqua" w:hAnsi="Book Antiqua" w:cs="Arial"/>
        </w:rPr>
        <w:t xml:space="preserve"> inadequate and that the </w:t>
      </w:r>
      <w:r w:rsidR="00874595" w:rsidRPr="00C6456B">
        <w:rPr>
          <w:rFonts w:ascii="Book Antiqua" w:hAnsi="Book Antiqua" w:cs="Arial"/>
        </w:rPr>
        <w:t xml:space="preserve">full </w:t>
      </w:r>
      <w:r w:rsidR="00874595" w:rsidRPr="00C6456B">
        <w:rPr>
          <w:rFonts w:ascii="Book Antiqua" w:hAnsi="Book Antiqua" w:cs="Arial"/>
          <w:i/>
        </w:rPr>
        <w:t>Razgar</w:t>
      </w:r>
      <w:r w:rsidR="00874595" w:rsidRPr="00C6456B">
        <w:rPr>
          <w:rFonts w:ascii="Book Antiqua" w:hAnsi="Book Antiqua" w:cs="Arial"/>
        </w:rPr>
        <w:t xml:space="preserve"> balancing exercise should have been carried out.  </w:t>
      </w:r>
    </w:p>
    <w:p w:rsidR="00C6456B" w:rsidRPr="00C6456B" w:rsidRDefault="00C6456B" w:rsidP="00C6456B">
      <w:pPr>
        <w:pStyle w:val="ListParagraph"/>
        <w:rPr>
          <w:rFonts w:ascii="Book Antiqua" w:hAnsi="Book Antiqua" w:cs="Arial"/>
          <w:b/>
        </w:rPr>
      </w:pPr>
    </w:p>
    <w:p w:rsidR="00C6456B" w:rsidRPr="00C6456B" w:rsidRDefault="00C6456B" w:rsidP="00C6456B">
      <w:pPr>
        <w:pStyle w:val="ListParagraph"/>
        <w:spacing w:before="240"/>
        <w:ind w:left="0"/>
        <w:jc w:val="both"/>
        <w:rPr>
          <w:rFonts w:ascii="Book Antiqua" w:hAnsi="Book Antiqua" w:cs="Arial"/>
          <w:b/>
        </w:rPr>
      </w:pPr>
      <w:r w:rsidRPr="00C6456B">
        <w:rPr>
          <w:rFonts w:ascii="Book Antiqua" w:hAnsi="Book Antiqua" w:cs="Arial"/>
          <w:b/>
        </w:rPr>
        <w:t xml:space="preserve">Permission to appeal </w:t>
      </w:r>
    </w:p>
    <w:p w:rsidR="00097503" w:rsidRDefault="00C6456B" w:rsidP="00284307">
      <w:pPr>
        <w:numPr>
          <w:ilvl w:val="0"/>
          <w:numId w:val="3"/>
        </w:numPr>
        <w:spacing w:before="240"/>
        <w:jc w:val="both"/>
        <w:rPr>
          <w:rFonts w:ascii="Book Antiqua" w:hAnsi="Book Antiqua" w:cs="Arial"/>
        </w:rPr>
      </w:pPr>
      <w:r>
        <w:rPr>
          <w:rFonts w:ascii="Book Antiqua" w:hAnsi="Book Antiqua" w:cs="Arial"/>
        </w:rPr>
        <w:t xml:space="preserve">Permission was granted </w:t>
      </w:r>
      <w:proofErr w:type="gramStart"/>
      <w:r>
        <w:rPr>
          <w:rFonts w:ascii="Book Antiqua" w:hAnsi="Book Antiqua" w:cs="Arial"/>
        </w:rPr>
        <w:t>on the basis of</w:t>
      </w:r>
      <w:proofErr w:type="gramEnd"/>
      <w:r>
        <w:rPr>
          <w:rFonts w:ascii="Book Antiqua" w:hAnsi="Book Antiqua" w:cs="Arial"/>
        </w:rPr>
        <w:t xml:space="preserve"> inadequacy of reasoning in relation to the finding that the </w:t>
      </w:r>
      <w:r w:rsidR="00B10855">
        <w:rPr>
          <w:rFonts w:ascii="Book Antiqua" w:hAnsi="Book Antiqua" w:cs="Arial"/>
        </w:rPr>
        <w:t xml:space="preserve">principal </w:t>
      </w:r>
      <w:r>
        <w:rPr>
          <w:rFonts w:ascii="Book Antiqua" w:hAnsi="Book Antiqua" w:cs="Arial"/>
        </w:rPr>
        <w:t>appellant was not a primary target of re-trafficking (</w:t>
      </w:r>
      <w:r w:rsidR="005E6F76">
        <w:rPr>
          <w:rFonts w:ascii="Book Antiqua" w:hAnsi="Book Antiqua" w:cs="Arial"/>
        </w:rPr>
        <w:t xml:space="preserve">although the </w:t>
      </w:r>
      <w:r w:rsidR="00B10855">
        <w:rPr>
          <w:rFonts w:ascii="Book Antiqua" w:hAnsi="Book Antiqua" w:cs="Arial"/>
        </w:rPr>
        <w:t xml:space="preserve">principal </w:t>
      </w:r>
      <w:r w:rsidR="005E6F76">
        <w:rPr>
          <w:rFonts w:ascii="Book Antiqua" w:hAnsi="Book Antiqua" w:cs="Arial"/>
        </w:rPr>
        <w:t>appellant herself had not expressed concerns about the danger of re-trafficking</w:t>
      </w:r>
      <w:r>
        <w:rPr>
          <w:rFonts w:ascii="Book Antiqua" w:hAnsi="Book Antiqua" w:cs="Arial"/>
        </w:rPr>
        <w:t>)</w:t>
      </w:r>
      <w:r w:rsidR="005E6F76">
        <w:rPr>
          <w:rFonts w:ascii="Book Antiqua" w:hAnsi="Book Antiqua" w:cs="Arial"/>
        </w:rPr>
        <w:t xml:space="preserve">.  </w:t>
      </w:r>
      <w:r>
        <w:rPr>
          <w:rFonts w:ascii="Book Antiqua" w:hAnsi="Book Antiqua" w:cs="Arial"/>
        </w:rPr>
        <w:t xml:space="preserve"> </w:t>
      </w:r>
    </w:p>
    <w:p w:rsidR="00C6456B" w:rsidRDefault="00822516" w:rsidP="00284307">
      <w:pPr>
        <w:numPr>
          <w:ilvl w:val="0"/>
          <w:numId w:val="3"/>
        </w:numPr>
        <w:spacing w:before="240"/>
        <w:jc w:val="both"/>
        <w:rPr>
          <w:rFonts w:ascii="Book Antiqua" w:hAnsi="Book Antiqua" w:cs="Arial"/>
        </w:rPr>
      </w:pPr>
      <w:r w:rsidRPr="00C6456B">
        <w:rPr>
          <w:rFonts w:ascii="Book Antiqua" w:hAnsi="Book Antiqua" w:cs="Arial"/>
        </w:rPr>
        <w:t xml:space="preserve">Secondly, </w:t>
      </w:r>
      <w:r w:rsidR="00C6456B" w:rsidRPr="00C6456B">
        <w:rPr>
          <w:rFonts w:ascii="Book Antiqua" w:hAnsi="Book Antiqua" w:cs="Arial"/>
        </w:rPr>
        <w:t>permission</w:t>
      </w:r>
      <w:r w:rsidR="007C6BE8" w:rsidRPr="00C6456B">
        <w:rPr>
          <w:rFonts w:ascii="Book Antiqua" w:hAnsi="Book Antiqua" w:cs="Arial"/>
        </w:rPr>
        <w:t xml:space="preserve"> </w:t>
      </w:r>
      <w:r w:rsidR="00B10855">
        <w:rPr>
          <w:rFonts w:ascii="Book Antiqua" w:hAnsi="Book Antiqua" w:cs="Arial"/>
        </w:rPr>
        <w:t>was</w:t>
      </w:r>
      <w:r w:rsidR="007C6BE8" w:rsidRPr="00C6456B">
        <w:rPr>
          <w:rFonts w:ascii="Book Antiqua" w:hAnsi="Book Antiqua" w:cs="Arial"/>
        </w:rPr>
        <w:t xml:space="preserve"> granted on the </w:t>
      </w:r>
      <w:r w:rsidR="007C6BE8" w:rsidRPr="00C6456B">
        <w:rPr>
          <w:rFonts w:ascii="Book Antiqua" w:hAnsi="Book Antiqua" w:cs="Arial"/>
          <w:i/>
        </w:rPr>
        <w:t>PK (Ghana)</w:t>
      </w:r>
      <w:r w:rsidR="007C6BE8" w:rsidRPr="00C6456B">
        <w:rPr>
          <w:rFonts w:ascii="Book Antiqua" w:hAnsi="Book Antiqua" w:cs="Arial"/>
        </w:rPr>
        <w:t xml:space="preserve"> point</w:t>
      </w:r>
      <w:r w:rsidR="00B10855">
        <w:rPr>
          <w:rFonts w:ascii="Book Antiqua" w:hAnsi="Book Antiqua" w:cs="Arial"/>
        </w:rPr>
        <w:t xml:space="preserve">, on the basis that the First-tier Judge </w:t>
      </w:r>
      <w:r w:rsidR="007C6BE8" w:rsidRPr="00C6456B">
        <w:rPr>
          <w:rFonts w:ascii="Book Antiqua" w:hAnsi="Book Antiqua" w:cs="Arial"/>
        </w:rPr>
        <w:t>had not set out sufficient analysis of Section 117 of the 2002 Act (as amended) or that compelling circumstances existed enabling a consideration of a breach of Article 8 outside the Rules</w:t>
      </w:r>
      <w:r w:rsidR="00C6456B">
        <w:rPr>
          <w:rFonts w:ascii="Book Antiqua" w:hAnsi="Book Antiqua" w:cs="Arial"/>
        </w:rPr>
        <w:t>.</w:t>
      </w:r>
    </w:p>
    <w:p w:rsidR="00C6456B" w:rsidRPr="00C6456B" w:rsidRDefault="00C6456B" w:rsidP="00C6456B">
      <w:pPr>
        <w:spacing w:before="240"/>
        <w:jc w:val="both"/>
        <w:rPr>
          <w:rFonts w:ascii="Book Antiqua" w:hAnsi="Book Antiqua" w:cs="Arial"/>
          <w:b/>
        </w:rPr>
      </w:pPr>
      <w:r>
        <w:rPr>
          <w:rFonts w:ascii="Book Antiqua" w:hAnsi="Book Antiqua" w:cs="Arial"/>
          <w:b/>
        </w:rPr>
        <w:lastRenderedPageBreak/>
        <w:t xml:space="preserve">Discussion </w:t>
      </w:r>
    </w:p>
    <w:p w:rsidR="00C6456B" w:rsidRDefault="00C6456B" w:rsidP="00284307">
      <w:pPr>
        <w:numPr>
          <w:ilvl w:val="0"/>
          <w:numId w:val="3"/>
        </w:numPr>
        <w:spacing w:before="240"/>
        <w:jc w:val="both"/>
        <w:rPr>
          <w:rFonts w:ascii="Book Antiqua" w:hAnsi="Book Antiqua" w:cs="Arial"/>
        </w:rPr>
      </w:pPr>
      <w:r>
        <w:rPr>
          <w:rFonts w:ascii="Book Antiqua" w:hAnsi="Book Antiqua" w:cs="Arial"/>
        </w:rPr>
        <w:t xml:space="preserve">There is no merit in the grounds of appeal.  The First-tier Judge applied the correct standard of proof; </w:t>
      </w:r>
      <w:r>
        <w:rPr>
          <w:rFonts w:ascii="Book Antiqua" w:hAnsi="Book Antiqua" w:cs="Arial"/>
          <w:i/>
        </w:rPr>
        <w:t xml:space="preserve">PK (Ghana) </w:t>
      </w:r>
      <w:r>
        <w:rPr>
          <w:rFonts w:ascii="Book Antiqua" w:hAnsi="Book Antiqua" w:cs="Arial"/>
        </w:rPr>
        <w:t>refers to the discretion of the Secretary of State and no evidence before me suggests that the respondent erred in not considering that th</w:t>
      </w:r>
      <w:r w:rsidR="00B10855">
        <w:rPr>
          <w:rFonts w:ascii="Book Antiqua" w:hAnsi="Book Antiqua" w:cs="Arial"/>
        </w:rPr>
        <w:t>e principal appellant’s</w:t>
      </w:r>
      <w:r>
        <w:rPr>
          <w:rFonts w:ascii="Book Antiqua" w:hAnsi="Book Antiqua" w:cs="Arial"/>
        </w:rPr>
        <w:t xml:space="preserve"> personal situation required the grant of leave by the Competent Authority, over and above the respite period to which she was entitled as a victim of trafficking. The First-tier Tribunal was not </w:t>
      </w:r>
      <w:proofErr w:type="gramStart"/>
      <w:r>
        <w:rPr>
          <w:rFonts w:ascii="Book Antiqua" w:hAnsi="Book Antiqua" w:cs="Arial"/>
        </w:rPr>
        <w:t>in a position to</w:t>
      </w:r>
      <w:proofErr w:type="gramEnd"/>
      <w:r>
        <w:rPr>
          <w:rFonts w:ascii="Book Antiqua" w:hAnsi="Book Antiqua" w:cs="Arial"/>
        </w:rPr>
        <w:t xml:space="preserve"> assess whether the Competent Authority had so considered</w:t>
      </w:r>
      <w:r w:rsidR="00B10855">
        <w:rPr>
          <w:rFonts w:ascii="Book Antiqua" w:hAnsi="Book Antiqua" w:cs="Arial"/>
        </w:rPr>
        <w:t>, not having seen the reasonable grounds or conclusive grounds decisions</w:t>
      </w:r>
      <w:r>
        <w:rPr>
          <w:rFonts w:ascii="Book Antiqua" w:hAnsi="Book Antiqua" w:cs="Arial"/>
        </w:rPr>
        <w:t xml:space="preserve">.  </w:t>
      </w:r>
    </w:p>
    <w:p w:rsidR="00C6456B" w:rsidRDefault="00B10855" w:rsidP="00C6456B">
      <w:pPr>
        <w:numPr>
          <w:ilvl w:val="0"/>
          <w:numId w:val="3"/>
        </w:numPr>
        <w:spacing w:before="240"/>
        <w:jc w:val="both"/>
        <w:rPr>
          <w:rFonts w:ascii="Book Antiqua" w:hAnsi="Book Antiqua" w:cs="Arial"/>
        </w:rPr>
      </w:pPr>
      <w:r>
        <w:rPr>
          <w:rFonts w:ascii="Book Antiqua" w:hAnsi="Book Antiqua" w:cs="Arial"/>
        </w:rPr>
        <w:t xml:space="preserve">The Upper Tribunal has the advantage of seeing the Competent Authority’s letter </w:t>
      </w:r>
      <w:r w:rsidR="00C6456B">
        <w:rPr>
          <w:rFonts w:ascii="Book Antiqua" w:hAnsi="Book Antiqua" w:cs="Arial"/>
        </w:rPr>
        <w:t xml:space="preserve">of 1 February 2017 in which the Competent Authority stated that there was insufficient evidence to </w:t>
      </w:r>
      <w:r>
        <w:rPr>
          <w:rFonts w:ascii="Book Antiqua" w:hAnsi="Book Antiqua" w:cs="Arial"/>
        </w:rPr>
        <w:t>grant the appellants</w:t>
      </w:r>
      <w:r w:rsidR="00C6456B">
        <w:rPr>
          <w:rFonts w:ascii="Book Antiqua" w:hAnsi="Book Antiqua" w:cs="Arial"/>
        </w:rPr>
        <w:t xml:space="preserve"> leave on the basis either</w:t>
      </w:r>
      <w:r>
        <w:rPr>
          <w:rFonts w:ascii="Book Antiqua" w:hAnsi="Book Antiqua" w:cs="Arial"/>
        </w:rPr>
        <w:t xml:space="preserve"> that the principal appellant was</w:t>
      </w:r>
      <w:r w:rsidR="00C6456B">
        <w:rPr>
          <w:rFonts w:ascii="Book Antiqua" w:hAnsi="Book Antiqua" w:cs="Arial"/>
        </w:rPr>
        <w:t xml:space="preserve"> assisting with an ongoing slavery investigation or </w:t>
      </w:r>
      <w:r>
        <w:rPr>
          <w:rFonts w:ascii="Book Antiqua" w:hAnsi="Book Antiqua" w:cs="Arial"/>
        </w:rPr>
        <w:t xml:space="preserve">with reference to </w:t>
      </w:r>
      <w:r w:rsidR="00C6456B">
        <w:rPr>
          <w:rFonts w:ascii="Book Antiqua" w:hAnsi="Book Antiqua" w:cs="Arial"/>
        </w:rPr>
        <w:t xml:space="preserve">any physical or psychological treatment the </w:t>
      </w:r>
      <w:r>
        <w:rPr>
          <w:rFonts w:ascii="Book Antiqua" w:hAnsi="Book Antiqua" w:cs="Arial"/>
        </w:rPr>
        <w:t xml:space="preserve">principal </w:t>
      </w:r>
      <w:r w:rsidR="00C6456B">
        <w:rPr>
          <w:rFonts w:ascii="Book Antiqua" w:hAnsi="Book Antiqua" w:cs="Arial"/>
        </w:rPr>
        <w:t xml:space="preserve">appellant was receiving in relation to her trafficking experiences or a claim for compensation against those who trafficked or exploited her.  This is not a situation where the Competent Authority has reached a </w:t>
      </w:r>
      <w:r w:rsidR="00C6456B" w:rsidRPr="00787F69">
        <w:rPr>
          <w:rFonts w:ascii="Book Antiqua" w:hAnsi="Book Antiqua" w:cs="Arial"/>
          <w:i/>
        </w:rPr>
        <w:t>PK (Ghana)</w:t>
      </w:r>
      <w:r w:rsidR="00C6456B">
        <w:rPr>
          <w:rFonts w:ascii="Book Antiqua" w:hAnsi="Book Antiqua" w:cs="Arial"/>
        </w:rPr>
        <w:t xml:space="preserve"> conclusion and that part of the grounds of appeal is unarguable.</w:t>
      </w:r>
    </w:p>
    <w:p w:rsidR="00C6456B" w:rsidRPr="00C6456B" w:rsidRDefault="00C6456B" w:rsidP="00C6456B">
      <w:pPr>
        <w:numPr>
          <w:ilvl w:val="0"/>
          <w:numId w:val="3"/>
        </w:numPr>
        <w:spacing w:before="240"/>
        <w:jc w:val="both"/>
        <w:rPr>
          <w:rFonts w:ascii="Book Antiqua" w:hAnsi="Book Antiqua" w:cs="Arial"/>
        </w:rPr>
      </w:pPr>
      <w:proofErr w:type="gramStart"/>
      <w:r>
        <w:rPr>
          <w:rFonts w:ascii="Book Antiqua" w:hAnsi="Book Antiqua" w:cs="Arial"/>
        </w:rPr>
        <w:t>As regards</w:t>
      </w:r>
      <w:proofErr w:type="gramEnd"/>
      <w:r>
        <w:rPr>
          <w:rFonts w:ascii="Book Antiqua" w:hAnsi="Book Antiqua" w:cs="Arial"/>
        </w:rPr>
        <w:t xml:space="preserve"> the </w:t>
      </w:r>
      <w:proofErr w:type="spellStart"/>
      <w:r>
        <w:rPr>
          <w:rFonts w:ascii="Book Antiqua" w:hAnsi="Book Antiqua" w:cs="Arial"/>
          <w:i/>
        </w:rPr>
        <w:t>Razgar</w:t>
      </w:r>
      <w:proofErr w:type="spellEnd"/>
      <w:r>
        <w:rPr>
          <w:rFonts w:ascii="Book Antiqua" w:hAnsi="Book Antiqua" w:cs="Arial"/>
          <w:i/>
        </w:rPr>
        <w:t xml:space="preserve"> </w:t>
      </w:r>
      <w:r>
        <w:rPr>
          <w:rFonts w:ascii="Book Antiqua" w:hAnsi="Book Antiqua" w:cs="Arial"/>
        </w:rPr>
        <w:t>point, the application of section 117B of the Nationality, Immigration and Asylum Act 2002 (as amended) means that little weight can be given to any private life developed while the appellants were in the United Kingdom.  They would be removed together</w:t>
      </w:r>
      <w:r w:rsidR="00AF0427">
        <w:rPr>
          <w:rFonts w:ascii="Book Antiqua" w:hAnsi="Book Antiqua" w:cs="Arial"/>
        </w:rPr>
        <w:t xml:space="preserve">, so </w:t>
      </w:r>
      <w:r>
        <w:rPr>
          <w:rFonts w:ascii="Book Antiqua" w:hAnsi="Book Antiqua" w:cs="Arial"/>
        </w:rPr>
        <w:t xml:space="preserve">their family life is not under threat.   There are no exceptional circumstances for the grant of leave to remain outside the Rules. </w:t>
      </w:r>
    </w:p>
    <w:p w:rsidR="005E6F76" w:rsidRPr="00C6456B" w:rsidRDefault="007C6BE8" w:rsidP="00284307">
      <w:pPr>
        <w:numPr>
          <w:ilvl w:val="0"/>
          <w:numId w:val="3"/>
        </w:numPr>
        <w:spacing w:before="240"/>
        <w:jc w:val="both"/>
        <w:rPr>
          <w:rFonts w:ascii="Book Antiqua" w:hAnsi="Book Antiqua" w:cs="Arial"/>
        </w:rPr>
      </w:pPr>
      <w:r w:rsidRPr="00C6456B">
        <w:rPr>
          <w:rFonts w:ascii="Book Antiqua" w:hAnsi="Book Antiqua" w:cs="Arial"/>
        </w:rPr>
        <w:t xml:space="preserve">I am satisfied that there no material error of law in the decision of the First-tier Judge and that no arguable error of law is disclosed either by the grounds of appeal or the </w:t>
      </w:r>
      <w:r w:rsidR="00B10B51" w:rsidRPr="00C6456B">
        <w:rPr>
          <w:rFonts w:ascii="Book Antiqua" w:hAnsi="Book Antiqua" w:cs="Arial"/>
        </w:rPr>
        <w:t>form in which Judge Hollingworth passes them in the grant for permission.  Permission to appeal is refused.  The decision of the First-tier Tribunal stands.</w:t>
      </w:r>
    </w:p>
    <w:p w:rsidR="00B705D9" w:rsidRDefault="00B705D9" w:rsidP="00284307">
      <w:pPr>
        <w:spacing w:before="240"/>
        <w:jc w:val="both"/>
        <w:rPr>
          <w:rFonts w:ascii="Book Antiqua" w:hAnsi="Book Antiqua" w:cs="Arial"/>
        </w:rPr>
      </w:pPr>
      <w:r>
        <w:rPr>
          <w:rFonts w:ascii="Book Antiqua" w:hAnsi="Book Antiqua" w:cs="Arial"/>
          <w:b/>
          <w:u w:val="single"/>
        </w:rPr>
        <w:t>Conclusions</w:t>
      </w:r>
    </w:p>
    <w:p w:rsidR="00B705D9" w:rsidRDefault="00B705D9" w:rsidP="001F2A30">
      <w:pPr>
        <w:spacing w:before="240"/>
        <w:jc w:val="both"/>
        <w:rPr>
          <w:rFonts w:ascii="Book Antiqua" w:hAnsi="Book Antiqua" w:cs="Arial"/>
        </w:rPr>
      </w:pPr>
      <w:r>
        <w:rPr>
          <w:rFonts w:ascii="Book Antiqua" w:hAnsi="Book Antiqua" w:cs="Arial"/>
        </w:rPr>
        <w:t xml:space="preserve">The making of the decision of the First-tier Tribunal </w:t>
      </w:r>
      <w:r w:rsidR="00AF0427">
        <w:rPr>
          <w:rFonts w:ascii="Book Antiqua" w:hAnsi="Book Antiqua" w:cs="Arial"/>
        </w:rPr>
        <w:t>did not</w:t>
      </w:r>
      <w:r>
        <w:rPr>
          <w:rFonts w:ascii="Book Antiqua" w:hAnsi="Book Antiqua" w:cs="Arial"/>
        </w:rPr>
        <w:t xml:space="preserve"> involve the making of an error on a point of law.</w:t>
      </w:r>
    </w:p>
    <w:p w:rsidR="00B705D9" w:rsidRDefault="00B705D9" w:rsidP="001F2A30">
      <w:pPr>
        <w:spacing w:before="240"/>
        <w:jc w:val="both"/>
        <w:rPr>
          <w:rFonts w:ascii="Book Antiqua" w:hAnsi="Book Antiqua" w:cs="Arial"/>
        </w:rPr>
      </w:pPr>
      <w:r>
        <w:rPr>
          <w:rFonts w:ascii="Book Antiqua" w:hAnsi="Book Antiqua" w:cs="Arial"/>
        </w:rPr>
        <w:t>I do not set aside the decision.</w:t>
      </w:r>
    </w:p>
    <w:p w:rsidR="009E7B3C" w:rsidRPr="00F5664C" w:rsidRDefault="009E7B3C" w:rsidP="000369F5">
      <w:pPr>
        <w:tabs>
          <w:tab w:val="left" w:pos="2520"/>
        </w:tabs>
        <w:jc w:val="both"/>
        <w:rPr>
          <w:rFonts w:ascii="Book Antiqua" w:hAnsi="Book Antiqua" w:cs="Arial"/>
        </w:rPr>
      </w:pPr>
    </w:p>
    <w:p w:rsidR="00AF0427" w:rsidRPr="00C6723A" w:rsidRDefault="00AF0427" w:rsidP="00AF0427">
      <w:pPr>
        <w:jc w:val="both"/>
        <w:rPr>
          <w:rFonts w:ascii="Book Antiqua" w:hAnsi="Book Antiqua" w:cs="Arial"/>
          <w:lang w:eastAsia="en-US"/>
        </w:rPr>
      </w:pPr>
      <w:r w:rsidRPr="00AF0427">
        <w:rPr>
          <w:lang w:eastAsia="en-US"/>
        </w:rPr>
        <w:t>Signed</w:t>
      </w:r>
      <w:r w:rsidRPr="00C6723A">
        <w:rPr>
          <w:lang w:eastAsia="en-US"/>
        </w:rPr>
        <w:t>:</w:t>
      </w:r>
      <w:r w:rsidRPr="00C6723A">
        <w:rPr>
          <w:lang w:eastAsia="en-US"/>
        </w:rPr>
        <w:tab/>
      </w:r>
      <w:r>
        <w:rPr>
          <w:lang w:eastAsia="en-US"/>
        </w:rPr>
        <w:tab/>
      </w:r>
      <w:r w:rsidRPr="00C6723A">
        <w:rPr>
          <w:rFonts w:ascii="Rage Italic" w:hAnsi="Rage Italic" w:cs="Arial"/>
          <w:color w:val="0070C0"/>
          <w:sz w:val="28"/>
          <w:lang w:eastAsia="en-US"/>
        </w:rPr>
        <w:t>Judith A J C Gleeson</w:t>
      </w:r>
      <w:r w:rsidRPr="00C6723A">
        <w:rPr>
          <w:rFonts w:ascii="Rage Italic" w:hAnsi="Rage Italic" w:cs="Arial"/>
          <w:color w:val="0070C0"/>
          <w:sz w:val="28"/>
          <w:lang w:eastAsia="en-US"/>
        </w:rPr>
        <w:tab/>
      </w:r>
      <w:r w:rsidRPr="00C6723A">
        <w:rPr>
          <w:rFonts w:ascii="Rage Italic" w:hAnsi="Rage Italic" w:cs="Arial"/>
          <w:color w:val="0070C0"/>
          <w:lang w:eastAsia="en-US"/>
        </w:rPr>
        <w:tab/>
      </w:r>
      <w:r w:rsidRPr="00C6723A">
        <w:rPr>
          <w:rFonts w:ascii="Rage Italic" w:hAnsi="Rage Italic" w:cs="Arial"/>
          <w:color w:val="0070C0"/>
          <w:lang w:eastAsia="en-US"/>
        </w:rPr>
        <w:tab/>
      </w:r>
      <w:r>
        <w:rPr>
          <w:rFonts w:ascii="Rage Italic" w:hAnsi="Rage Italic" w:cs="Arial"/>
          <w:color w:val="0070C0"/>
          <w:lang w:eastAsia="en-US"/>
        </w:rPr>
        <w:tab/>
      </w:r>
      <w:r>
        <w:rPr>
          <w:rFonts w:ascii="Rage Italic" w:hAnsi="Rage Italic" w:cs="Arial"/>
          <w:color w:val="0070C0"/>
          <w:lang w:eastAsia="en-US"/>
        </w:rPr>
        <w:tab/>
      </w:r>
      <w:r>
        <w:rPr>
          <w:rFonts w:ascii="Rage Italic" w:hAnsi="Rage Italic" w:cs="Arial"/>
          <w:color w:val="0070C0"/>
          <w:lang w:eastAsia="en-US"/>
        </w:rPr>
        <w:tab/>
      </w:r>
      <w:r w:rsidRPr="00C6723A">
        <w:rPr>
          <w:rFonts w:ascii="Book Antiqua" w:hAnsi="Book Antiqua" w:cs="Arial"/>
          <w:lang w:eastAsia="en-US"/>
        </w:rPr>
        <w:t xml:space="preserve">Date:  </w:t>
      </w:r>
      <w:r>
        <w:rPr>
          <w:rFonts w:ascii="Book Antiqua" w:hAnsi="Book Antiqua" w:cs="Arial"/>
          <w:lang w:eastAsia="en-US"/>
        </w:rPr>
        <w:t>25 September 2018</w:t>
      </w:r>
    </w:p>
    <w:p w:rsidR="00AF0427" w:rsidRPr="00C6723A" w:rsidRDefault="00AF0427" w:rsidP="00C6723A">
      <w:pPr>
        <w:ind w:left="357"/>
        <w:jc w:val="both"/>
        <w:rPr>
          <w:lang w:eastAsia="en-US"/>
        </w:rPr>
      </w:pPr>
      <w:r w:rsidRPr="00C6723A">
        <w:rPr>
          <w:rFonts w:ascii="Book Antiqua" w:hAnsi="Book Antiqua" w:cs="Arial"/>
          <w:lang w:eastAsia="en-US"/>
        </w:rPr>
        <w:tab/>
      </w:r>
      <w:r w:rsidRPr="00C6723A">
        <w:rPr>
          <w:rFonts w:ascii="Book Antiqua" w:hAnsi="Book Antiqua" w:cs="Arial"/>
          <w:lang w:eastAsia="en-US"/>
        </w:rPr>
        <w:tab/>
      </w:r>
      <w:r>
        <w:rPr>
          <w:rFonts w:ascii="Book Antiqua" w:hAnsi="Book Antiqua" w:cs="Arial"/>
          <w:lang w:eastAsia="en-US"/>
        </w:rPr>
        <w:tab/>
      </w:r>
      <w:r w:rsidRPr="00C6723A">
        <w:rPr>
          <w:rFonts w:ascii="Book Antiqua" w:hAnsi="Book Antiqua" w:cs="Arial"/>
          <w:lang w:eastAsia="en-US"/>
        </w:rPr>
        <w:t xml:space="preserve">Upper Tribunal Judge Gleeson  </w:t>
      </w:r>
    </w:p>
    <w:p w:rsidR="00B705D9" w:rsidRPr="00F5664C" w:rsidRDefault="00B705D9" w:rsidP="002F7953">
      <w:pPr>
        <w:rPr>
          <w:rFonts w:ascii="Book Antiqua" w:hAnsi="Book Antiqua" w:cs="Arial"/>
        </w:rPr>
      </w:pPr>
    </w:p>
    <w:sectPr w:rsidR="00B705D9" w:rsidRPr="00F5664C" w:rsidSect="00887A6E">
      <w:headerReference w:type="default" r:id="rId9"/>
      <w:footerReference w:type="default" r:id="rId10"/>
      <w:headerReference w:type="first" r:id="rId11"/>
      <w:footerReference w:type="first" r:id="rId12"/>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CD6" w:rsidRDefault="00DD4CD6">
      <w:r>
        <w:separator/>
      </w:r>
    </w:p>
  </w:endnote>
  <w:endnote w:type="continuationSeparator" w:id="0">
    <w:p w:rsidR="00DD4CD6" w:rsidRDefault="00DD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B3576" w:rsidRDefault="00B705D9" w:rsidP="00593795">
    <w:pPr>
      <w:pStyle w:val="Footer"/>
      <w:jc w:val="center"/>
      <w:rPr>
        <w:rFonts w:ascii="Book Antiqua" w:hAnsi="Book Antiqua" w:cs="Arial"/>
      </w:rPr>
    </w:pPr>
    <w:r w:rsidRPr="00FB3576">
      <w:rPr>
        <w:rStyle w:val="PageNumber"/>
        <w:rFonts w:ascii="Book Antiqua" w:hAnsi="Book Antiqua" w:cs="Arial"/>
      </w:rPr>
      <w:fldChar w:fldCharType="begin"/>
    </w:r>
    <w:r w:rsidRPr="00FB3576">
      <w:rPr>
        <w:rStyle w:val="PageNumber"/>
        <w:rFonts w:ascii="Book Antiqua" w:hAnsi="Book Antiqua" w:cs="Arial"/>
      </w:rPr>
      <w:instrText xml:space="preserve"> PAGE </w:instrText>
    </w:r>
    <w:r w:rsidRPr="00FB3576">
      <w:rPr>
        <w:rStyle w:val="PageNumber"/>
        <w:rFonts w:ascii="Book Antiqua" w:hAnsi="Book Antiqua" w:cs="Arial"/>
      </w:rPr>
      <w:fldChar w:fldCharType="separate"/>
    </w:r>
    <w:r w:rsidR="007E3CA7">
      <w:rPr>
        <w:rStyle w:val="PageNumber"/>
        <w:rFonts w:ascii="Book Antiqua" w:hAnsi="Book Antiqua" w:cs="Arial"/>
        <w:noProof/>
      </w:rPr>
      <w:t>4</w:t>
    </w:r>
    <w:r w:rsidRPr="00FB357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rsidP="00842418">
    <w:pPr>
      <w:jc w:val="center"/>
      <w:rPr>
        <w:rFonts w:ascii="Book Antiqua" w:hAnsi="Book Antiqua" w:cs="Arial"/>
        <w:b/>
      </w:rPr>
    </w:pPr>
    <w:r w:rsidRPr="00F5664C">
      <w:rPr>
        <w:rFonts w:ascii="Book Antiqua" w:hAnsi="Book Antiqua" w:cs="Arial"/>
        <w:b/>
        <w:spacing w:val="-6"/>
      </w:rPr>
      <w:t>©</w:t>
    </w:r>
    <w:r w:rsidR="00997F3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CD6" w:rsidRDefault="00DD4CD6">
      <w:r>
        <w:separator/>
      </w:r>
    </w:p>
  </w:footnote>
  <w:footnote w:type="continuationSeparator" w:id="0">
    <w:p w:rsidR="00DD4CD6" w:rsidRDefault="00DD4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Default="00B705D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9E7B3C">
      <w:rPr>
        <w:rFonts w:ascii="Book Antiqua" w:hAnsi="Book Antiqua" w:cs="Arial"/>
        <w:sz w:val="16"/>
        <w:szCs w:val="16"/>
      </w:rPr>
      <w:t>s</w:t>
    </w:r>
    <w:r w:rsidRPr="00F5664C">
      <w:rPr>
        <w:rFonts w:ascii="Book Antiqua" w:hAnsi="Book Antiqua" w:cs="Arial"/>
        <w:sz w:val="16"/>
        <w:szCs w:val="16"/>
      </w:rPr>
      <w:t xml:space="preserve">: </w:t>
    </w:r>
    <w:r w:rsidR="009E7B3C">
      <w:rPr>
        <w:rFonts w:ascii="Book Antiqua" w:hAnsi="Book Antiqua" w:cs="Arial"/>
        <w:sz w:val="16"/>
        <w:szCs w:val="16"/>
      </w:rPr>
      <w:t>PA/03979/2018</w:t>
    </w:r>
  </w:p>
  <w:p w:rsidR="009E7B3C" w:rsidRDefault="009E7B3C"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PA/03980/2018</w:t>
    </w:r>
  </w:p>
  <w:p w:rsidR="009E7B3C" w:rsidRDefault="009E7B3C" w:rsidP="000369F5">
    <w:pPr>
      <w:pStyle w:val="Header"/>
      <w:tabs>
        <w:tab w:val="clear" w:pos="4153"/>
        <w:tab w:val="clear" w:pos="8306"/>
        <w:tab w:val="right" w:pos="9639"/>
      </w:tabs>
      <w:jc w:val="right"/>
      <w:rPr>
        <w:rFonts w:ascii="Book Antiqua" w:hAnsi="Book Antiqua" w:cs="Arial"/>
        <w:sz w:val="16"/>
        <w:szCs w:val="16"/>
      </w:rPr>
    </w:pPr>
  </w:p>
  <w:p w:rsidR="009E7B3C" w:rsidRPr="00F5664C" w:rsidRDefault="009E7B3C"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E1C7FD2"/>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5"/>
  </w:num>
  <w:num w:numId="2">
    <w:abstractNumId w:val="13"/>
  </w:num>
  <w:num w:numId="3">
    <w:abstractNumId w:val="2"/>
  </w:num>
  <w:num w:numId="4">
    <w:abstractNumId w:val="10"/>
  </w:num>
  <w:num w:numId="5">
    <w:abstractNumId w:val="18"/>
  </w:num>
  <w:num w:numId="6">
    <w:abstractNumId w:val="11"/>
  </w:num>
  <w:num w:numId="7">
    <w:abstractNumId w:val="17"/>
  </w:num>
  <w:num w:numId="8">
    <w:abstractNumId w:val="8"/>
  </w:num>
  <w:num w:numId="9">
    <w:abstractNumId w:val="7"/>
  </w:num>
  <w:num w:numId="10">
    <w:abstractNumId w:val="16"/>
  </w:num>
  <w:num w:numId="11">
    <w:abstractNumId w:val="15"/>
  </w:num>
  <w:num w:numId="12">
    <w:abstractNumId w:val="1"/>
  </w:num>
  <w:num w:numId="13">
    <w:abstractNumId w:val="14"/>
  </w:num>
  <w:num w:numId="14">
    <w:abstractNumId w:val="0"/>
  </w:num>
  <w:num w:numId="15">
    <w:abstractNumId w:val="4"/>
  </w:num>
  <w:num w:numId="16">
    <w:abstractNumId w:val="6"/>
  </w:num>
  <w:num w:numId="17">
    <w:abstractNumId w:val="12"/>
  </w:num>
  <w:num w:numId="18">
    <w:abstractNumId w:val="9"/>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5E"/>
    <w:rsid w:val="00000621"/>
    <w:rsid w:val="000036C2"/>
    <w:rsid w:val="0002205B"/>
    <w:rsid w:val="00022B78"/>
    <w:rsid w:val="00033D3D"/>
    <w:rsid w:val="000369F5"/>
    <w:rsid w:val="00071A7E"/>
    <w:rsid w:val="000746C0"/>
    <w:rsid w:val="00074D1D"/>
    <w:rsid w:val="00092580"/>
    <w:rsid w:val="00097503"/>
    <w:rsid w:val="000A68E1"/>
    <w:rsid w:val="000D5D94"/>
    <w:rsid w:val="000E6D26"/>
    <w:rsid w:val="000F3EC5"/>
    <w:rsid w:val="001165A7"/>
    <w:rsid w:val="00120604"/>
    <w:rsid w:val="00121B67"/>
    <w:rsid w:val="00146D9C"/>
    <w:rsid w:val="00151BB7"/>
    <w:rsid w:val="00154E62"/>
    <w:rsid w:val="00157CFD"/>
    <w:rsid w:val="0016457F"/>
    <w:rsid w:val="00167D3A"/>
    <w:rsid w:val="001A1E2C"/>
    <w:rsid w:val="001A3D78"/>
    <w:rsid w:val="001B2B9C"/>
    <w:rsid w:val="001E2594"/>
    <w:rsid w:val="001F2716"/>
    <w:rsid w:val="001F2A30"/>
    <w:rsid w:val="002005FF"/>
    <w:rsid w:val="0020133A"/>
    <w:rsid w:val="00207617"/>
    <w:rsid w:val="002153CC"/>
    <w:rsid w:val="00267403"/>
    <w:rsid w:val="00282D33"/>
    <w:rsid w:val="00283659"/>
    <w:rsid w:val="00284307"/>
    <w:rsid w:val="00284DB6"/>
    <w:rsid w:val="002964CE"/>
    <w:rsid w:val="002C4E73"/>
    <w:rsid w:val="002D68BF"/>
    <w:rsid w:val="002F26A8"/>
    <w:rsid w:val="002F7953"/>
    <w:rsid w:val="003054BE"/>
    <w:rsid w:val="003126B9"/>
    <w:rsid w:val="00321493"/>
    <w:rsid w:val="00324C78"/>
    <w:rsid w:val="00336CBF"/>
    <w:rsid w:val="00341AC8"/>
    <w:rsid w:val="003507C1"/>
    <w:rsid w:val="003546C8"/>
    <w:rsid w:val="00377C99"/>
    <w:rsid w:val="003A7CF2"/>
    <w:rsid w:val="003B0789"/>
    <w:rsid w:val="003C5CE5"/>
    <w:rsid w:val="003C7ADE"/>
    <w:rsid w:val="003E267B"/>
    <w:rsid w:val="003E5936"/>
    <w:rsid w:val="003E7CD1"/>
    <w:rsid w:val="00401098"/>
    <w:rsid w:val="00402B9E"/>
    <w:rsid w:val="00410DA5"/>
    <w:rsid w:val="004159CD"/>
    <w:rsid w:val="00423932"/>
    <w:rsid w:val="004249CB"/>
    <w:rsid w:val="0044127D"/>
    <w:rsid w:val="004448DB"/>
    <w:rsid w:val="00446C9A"/>
    <w:rsid w:val="00477193"/>
    <w:rsid w:val="004922D1"/>
    <w:rsid w:val="004A1848"/>
    <w:rsid w:val="004E30D7"/>
    <w:rsid w:val="004F3746"/>
    <w:rsid w:val="00507FEC"/>
    <w:rsid w:val="00510F0E"/>
    <w:rsid w:val="00511FD6"/>
    <w:rsid w:val="005479E1"/>
    <w:rsid w:val="005570FD"/>
    <w:rsid w:val="005575EA"/>
    <w:rsid w:val="0057790C"/>
    <w:rsid w:val="00593795"/>
    <w:rsid w:val="00596910"/>
    <w:rsid w:val="005A2625"/>
    <w:rsid w:val="005A75FF"/>
    <w:rsid w:val="005A7AF3"/>
    <w:rsid w:val="005B7789"/>
    <w:rsid w:val="005E6F76"/>
    <w:rsid w:val="00612745"/>
    <w:rsid w:val="00653924"/>
    <w:rsid w:val="0065791C"/>
    <w:rsid w:val="0067439B"/>
    <w:rsid w:val="00690B8A"/>
    <w:rsid w:val="006D1DFA"/>
    <w:rsid w:val="006D506B"/>
    <w:rsid w:val="006D5AA0"/>
    <w:rsid w:val="006E3C90"/>
    <w:rsid w:val="00704B61"/>
    <w:rsid w:val="007416B4"/>
    <w:rsid w:val="00742A8D"/>
    <w:rsid w:val="007552A9"/>
    <w:rsid w:val="00757C67"/>
    <w:rsid w:val="00761858"/>
    <w:rsid w:val="00767D59"/>
    <w:rsid w:val="00771861"/>
    <w:rsid w:val="00776E97"/>
    <w:rsid w:val="00780FD7"/>
    <w:rsid w:val="00781544"/>
    <w:rsid w:val="00787F69"/>
    <w:rsid w:val="007912AD"/>
    <w:rsid w:val="007A1F28"/>
    <w:rsid w:val="007B0824"/>
    <w:rsid w:val="007C6BE8"/>
    <w:rsid w:val="007E3CA7"/>
    <w:rsid w:val="0080665E"/>
    <w:rsid w:val="00822516"/>
    <w:rsid w:val="008303B8"/>
    <w:rsid w:val="00833DCE"/>
    <w:rsid w:val="00836649"/>
    <w:rsid w:val="00841426"/>
    <w:rsid w:val="00842418"/>
    <w:rsid w:val="00871D34"/>
    <w:rsid w:val="00874595"/>
    <w:rsid w:val="00887A6E"/>
    <w:rsid w:val="008B270C"/>
    <w:rsid w:val="008B7675"/>
    <w:rsid w:val="008C3D3D"/>
    <w:rsid w:val="008D2D39"/>
    <w:rsid w:val="008D4131"/>
    <w:rsid w:val="008D72EE"/>
    <w:rsid w:val="008F1932"/>
    <w:rsid w:val="008F294D"/>
    <w:rsid w:val="008F3478"/>
    <w:rsid w:val="00916597"/>
    <w:rsid w:val="00921062"/>
    <w:rsid w:val="00923213"/>
    <w:rsid w:val="0093083E"/>
    <w:rsid w:val="00966ECF"/>
    <w:rsid w:val="009727A3"/>
    <w:rsid w:val="0097568F"/>
    <w:rsid w:val="0098507A"/>
    <w:rsid w:val="00987774"/>
    <w:rsid w:val="00997F3F"/>
    <w:rsid w:val="009A11E8"/>
    <w:rsid w:val="009A4AEE"/>
    <w:rsid w:val="009C5A94"/>
    <w:rsid w:val="009E4E62"/>
    <w:rsid w:val="009E7B3C"/>
    <w:rsid w:val="009F5220"/>
    <w:rsid w:val="009F73A5"/>
    <w:rsid w:val="009F7C4D"/>
    <w:rsid w:val="00A15234"/>
    <w:rsid w:val="00A201AB"/>
    <w:rsid w:val="00A31BD8"/>
    <w:rsid w:val="00A31C8B"/>
    <w:rsid w:val="00A53BE8"/>
    <w:rsid w:val="00A845DC"/>
    <w:rsid w:val="00A97AEE"/>
    <w:rsid w:val="00AA2E5B"/>
    <w:rsid w:val="00AC5CF6"/>
    <w:rsid w:val="00AF0427"/>
    <w:rsid w:val="00B10855"/>
    <w:rsid w:val="00B10B51"/>
    <w:rsid w:val="00B144FA"/>
    <w:rsid w:val="00B16F58"/>
    <w:rsid w:val="00B30648"/>
    <w:rsid w:val="00B3524D"/>
    <w:rsid w:val="00B40F69"/>
    <w:rsid w:val="00B46616"/>
    <w:rsid w:val="00B54087"/>
    <w:rsid w:val="00B610E3"/>
    <w:rsid w:val="00B61205"/>
    <w:rsid w:val="00B617C4"/>
    <w:rsid w:val="00B626FA"/>
    <w:rsid w:val="00B65747"/>
    <w:rsid w:val="00B7040A"/>
    <w:rsid w:val="00B705D9"/>
    <w:rsid w:val="00B9106B"/>
    <w:rsid w:val="00B96FA0"/>
    <w:rsid w:val="00BA0442"/>
    <w:rsid w:val="00BB2775"/>
    <w:rsid w:val="00BD1E13"/>
    <w:rsid w:val="00BD4196"/>
    <w:rsid w:val="00BD74C9"/>
    <w:rsid w:val="00BF22CA"/>
    <w:rsid w:val="00BF7DA8"/>
    <w:rsid w:val="00C005C1"/>
    <w:rsid w:val="00C16EFB"/>
    <w:rsid w:val="00C25034"/>
    <w:rsid w:val="00C26032"/>
    <w:rsid w:val="00C265B0"/>
    <w:rsid w:val="00C321B5"/>
    <w:rsid w:val="00C345E1"/>
    <w:rsid w:val="00C457BC"/>
    <w:rsid w:val="00C476B2"/>
    <w:rsid w:val="00C6456B"/>
    <w:rsid w:val="00C977BA"/>
    <w:rsid w:val="00CB6E35"/>
    <w:rsid w:val="00CC6B55"/>
    <w:rsid w:val="00CE1A46"/>
    <w:rsid w:val="00CF253F"/>
    <w:rsid w:val="00CF56B4"/>
    <w:rsid w:val="00D11122"/>
    <w:rsid w:val="00D20F09"/>
    <w:rsid w:val="00D22636"/>
    <w:rsid w:val="00D40FD9"/>
    <w:rsid w:val="00D505A3"/>
    <w:rsid w:val="00D527C9"/>
    <w:rsid w:val="00D53769"/>
    <w:rsid w:val="00D70775"/>
    <w:rsid w:val="00D85C13"/>
    <w:rsid w:val="00D91BE3"/>
    <w:rsid w:val="00D94AFC"/>
    <w:rsid w:val="00DA53F9"/>
    <w:rsid w:val="00DB5F51"/>
    <w:rsid w:val="00DB70AE"/>
    <w:rsid w:val="00DB7231"/>
    <w:rsid w:val="00DC3CEC"/>
    <w:rsid w:val="00DD4CD6"/>
    <w:rsid w:val="00DD5071"/>
    <w:rsid w:val="00DD5C39"/>
    <w:rsid w:val="00DD6305"/>
    <w:rsid w:val="00DE26AF"/>
    <w:rsid w:val="00DE279E"/>
    <w:rsid w:val="00DE3F1C"/>
    <w:rsid w:val="00DE7DB7"/>
    <w:rsid w:val="00DF41E9"/>
    <w:rsid w:val="00E00A0A"/>
    <w:rsid w:val="00E05FCF"/>
    <w:rsid w:val="00E0621D"/>
    <w:rsid w:val="00E07F57"/>
    <w:rsid w:val="00E50BCE"/>
    <w:rsid w:val="00E51D71"/>
    <w:rsid w:val="00E61292"/>
    <w:rsid w:val="00E639E8"/>
    <w:rsid w:val="00E76309"/>
    <w:rsid w:val="00E77C4D"/>
    <w:rsid w:val="00E81D01"/>
    <w:rsid w:val="00EA4E94"/>
    <w:rsid w:val="00EC66FF"/>
    <w:rsid w:val="00ED6C2F"/>
    <w:rsid w:val="00EE45D8"/>
    <w:rsid w:val="00EE6ED8"/>
    <w:rsid w:val="00F004CD"/>
    <w:rsid w:val="00F06314"/>
    <w:rsid w:val="00F168A9"/>
    <w:rsid w:val="00F22544"/>
    <w:rsid w:val="00F22EDA"/>
    <w:rsid w:val="00F3224D"/>
    <w:rsid w:val="00F33E0E"/>
    <w:rsid w:val="00F436BD"/>
    <w:rsid w:val="00F508CC"/>
    <w:rsid w:val="00F5664C"/>
    <w:rsid w:val="00F747BC"/>
    <w:rsid w:val="00F82A85"/>
    <w:rsid w:val="00F918E4"/>
    <w:rsid w:val="00FB3576"/>
    <w:rsid w:val="00FB7E80"/>
    <w:rsid w:val="00FE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8615BB5"/>
  <w15:chartTrackingRefBased/>
  <w15:docId w15:val="{87FE8472-A763-47DD-B2AC-539EDACD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6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rFonts w:cs="Times New Roman"/>
      <w:color w:val="0000FF"/>
      <w:u w:val="single"/>
    </w:rPr>
  </w:style>
  <w:style w:type="paragraph" w:styleId="ListParagraph">
    <w:name w:val="List Paragraph"/>
    <w:basedOn w:val="Normal"/>
    <w:uiPriority w:val="34"/>
    <w:qFormat/>
    <w:rsid w:val="00492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Tribunals\Leicester_AIT_P1\Shared\AIT\AHShared\AIT%20Typing%20Services\1%20IAC%20Judges%20Info%20-%20typists%20use%20only\Gleeson,%20J%20A%20J%20C%20Mrs\Templates\Upper%20Tribunal%20Decision%20Template%20-%20Jan%2020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285BF-4F17-470D-AAE1-58334168E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Upper Tribunal Decision Template - Jan 2018.dot</Template>
  <TotalTime>12</TotalTime>
  <Pages>4</Pages>
  <Words>1463</Words>
  <Characters>7603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H-     -V1</vt:lpstr>
    </vt:vector>
  </TitlesOfParts>
  <Company>Court Service</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     -V1</dc:title>
  <dc:subject/>
  <dc:creator>Lam, Wai-Ying.</dc:creator>
  <cp:keywords/>
  <dc:description/>
  <cp:lastModifiedBy>Rajdev, Chandrika</cp:lastModifiedBy>
  <cp:revision>5</cp:revision>
  <cp:lastPrinted>2018-09-27T11:35:00Z</cp:lastPrinted>
  <dcterms:created xsi:type="dcterms:W3CDTF">2018-09-27T12:24:00Z</dcterms:created>
  <dcterms:modified xsi:type="dcterms:W3CDTF">2018-10-18T13:55:00Z</dcterms:modified>
</cp:coreProperties>
</file>