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E1440F" w14:textId="032558DE" w:rsidR="00AA5C72" w:rsidRDefault="00AA5C72" w:rsidP="00DA616D">
      <w:pPr>
        <w:spacing w:after="0" w:line="240" w:lineRule="auto"/>
        <w:jc w:val="center"/>
        <w:rPr>
          <w:rFonts w:ascii="Book Antiqua" w:hAnsi="Book Antiqua" w:cs="Arial"/>
          <w:color w:val="000000"/>
          <w:sz w:val="16"/>
          <w:szCs w:val="16"/>
        </w:rPr>
      </w:pPr>
      <w:r w:rsidRPr="00DA616D">
        <w:rPr>
          <w:rFonts w:ascii="Book Antiqua" w:hAnsi="Book Antiqua"/>
          <w:noProof/>
          <w:sz w:val="16"/>
          <w:szCs w:val="16"/>
        </w:rPr>
        <w:drawing>
          <wp:inline distT="0" distB="0" distL="0" distR="0" wp14:anchorId="231B643D" wp14:editId="5D2A8FC2">
            <wp:extent cx="1047750" cy="9080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7750" cy="908050"/>
                    </a:xfrm>
                    <a:prstGeom prst="rect">
                      <a:avLst/>
                    </a:prstGeom>
                    <a:noFill/>
                    <a:ln>
                      <a:noFill/>
                    </a:ln>
                  </pic:spPr>
                </pic:pic>
              </a:graphicData>
            </a:graphic>
          </wp:inline>
        </w:drawing>
      </w:r>
    </w:p>
    <w:p w14:paraId="4ACEDC7E" w14:textId="77777777" w:rsidR="00DA616D" w:rsidRPr="00DA616D" w:rsidRDefault="00DA616D" w:rsidP="00DA616D">
      <w:pPr>
        <w:spacing w:after="0" w:line="240" w:lineRule="auto"/>
        <w:jc w:val="center"/>
        <w:rPr>
          <w:rFonts w:ascii="Book Antiqua" w:hAnsi="Book Antiqua" w:cs="Arial"/>
          <w:color w:val="000000"/>
          <w:sz w:val="16"/>
          <w:szCs w:val="16"/>
        </w:rPr>
      </w:pPr>
    </w:p>
    <w:p w14:paraId="3B1EFF36" w14:textId="77777777" w:rsidR="00AA5C72" w:rsidRPr="00DA616D" w:rsidRDefault="00AA5C72" w:rsidP="00DA616D">
      <w:pPr>
        <w:spacing w:after="0" w:line="240" w:lineRule="auto"/>
        <w:rPr>
          <w:rFonts w:ascii="Book Antiqua" w:hAnsi="Book Antiqua" w:cs="Arial"/>
          <w:b/>
          <w:color w:val="000000"/>
          <w:sz w:val="24"/>
          <w:szCs w:val="24"/>
        </w:rPr>
      </w:pPr>
      <w:r w:rsidRPr="00DA616D">
        <w:rPr>
          <w:rFonts w:ascii="Book Antiqua" w:hAnsi="Book Antiqua" w:cs="Arial"/>
          <w:b/>
          <w:color w:val="000000"/>
          <w:sz w:val="24"/>
          <w:szCs w:val="24"/>
        </w:rPr>
        <w:t>Upper Tribunal</w:t>
      </w:r>
    </w:p>
    <w:p w14:paraId="43E04268" w14:textId="60FF8FD7" w:rsidR="00AA5C72" w:rsidRPr="00DA616D" w:rsidRDefault="00AA5C72" w:rsidP="00DA616D">
      <w:pPr>
        <w:tabs>
          <w:tab w:val="right" w:pos="9638"/>
        </w:tabs>
        <w:spacing w:after="0" w:line="240" w:lineRule="auto"/>
        <w:rPr>
          <w:rFonts w:ascii="Book Antiqua" w:hAnsi="Book Antiqua" w:cs="Arial"/>
          <w:color w:val="000000"/>
          <w:sz w:val="24"/>
          <w:szCs w:val="24"/>
        </w:rPr>
      </w:pPr>
      <w:r w:rsidRPr="00DA616D">
        <w:rPr>
          <w:rFonts w:ascii="Book Antiqua" w:hAnsi="Book Antiqua" w:cs="Arial"/>
          <w:b/>
          <w:color w:val="000000"/>
          <w:sz w:val="24"/>
          <w:szCs w:val="24"/>
        </w:rPr>
        <w:t>(Immigration and Asylum Chamber)</w:t>
      </w:r>
      <w:r w:rsidR="00DA616D">
        <w:rPr>
          <w:rFonts w:ascii="Book Antiqua" w:hAnsi="Book Antiqua" w:cs="Arial"/>
          <w:b/>
          <w:color w:val="000000"/>
          <w:sz w:val="24"/>
          <w:szCs w:val="24"/>
        </w:rPr>
        <w:tab/>
      </w:r>
      <w:r w:rsidRPr="00DA616D">
        <w:rPr>
          <w:rFonts w:ascii="Book Antiqua" w:hAnsi="Book Antiqua" w:cs="Arial"/>
          <w:color w:val="000000"/>
          <w:sz w:val="24"/>
          <w:szCs w:val="24"/>
        </w:rPr>
        <w:t xml:space="preserve">Appeal Number: </w:t>
      </w:r>
      <w:bookmarkStart w:id="0" w:name="_GoBack"/>
      <w:r w:rsidR="00DD6722" w:rsidRPr="00DA616D">
        <w:rPr>
          <w:rFonts w:ascii="Book Antiqua" w:hAnsi="Book Antiqua" w:cs="Arial"/>
          <w:color w:val="000000"/>
          <w:sz w:val="24"/>
          <w:szCs w:val="24"/>
        </w:rPr>
        <w:t>PA/03991/</w:t>
      </w:r>
      <w:r w:rsidRPr="00DA616D">
        <w:rPr>
          <w:rFonts w:ascii="Book Antiqua" w:hAnsi="Book Antiqua" w:cs="Arial"/>
          <w:color w:val="000000"/>
          <w:sz w:val="24"/>
          <w:szCs w:val="24"/>
        </w:rPr>
        <w:t>201</w:t>
      </w:r>
      <w:r w:rsidR="00DD6722" w:rsidRPr="00DA616D">
        <w:rPr>
          <w:rFonts w:ascii="Book Antiqua" w:hAnsi="Book Antiqua" w:cs="Arial"/>
          <w:color w:val="000000"/>
          <w:sz w:val="24"/>
          <w:szCs w:val="24"/>
        </w:rPr>
        <w:t>7</w:t>
      </w:r>
      <w:bookmarkEnd w:id="0"/>
    </w:p>
    <w:p w14:paraId="40002187" w14:textId="77777777" w:rsidR="00DA616D" w:rsidRDefault="00DA616D" w:rsidP="00DA616D">
      <w:pPr>
        <w:spacing w:after="0" w:line="240" w:lineRule="auto"/>
        <w:jc w:val="center"/>
        <w:rPr>
          <w:rFonts w:ascii="Book Antiqua" w:hAnsi="Book Antiqua" w:cs="Arial"/>
          <w:b/>
          <w:color w:val="000000"/>
          <w:sz w:val="24"/>
          <w:szCs w:val="24"/>
          <w:u w:val="single"/>
        </w:rPr>
      </w:pPr>
    </w:p>
    <w:p w14:paraId="14D2276F" w14:textId="77777777" w:rsidR="00DA616D" w:rsidRDefault="00DA616D" w:rsidP="00DA616D">
      <w:pPr>
        <w:spacing w:after="0" w:line="240" w:lineRule="auto"/>
        <w:jc w:val="center"/>
        <w:rPr>
          <w:rFonts w:ascii="Book Antiqua" w:hAnsi="Book Antiqua" w:cs="Arial"/>
          <w:b/>
          <w:color w:val="000000"/>
          <w:sz w:val="24"/>
          <w:szCs w:val="24"/>
          <w:u w:val="single"/>
        </w:rPr>
      </w:pPr>
    </w:p>
    <w:p w14:paraId="53706007" w14:textId="5FD90B65" w:rsidR="00AA5C72" w:rsidRDefault="00AA5C72" w:rsidP="00DA616D">
      <w:pPr>
        <w:spacing w:after="0" w:line="240" w:lineRule="auto"/>
        <w:jc w:val="center"/>
        <w:rPr>
          <w:rFonts w:ascii="Book Antiqua" w:hAnsi="Book Antiqua" w:cs="Arial"/>
          <w:b/>
          <w:color w:val="000000"/>
          <w:sz w:val="24"/>
          <w:szCs w:val="24"/>
          <w:u w:val="single"/>
        </w:rPr>
      </w:pPr>
      <w:r w:rsidRPr="00DA616D">
        <w:rPr>
          <w:rFonts w:ascii="Book Antiqua" w:hAnsi="Book Antiqua" w:cs="Arial"/>
          <w:b/>
          <w:color w:val="000000"/>
          <w:sz w:val="24"/>
          <w:szCs w:val="24"/>
          <w:u w:val="single"/>
        </w:rPr>
        <w:t>THE IMMIGRATION ACT</w:t>
      </w:r>
    </w:p>
    <w:p w14:paraId="24971443" w14:textId="62FF3751" w:rsidR="00DA616D" w:rsidRDefault="00DA616D" w:rsidP="00DA616D">
      <w:pPr>
        <w:spacing w:after="0" w:line="240" w:lineRule="auto"/>
        <w:jc w:val="center"/>
        <w:rPr>
          <w:rFonts w:ascii="Book Antiqua" w:hAnsi="Book Antiqua" w:cs="Arial"/>
          <w:b/>
          <w:color w:val="000000"/>
          <w:sz w:val="24"/>
          <w:szCs w:val="24"/>
          <w:u w:val="single"/>
        </w:rPr>
      </w:pPr>
    </w:p>
    <w:p w14:paraId="73FA07C6" w14:textId="77777777" w:rsidR="00DA616D" w:rsidRPr="00DA616D" w:rsidRDefault="00DA616D" w:rsidP="00DA616D">
      <w:pPr>
        <w:spacing w:after="0" w:line="240" w:lineRule="auto"/>
        <w:jc w:val="center"/>
        <w:rPr>
          <w:rFonts w:ascii="Book Antiqua" w:hAnsi="Book Antiqua" w:cs="Arial"/>
          <w:b/>
          <w:color w:val="000000"/>
          <w:sz w:val="24"/>
          <w:szCs w:val="24"/>
          <w:u w:val="single"/>
        </w:rPr>
      </w:pPr>
    </w:p>
    <w:tbl>
      <w:tblPr>
        <w:tblW w:w="5000" w:type="pct"/>
        <w:tblLook w:val="01E0" w:firstRow="1" w:lastRow="1" w:firstColumn="1" w:lastColumn="1" w:noHBand="0" w:noVBand="0"/>
      </w:tblPr>
      <w:tblGrid>
        <w:gridCol w:w="4819"/>
        <w:gridCol w:w="4819"/>
      </w:tblGrid>
      <w:tr w:rsidR="00AA5C72" w:rsidRPr="00DA616D" w14:paraId="6B061856" w14:textId="77777777" w:rsidTr="00DA616D">
        <w:trPr>
          <w:trHeight w:val="193"/>
        </w:trPr>
        <w:tc>
          <w:tcPr>
            <w:tcW w:w="2500" w:type="pct"/>
            <w:shd w:val="clear" w:color="auto" w:fill="auto"/>
          </w:tcPr>
          <w:p w14:paraId="45C4244B" w14:textId="77777777" w:rsidR="00AA5C72" w:rsidRPr="00DA616D" w:rsidRDefault="00AA5C72" w:rsidP="00DA616D">
            <w:pPr>
              <w:spacing w:after="0" w:line="240" w:lineRule="auto"/>
              <w:jc w:val="both"/>
              <w:rPr>
                <w:rFonts w:ascii="Book Antiqua" w:eastAsia="Times New Roman" w:hAnsi="Book Antiqua" w:cs="Arial"/>
                <w:b/>
                <w:sz w:val="24"/>
                <w:szCs w:val="24"/>
              </w:rPr>
            </w:pPr>
            <w:r w:rsidRPr="00DA616D">
              <w:rPr>
                <w:rFonts w:ascii="Book Antiqua" w:eastAsia="Times New Roman" w:hAnsi="Book Antiqua" w:cs="Arial"/>
                <w:b/>
                <w:sz w:val="24"/>
                <w:szCs w:val="24"/>
              </w:rPr>
              <w:t>Heard at Newport</w:t>
            </w:r>
          </w:p>
          <w:p w14:paraId="1920CE41" w14:textId="59E672DA" w:rsidR="00914A8A" w:rsidRPr="00DA616D" w:rsidRDefault="00914A8A" w:rsidP="00DA616D">
            <w:pPr>
              <w:spacing w:after="0" w:line="240" w:lineRule="auto"/>
              <w:jc w:val="both"/>
              <w:rPr>
                <w:rFonts w:ascii="Book Antiqua" w:eastAsia="Times New Roman" w:hAnsi="Book Antiqua" w:cs="Arial"/>
                <w:b/>
                <w:sz w:val="24"/>
                <w:szCs w:val="24"/>
              </w:rPr>
            </w:pPr>
            <w:r w:rsidRPr="00DA616D">
              <w:rPr>
                <w:rFonts w:ascii="Book Antiqua" w:eastAsia="Times New Roman" w:hAnsi="Book Antiqua" w:cs="Arial"/>
                <w:b/>
                <w:sz w:val="24"/>
                <w:szCs w:val="24"/>
              </w:rPr>
              <w:t>On 15 August 2018</w:t>
            </w:r>
          </w:p>
        </w:tc>
        <w:tc>
          <w:tcPr>
            <w:tcW w:w="2500" w:type="pct"/>
            <w:shd w:val="clear" w:color="auto" w:fill="auto"/>
          </w:tcPr>
          <w:p w14:paraId="64420B3C" w14:textId="77777777" w:rsidR="00AA5C72" w:rsidRPr="00DA616D" w:rsidRDefault="00AA5C72" w:rsidP="00DA616D">
            <w:pPr>
              <w:spacing w:after="0" w:line="240" w:lineRule="auto"/>
              <w:jc w:val="right"/>
              <w:rPr>
                <w:rFonts w:ascii="Book Antiqua" w:eastAsia="Times New Roman" w:hAnsi="Book Antiqua" w:cs="Arial"/>
                <w:b/>
                <w:color w:val="000000"/>
                <w:sz w:val="24"/>
                <w:szCs w:val="24"/>
              </w:rPr>
            </w:pPr>
            <w:r w:rsidRPr="00DA616D">
              <w:rPr>
                <w:rFonts w:ascii="Book Antiqua" w:eastAsia="Times New Roman" w:hAnsi="Book Antiqua" w:cs="Arial"/>
                <w:b/>
                <w:color w:val="000000"/>
                <w:sz w:val="24"/>
                <w:szCs w:val="24"/>
              </w:rPr>
              <w:t xml:space="preserve">Decision and </w:t>
            </w:r>
            <w:r w:rsidR="00CB31A3" w:rsidRPr="00DA616D">
              <w:rPr>
                <w:rFonts w:ascii="Book Antiqua" w:eastAsia="Times New Roman" w:hAnsi="Book Antiqua" w:cs="Arial"/>
                <w:b/>
                <w:color w:val="000000"/>
                <w:sz w:val="24"/>
                <w:szCs w:val="24"/>
              </w:rPr>
              <w:t>Reasons Promulgated</w:t>
            </w:r>
          </w:p>
          <w:p w14:paraId="1A9541B2" w14:textId="22998F07" w:rsidR="00914A8A" w:rsidRPr="00DA616D" w:rsidRDefault="00914A8A" w:rsidP="00DA616D">
            <w:pPr>
              <w:spacing w:after="0" w:line="240" w:lineRule="auto"/>
              <w:jc w:val="right"/>
              <w:rPr>
                <w:rFonts w:ascii="Book Antiqua" w:eastAsia="Times New Roman" w:hAnsi="Book Antiqua" w:cs="Arial"/>
                <w:b/>
                <w:color w:val="000000"/>
                <w:sz w:val="24"/>
                <w:szCs w:val="24"/>
              </w:rPr>
            </w:pPr>
            <w:r w:rsidRPr="00DA616D">
              <w:rPr>
                <w:rFonts w:ascii="Book Antiqua" w:hAnsi="Book Antiqua" w:cs="Arial"/>
                <w:b/>
                <w:color w:val="000000"/>
                <w:sz w:val="24"/>
                <w:szCs w:val="24"/>
              </w:rPr>
              <w:t xml:space="preserve">On </w:t>
            </w:r>
            <w:r w:rsidRPr="00DA616D">
              <w:rPr>
                <w:rFonts w:ascii="Book Antiqua" w:eastAsia="Times New Roman" w:hAnsi="Book Antiqua" w:cs="Arial"/>
                <w:b/>
                <w:color w:val="000000"/>
                <w:sz w:val="24"/>
                <w:szCs w:val="24"/>
              </w:rPr>
              <w:t>03 September 2018</w:t>
            </w:r>
          </w:p>
        </w:tc>
      </w:tr>
      <w:tr w:rsidR="00AA5C72" w:rsidRPr="00DA616D" w14:paraId="1CF3E6C8" w14:textId="77777777" w:rsidTr="00DA616D">
        <w:trPr>
          <w:trHeight w:val="186"/>
        </w:trPr>
        <w:tc>
          <w:tcPr>
            <w:tcW w:w="2500" w:type="pct"/>
            <w:shd w:val="clear" w:color="auto" w:fill="auto"/>
          </w:tcPr>
          <w:p w14:paraId="63E090CE" w14:textId="53AD790E" w:rsidR="00AA5C72" w:rsidRPr="00DA616D" w:rsidRDefault="00AA5C72" w:rsidP="00DA616D">
            <w:pPr>
              <w:spacing w:after="0" w:line="240" w:lineRule="auto"/>
              <w:jc w:val="both"/>
              <w:rPr>
                <w:rFonts w:ascii="Book Antiqua" w:eastAsia="Times New Roman" w:hAnsi="Book Antiqua" w:cs="Arial"/>
                <w:b/>
                <w:sz w:val="24"/>
                <w:szCs w:val="24"/>
              </w:rPr>
            </w:pPr>
          </w:p>
        </w:tc>
        <w:tc>
          <w:tcPr>
            <w:tcW w:w="2500" w:type="pct"/>
            <w:shd w:val="clear" w:color="auto" w:fill="auto"/>
          </w:tcPr>
          <w:p w14:paraId="39200887" w14:textId="77777777" w:rsidR="00AA5C72" w:rsidRPr="00DA616D" w:rsidRDefault="00AA5C72" w:rsidP="00DA616D">
            <w:pPr>
              <w:spacing w:after="0" w:line="240" w:lineRule="auto"/>
              <w:jc w:val="right"/>
              <w:rPr>
                <w:rFonts w:ascii="Book Antiqua" w:eastAsia="Times New Roman" w:hAnsi="Book Antiqua" w:cs="Arial"/>
                <w:b/>
                <w:sz w:val="24"/>
                <w:szCs w:val="24"/>
              </w:rPr>
            </w:pPr>
          </w:p>
        </w:tc>
      </w:tr>
      <w:tr w:rsidR="00AA5C72" w:rsidRPr="00DA616D" w14:paraId="3DD75033" w14:textId="77777777" w:rsidTr="00DA616D">
        <w:trPr>
          <w:trHeight w:val="193"/>
        </w:trPr>
        <w:tc>
          <w:tcPr>
            <w:tcW w:w="2500" w:type="pct"/>
            <w:shd w:val="clear" w:color="auto" w:fill="auto"/>
          </w:tcPr>
          <w:p w14:paraId="53E941EC" w14:textId="77777777" w:rsidR="00AA5C72" w:rsidRPr="00DA616D" w:rsidRDefault="00AA5C72" w:rsidP="00DA616D">
            <w:pPr>
              <w:spacing w:after="0" w:line="240" w:lineRule="auto"/>
              <w:jc w:val="both"/>
              <w:rPr>
                <w:rFonts w:ascii="Book Antiqua" w:eastAsia="Times New Roman" w:hAnsi="Book Antiqua" w:cs="Arial"/>
                <w:b/>
                <w:sz w:val="24"/>
                <w:szCs w:val="24"/>
              </w:rPr>
            </w:pPr>
          </w:p>
        </w:tc>
        <w:tc>
          <w:tcPr>
            <w:tcW w:w="2500" w:type="pct"/>
            <w:shd w:val="clear" w:color="auto" w:fill="auto"/>
          </w:tcPr>
          <w:p w14:paraId="3692EE93" w14:textId="26862946" w:rsidR="00AA5C72" w:rsidRPr="00DA616D" w:rsidRDefault="00AA5C72" w:rsidP="00DA616D">
            <w:pPr>
              <w:spacing w:after="0" w:line="240" w:lineRule="auto"/>
              <w:jc w:val="right"/>
              <w:rPr>
                <w:rFonts w:ascii="Book Antiqua" w:eastAsia="Times New Roman" w:hAnsi="Book Antiqua" w:cs="Arial"/>
                <w:b/>
                <w:sz w:val="24"/>
                <w:szCs w:val="24"/>
              </w:rPr>
            </w:pPr>
          </w:p>
        </w:tc>
      </w:tr>
    </w:tbl>
    <w:p w14:paraId="28ED65A2" w14:textId="6C90DFCA" w:rsidR="00AA5C72" w:rsidRDefault="00AA5C72" w:rsidP="00DA616D">
      <w:pPr>
        <w:spacing w:after="0" w:line="240" w:lineRule="auto"/>
        <w:jc w:val="center"/>
        <w:rPr>
          <w:rFonts w:ascii="Book Antiqua" w:hAnsi="Book Antiqua" w:cs="Arial"/>
          <w:b/>
          <w:sz w:val="24"/>
          <w:szCs w:val="24"/>
        </w:rPr>
      </w:pPr>
      <w:r w:rsidRPr="00DA616D">
        <w:rPr>
          <w:rFonts w:ascii="Book Antiqua" w:hAnsi="Book Antiqua" w:cs="Arial"/>
          <w:b/>
          <w:sz w:val="24"/>
          <w:szCs w:val="24"/>
        </w:rPr>
        <w:t>Before</w:t>
      </w:r>
    </w:p>
    <w:p w14:paraId="0CE633C2" w14:textId="77777777" w:rsidR="00DA616D" w:rsidRPr="00DA616D" w:rsidRDefault="00DA616D" w:rsidP="00DA616D">
      <w:pPr>
        <w:spacing w:after="0" w:line="240" w:lineRule="auto"/>
        <w:jc w:val="center"/>
        <w:rPr>
          <w:rFonts w:ascii="Book Antiqua" w:hAnsi="Book Antiqua" w:cs="Arial"/>
          <w:b/>
          <w:sz w:val="24"/>
          <w:szCs w:val="24"/>
        </w:rPr>
      </w:pPr>
    </w:p>
    <w:p w14:paraId="36545EC8" w14:textId="5F034297" w:rsidR="00AA5C72" w:rsidRPr="00DA616D" w:rsidRDefault="00AA5C72" w:rsidP="00DA616D">
      <w:pPr>
        <w:spacing w:after="0" w:line="240" w:lineRule="auto"/>
        <w:jc w:val="center"/>
        <w:rPr>
          <w:rFonts w:ascii="Book Antiqua" w:hAnsi="Book Antiqua" w:cs="Arial"/>
          <w:b/>
          <w:sz w:val="24"/>
          <w:szCs w:val="24"/>
        </w:rPr>
      </w:pPr>
      <w:r w:rsidRPr="00DA616D">
        <w:rPr>
          <w:rFonts w:ascii="Book Antiqua" w:hAnsi="Book Antiqua" w:cs="Arial"/>
          <w:b/>
          <w:sz w:val="24"/>
          <w:szCs w:val="24"/>
        </w:rPr>
        <w:t xml:space="preserve"> UPPER TRIBUNAL JUDGE RIMINGTON</w:t>
      </w:r>
    </w:p>
    <w:p w14:paraId="14711BE4" w14:textId="77777777" w:rsidR="00DA616D" w:rsidRDefault="00DA616D" w:rsidP="00DA616D">
      <w:pPr>
        <w:spacing w:after="0" w:line="240" w:lineRule="auto"/>
        <w:jc w:val="center"/>
        <w:rPr>
          <w:rFonts w:ascii="Book Antiqua" w:hAnsi="Book Antiqua" w:cs="Arial"/>
          <w:b/>
          <w:sz w:val="24"/>
          <w:szCs w:val="24"/>
        </w:rPr>
      </w:pPr>
    </w:p>
    <w:p w14:paraId="41FC8569" w14:textId="77777777" w:rsidR="00DA616D" w:rsidRDefault="00DA616D" w:rsidP="00DA616D">
      <w:pPr>
        <w:spacing w:after="0" w:line="240" w:lineRule="auto"/>
        <w:jc w:val="center"/>
        <w:rPr>
          <w:rFonts w:ascii="Book Antiqua" w:hAnsi="Book Antiqua" w:cs="Arial"/>
          <w:b/>
          <w:sz w:val="24"/>
          <w:szCs w:val="24"/>
        </w:rPr>
      </w:pPr>
    </w:p>
    <w:p w14:paraId="5DC4F8B8" w14:textId="1D9BB44E" w:rsidR="00AA5C72" w:rsidRDefault="00AA5C72" w:rsidP="00DA616D">
      <w:pPr>
        <w:spacing w:after="0" w:line="240" w:lineRule="auto"/>
        <w:jc w:val="center"/>
        <w:rPr>
          <w:rFonts w:ascii="Book Antiqua" w:hAnsi="Book Antiqua" w:cs="Arial"/>
          <w:b/>
          <w:sz w:val="24"/>
          <w:szCs w:val="24"/>
        </w:rPr>
      </w:pPr>
      <w:r w:rsidRPr="00DA616D">
        <w:rPr>
          <w:rFonts w:ascii="Book Antiqua" w:hAnsi="Book Antiqua" w:cs="Arial"/>
          <w:b/>
          <w:sz w:val="24"/>
          <w:szCs w:val="24"/>
        </w:rPr>
        <w:t>Between</w:t>
      </w:r>
    </w:p>
    <w:p w14:paraId="7960E3E8" w14:textId="77777777" w:rsidR="00DA616D" w:rsidRPr="00DA616D" w:rsidRDefault="00DA616D" w:rsidP="00DA616D">
      <w:pPr>
        <w:spacing w:after="0" w:line="240" w:lineRule="auto"/>
        <w:jc w:val="center"/>
        <w:rPr>
          <w:rFonts w:ascii="Book Antiqua" w:hAnsi="Book Antiqua" w:cs="Arial"/>
          <w:b/>
          <w:sz w:val="24"/>
          <w:szCs w:val="24"/>
        </w:rPr>
      </w:pPr>
    </w:p>
    <w:p w14:paraId="0D85A944" w14:textId="7636CE11" w:rsidR="00AA5C72" w:rsidRPr="00DA616D" w:rsidRDefault="00AA5C72" w:rsidP="00DA616D">
      <w:pPr>
        <w:spacing w:after="0" w:line="240" w:lineRule="auto"/>
        <w:jc w:val="center"/>
        <w:rPr>
          <w:rFonts w:ascii="Book Antiqua" w:hAnsi="Book Antiqua" w:cs="Arial"/>
          <w:b/>
          <w:sz w:val="24"/>
          <w:szCs w:val="24"/>
        </w:rPr>
      </w:pPr>
      <w:r w:rsidRPr="00DA616D">
        <w:rPr>
          <w:rFonts w:ascii="Book Antiqua" w:hAnsi="Book Antiqua" w:cs="Arial"/>
          <w:b/>
          <w:sz w:val="24"/>
          <w:szCs w:val="24"/>
        </w:rPr>
        <w:t>The Secretary of State for the Home Department</w:t>
      </w:r>
    </w:p>
    <w:p w14:paraId="5BBB3EB0" w14:textId="77777777" w:rsidR="00AA5C72" w:rsidRPr="00DA616D" w:rsidRDefault="00AA5C72" w:rsidP="00DA616D">
      <w:pPr>
        <w:spacing w:after="0" w:line="240" w:lineRule="auto"/>
        <w:jc w:val="right"/>
        <w:rPr>
          <w:rFonts w:ascii="Book Antiqua" w:hAnsi="Book Antiqua" w:cs="Arial"/>
          <w:sz w:val="24"/>
          <w:szCs w:val="24"/>
          <w:u w:val="single"/>
        </w:rPr>
      </w:pPr>
      <w:r w:rsidRPr="00DA616D">
        <w:rPr>
          <w:rFonts w:ascii="Book Antiqua" w:hAnsi="Book Antiqua" w:cs="Arial"/>
          <w:sz w:val="24"/>
          <w:szCs w:val="24"/>
          <w:u w:val="single"/>
        </w:rPr>
        <w:t>Appellant</w:t>
      </w:r>
    </w:p>
    <w:p w14:paraId="3960CD7D" w14:textId="77777777" w:rsidR="00AA5C72" w:rsidRPr="00DA616D" w:rsidRDefault="00AA5C72" w:rsidP="00DA616D">
      <w:pPr>
        <w:spacing w:after="0" w:line="240" w:lineRule="auto"/>
        <w:jc w:val="center"/>
        <w:rPr>
          <w:rFonts w:ascii="Book Antiqua" w:hAnsi="Book Antiqua" w:cs="Arial"/>
          <w:b/>
          <w:sz w:val="24"/>
          <w:szCs w:val="24"/>
        </w:rPr>
      </w:pPr>
      <w:r w:rsidRPr="00DA616D">
        <w:rPr>
          <w:rFonts w:ascii="Book Antiqua" w:hAnsi="Book Antiqua" w:cs="Arial"/>
          <w:b/>
          <w:sz w:val="24"/>
          <w:szCs w:val="24"/>
        </w:rPr>
        <w:t>and</w:t>
      </w:r>
    </w:p>
    <w:p w14:paraId="0A15F1A0" w14:textId="77777777" w:rsidR="00DA616D" w:rsidRDefault="00DA616D" w:rsidP="00DA616D">
      <w:pPr>
        <w:spacing w:after="0" w:line="240" w:lineRule="auto"/>
        <w:jc w:val="center"/>
        <w:rPr>
          <w:rFonts w:ascii="Book Antiqua" w:hAnsi="Book Antiqua" w:cs="Arial"/>
          <w:b/>
          <w:sz w:val="24"/>
          <w:szCs w:val="24"/>
        </w:rPr>
      </w:pPr>
    </w:p>
    <w:p w14:paraId="4B76C798" w14:textId="5A6259A5" w:rsidR="00AA5C72" w:rsidRPr="00DA616D" w:rsidRDefault="00AA5C72" w:rsidP="00DA616D">
      <w:pPr>
        <w:spacing w:after="0" w:line="240" w:lineRule="auto"/>
        <w:jc w:val="center"/>
        <w:rPr>
          <w:rFonts w:ascii="Book Antiqua" w:hAnsi="Book Antiqua" w:cs="Arial"/>
          <w:b/>
          <w:sz w:val="24"/>
          <w:szCs w:val="24"/>
        </w:rPr>
      </w:pPr>
      <w:r w:rsidRPr="00DA616D">
        <w:rPr>
          <w:rFonts w:ascii="Book Antiqua" w:hAnsi="Book Antiqua" w:cs="Arial"/>
          <w:b/>
          <w:sz w:val="24"/>
          <w:szCs w:val="24"/>
        </w:rPr>
        <w:t>M D</w:t>
      </w:r>
    </w:p>
    <w:p w14:paraId="4B87E2FA" w14:textId="58F6BAFC" w:rsidR="00F5042E" w:rsidRPr="00DA616D" w:rsidRDefault="00F5042E" w:rsidP="00DA616D">
      <w:pPr>
        <w:spacing w:after="0" w:line="240" w:lineRule="auto"/>
        <w:jc w:val="center"/>
        <w:rPr>
          <w:rFonts w:ascii="Book Antiqua" w:hAnsi="Book Antiqua" w:cs="Arial"/>
          <w:b/>
          <w:sz w:val="24"/>
          <w:szCs w:val="24"/>
        </w:rPr>
      </w:pPr>
      <w:r w:rsidRPr="00DA616D">
        <w:rPr>
          <w:rFonts w:ascii="Book Antiqua" w:hAnsi="Book Antiqua" w:cs="Arial"/>
          <w:b/>
          <w:caps/>
          <w:sz w:val="24"/>
          <w:szCs w:val="24"/>
        </w:rPr>
        <w:t>(A</w:t>
      </w:r>
      <w:r w:rsidRPr="00DA616D">
        <w:rPr>
          <w:rFonts w:ascii="Book Antiqua" w:hAnsi="Book Antiqua" w:cs="Arial"/>
          <w:b/>
          <w:sz w:val="24"/>
          <w:szCs w:val="24"/>
        </w:rPr>
        <w:t>nonymity Direction Made)</w:t>
      </w:r>
    </w:p>
    <w:p w14:paraId="144FCEF3" w14:textId="275C8CA1" w:rsidR="00AA5C72" w:rsidRPr="00DA616D" w:rsidRDefault="00AA5C72" w:rsidP="00DA616D">
      <w:pPr>
        <w:spacing w:after="0" w:line="240" w:lineRule="auto"/>
        <w:jc w:val="right"/>
        <w:rPr>
          <w:rFonts w:ascii="Book Antiqua" w:hAnsi="Book Antiqua" w:cs="Arial"/>
          <w:sz w:val="24"/>
          <w:szCs w:val="24"/>
          <w:u w:val="single"/>
        </w:rPr>
      </w:pPr>
      <w:r w:rsidRPr="00DA616D">
        <w:rPr>
          <w:rFonts w:ascii="Book Antiqua" w:hAnsi="Book Antiqua" w:cs="Arial"/>
          <w:sz w:val="24"/>
          <w:szCs w:val="24"/>
          <w:u w:val="single"/>
        </w:rPr>
        <w:t>Respondent</w:t>
      </w:r>
    </w:p>
    <w:p w14:paraId="30D96AEB" w14:textId="77777777" w:rsidR="00DA616D" w:rsidRDefault="00DA616D" w:rsidP="00DA616D">
      <w:pPr>
        <w:spacing w:after="0" w:line="240" w:lineRule="auto"/>
        <w:rPr>
          <w:rFonts w:ascii="Book Antiqua" w:hAnsi="Book Antiqua" w:cs="Arial"/>
          <w:b/>
          <w:sz w:val="24"/>
          <w:szCs w:val="24"/>
          <w:u w:val="single"/>
        </w:rPr>
      </w:pPr>
    </w:p>
    <w:p w14:paraId="4987E4BE" w14:textId="77777777" w:rsidR="00DA616D" w:rsidRDefault="00DA616D" w:rsidP="00DA616D">
      <w:pPr>
        <w:spacing w:after="0" w:line="240" w:lineRule="auto"/>
        <w:rPr>
          <w:rFonts w:ascii="Book Antiqua" w:hAnsi="Book Antiqua" w:cs="Arial"/>
          <w:b/>
          <w:sz w:val="24"/>
          <w:szCs w:val="24"/>
          <w:u w:val="single"/>
        </w:rPr>
      </w:pPr>
    </w:p>
    <w:p w14:paraId="554A8D94" w14:textId="108B42A1" w:rsidR="00AA5C72" w:rsidRPr="00DA616D" w:rsidRDefault="00AA5C72" w:rsidP="00DA616D">
      <w:pPr>
        <w:spacing w:after="0" w:line="240" w:lineRule="auto"/>
        <w:rPr>
          <w:rFonts w:ascii="Book Antiqua" w:hAnsi="Book Antiqua" w:cs="Arial"/>
          <w:sz w:val="24"/>
          <w:szCs w:val="24"/>
        </w:rPr>
      </w:pPr>
      <w:r w:rsidRPr="00DA616D">
        <w:rPr>
          <w:rFonts w:ascii="Book Antiqua" w:hAnsi="Book Antiqua" w:cs="Arial"/>
          <w:b/>
          <w:sz w:val="24"/>
          <w:szCs w:val="24"/>
          <w:u w:val="single"/>
        </w:rPr>
        <w:t>Representation</w:t>
      </w:r>
      <w:r w:rsidRPr="00DA616D">
        <w:rPr>
          <w:rFonts w:ascii="Book Antiqua" w:hAnsi="Book Antiqua" w:cs="Arial"/>
          <w:b/>
          <w:sz w:val="24"/>
          <w:szCs w:val="24"/>
        </w:rPr>
        <w:t>:</w:t>
      </w:r>
    </w:p>
    <w:p w14:paraId="28264BD8" w14:textId="5AD08A61" w:rsidR="00AA5C72" w:rsidRPr="00DA616D" w:rsidRDefault="00AA5C72" w:rsidP="00DA616D">
      <w:pPr>
        <w:tabs>
          <w:tab w:val="left" w:pos="2552"/>
        </w:tabs>
        <w:spacing w:after="0" w:line="240" w:lineRule="auto"/>
        <w:rPr>
          <w:rFonts w:ascii="Book Antiqua" w:hAnsi="Book Antiqua" w:cs="Arial"/>
          <w:sz w:val="24"/>
          <w:szCs w:val="24"/>
        </w:rPr>
      </w:pPr>
      <w:r w:rsidRPr="00DA616D">
        <w:rPr>
          <w:rFonts w:ascii="Book Antiqua" w:hAnsi="Book Antiqua" w:cs="Arial"/>
          <w:sz w:val="24"/>
          <w:szCs w:val="24"/>
        </w:rPr>
        <w:t>For the Appellant:</w:t>
      </w:r>
      <w:r w:rsidRPr="00DA616D">
        <w:rPr>
          <w:rFonts w:ascii="Book Antiqua" w:hAnsi="Book Antiqua" w:cs="Arial"/>
          <w:sz w:val="24"/>
          <w:szCs w:val="24"/>
        </w:rPr>
        <w:tab/>
      </w:r>
      <w:r w:rsidR="00471C2C" w:rsidRPr="00DA616D">
        <w:rPr>
          <w:rFonts w:ascii="Book Antiqua" w:hAnsi="Book Antiqua" w:cs="Arial"/>
          <w:sz w:val="24"/>
          <w:szCs w:val="24"/>
        </w:rPr>
        <w:t>Mr D Mills, Home Office Presenting Officer</w:t>
      </w:r>
      <w:r w:rsidRPr="00DA616D">
        <w:rPr>
          <w:rFonts w:ascii="Book Antiqua" w:hAnsi="Book Antiqua" w:cs="Arial"/>
          <w:sz w:val="24"/>
          <w:szCs w:val="24"/>
        </w:rPr>
        <w:t>.</w:t>
      </w:r>
    </w:p>
    <w:p w14:paraId="7176C12B" w14:textId="1CFCB134" w:rsidR="00AA5C72" w:rsidRPr="00DA616D" w:rsidRDefault="00AA5C72" w:rsidP="00DA616D">
      <w:pPr>
        <w:tabs>
          <w:tab w:val="left" w:pos="2552"/>
        </w:tabs>
        <w:spacing w:after="0" w:line="240" w:lineRule="auto"/>
        <w:rPr>
          <w:rFonts w:ascii="Book Antiqua" w:hAnsi="Book Antiqua" w:cs="Arial"/>
          <w:sz w:val="24"/>
          <w:szCs w:val="24"/>
        </w:rPr>
      </w:pPr>
      <w:r w:rsidRPr="00DA616D">
        <w:rPr>
          <w:rFonts w:ascii="Book Antiqua" w:hAnsi="Book Antiqua" w:cs="Arial"/>
          <w:sz w:val="24"/>
          <w:szCs w:val="24"/>
        </w:rPr>
        <w:t>For the Respondent:</w:t>
      </w:r>
      <w:r w:rsidRPr="00DA616D">
        <w:rPr>
          <w:rFonts w:ascii="Book Antiqua" w:hAnsi="Book Antiqua" w:cs="Arial"/>
          <w:sz w:val="24"/>
          <w:szCs w:val="24"/>
        </w:rPr>
        <w:tab/>
        <w:t xml:space="preserve">Mr </w:t>
      </w:r>
      <w:r w:rsidR="00346DA3" w:rsidRPr="00DA616D">
        <w:rPr>
          <w:rFonts w:ascii="Book Antiqua" w:hAnsi="Book Antiqua" w:cs="Arial"/>
          <w:sz w:val="24"/>
          <w:szCs w:val="24"/>
        </w:rPr>
        <w:t xml:space="preserve">I </w:t>
      </w:r>
      <w:proofErr w:type="spellStart"/>
      <w:r w:rsidR="00346DA3" w:rsidRPr="00DA616D">
        <w:rPr>
          <w:rFonts w:ascii="Book Antiqua" w:hAnsi="Book Antiqua" w:cs="Arial"/>
          <w:sz w:val="24"/>
          <w:szCs w:val="24"/>
        </w:rPr>
        <w:t>Meikel</w:t>
      </w:r>
      <w:proofErr w:type="spellEnd"/>
      <w:r w:rsidR="00346DA3" w:rsidRPr="00DA616D">
        <w:rPr>
          <w:rFonts w:ascii="Book Antiqua" w:hAnsi="Book Antiqua" w:cs="Arial"/>
          <w:sz w:val="24"/>
          <w:szCs w:val="24"/>
        </w:rPr>
        <w:t xml:space="preserve"> instructed by </w:t>
      </w:r>
      <w:r w:rsidR="0052143B" w:rsidRPr="00DA616D">
        <w:rPr>
          <w:rFonts w:ascii="Book Antiqua" w:hAnsi="Book Antiqua" w:cs="Arial"/>
          <w:sz w:val="24"/>
          <w:szCs w:val="24"/>
        </w:rPr>
        <w:t>Rockland Law</w:t>
      </w:r>
    </w:p>
    <w:p w14:paraId="4649CA43" w14:textId="77777777" w:rsidR="00DA616D" w:rsidRDefault="00DA616D" w:rsidP="00DA616D">
      <w:pPr>
        <w:tabs>
          <w:tab w:val="left" w:pos="2520"/>
        </w:tabs>
        <w:spacing w:after="0" w:line="240" w:lineRule="auto"/>
        <w:jc w:val="center"/>
        <w:rPr>
          <w:rFonts w:ascii="Book Antiqua" w:hAnsi="Book Antiqua" w:cs="Arial"/>
          <w:b/>
          <w:sz w:val="24"/>
          <w:szCs w:val="24"/>
          <w:u w:val="single"/>
        </w:rPr>
      </w:pPr>
    </w:p>
    <w:p w14:paraId="052E4E85" w14:textId="77777777" w:rsidR="00DA616D" w:rsidRDefault="00DA616D" w:rsidP="00DA616D">
      <w:pPr>
        <w:tabs>
          <w:tab w:val="left" w:pos="2520"/>
        </w:tabs>
        <w:spacing w:after="0" w:line="240" w:lineRule="auto"/>
        <w:jc w:val="center"/>
        <w:rPr>
          <w:rFonts w:ascii="Book Antiqua" w:hAnsi="Book Antiqua" w:cs="Arial"/>
          <w:b/>
          <w:sz w:val="24"/>
          <w:szCs w:val="24"/>
          <w:u w:val="single"/>
        </w:rPr>
      </w:pPr>
    </w:p>
    <w:p w14:paraId="16AB9BBE" w14:textId="36E18815" w:rsidR="00AA5C72" w:rsidRPr="00DA616D" w:rsidRDefault="00AA5C72" w:rsidP="00DA616D">
      <w:pPr>
        <w:tabs>
          <w:tab w:val="left" w:pos="2520"/>
        </w:tabs>
        <w:spacing w:after="0" w:line="240" w:lineRule="auto"/>
        <w:jc w:val="center"/>
        <w:rPr>
          <w:rFonts w:ascii="Book Antiqua" w:hAnsi="Book Antiqua" w:cs="Arial"/>
          <w:sz w:val="24"/>
          <w:szCs w:val="24"/>
        </w:rPr>
      </w:pPr>
      <w:r w:rsidRPr="00DA616D">
        <w:rPr>
          <w:rFonts w:ascii="Book Antiqua" w:hAnsi="Book Antiqua" w:cs="Arial"/>
          <w:b/>
          <w:sz w:val="24"/>
          <w:szCs w:val="24"/>
          <w:u w:val="single"/>
        </w:rPr>
        <w:t>DECISION AND REASONS</w:t>
      </w:r>
    </w:p>
    <w:p w14:paraId="0391ABE3" w14:textId="3A9B1794" w:rsidR="00AA5C72" w:rsidRPr="00DA616D" w:rsidRDefault="00AA5C72" w:rsidP="00DA616D">
      <w:pPr>
        <w:numPr>
          <w:ilvl w:val="0"/>
          <w:numId w:val="1"/>
        </w:numPr>
        <w:tabs>
          <w:tab w:val="clear" w:pos="720"/>
        </w:tabs>
        <w:spacing w:before="240" w:after="0" w:line="240" w:lineRule="auto"/>
        <w:ind w:left="567" w:hanging="567"/>
        <w:jc w:val="both"/>
        <w:rPr>
          <w:rFonts w:ascii="Book Antiqua" w:hAnsi="Book Antiqua" w:cs="Arial"/>
          <w:sz w:val="24"/>
          <w:szCs w:val="24"/>
        </w:rPr>
      </w:pPr>
      <w:r w:rsidRPr="00DA616D">
        <w:rPr>
          <w:rFonts w:ascii="Book Antiqua" w:hAnsi="Book Antiqua" w:cs="Arial"/>
          <w:sz w:val="24"/>
          <w:szCs w:val="24"/>
        </w:rPr>
        <w:t xml:space="preserve">The application for permission to appeal was made by the </w:t>
      </w:r>
      <w:r w:rsidR="0052143B" w:rsidRPr="00DA616D">
        <w:rPr>
          <w:rFonts w:ascii="Book Antiqua" w:hAnsi="Book Antiqua" w:cs="Arial"/>
          <w:sz w:val="24"/>
          <w:szCs w:val="24"/>
        </w:rPr>
        <w:t xml:space="preserve">Secretary of State </w:t>
      </w:r>
      <w:r w:rsidRPr="00DA616D">
        <w:rPr>
          <w:rFonts w:ascii="Book Antiqua" w:hAnsi="Book Antiqua" w:cs="Arial"/>
          <w:sz w:val="24"/>
          <w:szCs w:val="24"/>
        </w:rPr>
        <w:t>but nonetheless I shall refer to the parties as they were described before the First</w:t>
      </w:r>
      <w:r w:rsidR="004152A4" w:rsidRPr="00DA616D">
        <w:rPr>
          <w:rFonts w:ascii="Book Antiqua" w:hAnsi="Book Antiqua" w:cs="Arial"/>
          <w:sz w:val="24"/>
          <w:szCs w:val="24"/>
        </w:rPr>
        <w:t>-t</w:t>
      </w:r>
      <w:r w:rsidRPr="00DA616D">
        <w:rPr>
          <w:rFonts w:ascii="Book Antiqua" w:hAnsi="Book Antiqua" w:cs="Arial"/>
          <w:sz w:val="24"/>
          <w:szCs w:val="24"/>
        </w:rPr>
        <w:t>ier Tribunal that is Mr</w:t>
      </w:r>
      <w:r w:rsidR="0052143B" w:rsidRPr="00DA616D">
        <w:rPr>
          <w:rFonts w:ascii="Book Antiqua" w:hAnsi="Book Antiqua" w:cs="Arial"/>
          <w:sz w:val="24"/>
          <w:szCs w:val="24"/>
        </w:rPr>
        <w:t xml:space="preserve"> D</w:t>
      </w:r>
      <w:r w:rsidRPr="00DA616D">
        <w:rPr>
          <w:rFonts w:ascii="Book Antiqua" w:hAnsi="Book Antiqua" w:cs="Arial"/>
          <w:sz w:val="24"/>
          <w:szCs w:val="24"/>
        </w:rPr>
        <w:t xml:space="preserve"> as the appellant and the </w:t>
      </w:r>
      <w:r w:rsidR="0052143B" w:rsidRPr="00DA616D">
        <w:rPr>
          <w:rFonts w:ascii="Book Antiqua" w:hAnsi="Book Antiqua" w:cs="Arial"/>
          <w:sz w:val="24"/>
          <w:szCs w:val="24"/>
        </w:rPr>
        <w:t xml:space="preserve">Secretary of State </w:t>
      </w:r>
      <w:r w:rsidRPr="00DA616D">
        <w:rPr>
          <w:rFonts w:ascii="Book Antiqua" w:hAnsi="Book Antiqua" w:cs="Arial"/>
          <w:sz w:val="24"/>
          <w:szCs w:val="24"/>
        </w:rPr>
        <w:t xml:space="preserve">as the respondent. </w:t>
      </w:r>
    </w:p>
    <w:p w14:paraId="323A4014" w14:textId="40981B88" w:rsidR="00B031A5" w:rsidRPr="00DA616D" w:rsidRDefault="00AA5C72" w:rsidP="00DA616D">
      <w:pPr>
        <w:numPr>
          <w:ilvl w:val="0"/>
          <w:numId w:val="1"/>
        </w:numPr>
        <w:tabs>
          <w:tab w:val="clear" w:pos="720"/>
        </w:tabs>
        <w:spacing w:before="240" w:after="0" w:line="240" w:lineRule="auto"/>
        <w:ind w:left="567" w:hanging="567"/>
        <w:jc w:val="both"/>
        <w:rPr>
          <w:rFonts w:ascii="Book Antiqua" w:hAnsi="Book Antiqua" w:cs="Arial"/>
          <w:sz w:val="24"/>
          <w:szCs w:val="24"/>
        </w:rPr>
      </w:pPr>
      <w:r w:rsidRPr="00DA616D">
        <w:rPr>
          <w:rFonts w:ascii="Book Antiqua" w:hAnsi="Book Antiqua" w:cs="Arial"/>
          <w:sz w:val="24"/>
          <w:szCs w:val="24"/>
        </w:rPr>
        <w:t xml:space="preserve">In a determination dated </w:t>
      </w:r>
      <w:r w:rsidR="00396E8F" w:rsidRPr="00DA616D">
        <w:rPr>
          <w:rFonts w:ascii="Book Antiqua" w:hAnsi="Book Antiqua" w:cs="Arial"/>
          <w:sz w:val="24"/>
          <w:szCs w:val="24"/>
        </w:rPr>
        <w:t>10</w:t>
      </w:r>
      <w:r w:rsidR="00396E8F" w:rsidRPr="00DA616D">
        <w:rPr>
          <w:rFonts w:ascii="Book Antiqua" w:hAnsi="Book Antiqua" w:cs="Arial"/>
          <w:sz w:val="24"/>
          <w:szCs w:val="24"/>
          <w:vertAlign w:val="superscript"/>
        </w:rPr>
        <w:t xml:space="preserve"> </w:t>
      </w:r>
      <w:r w:rsidR="00396E8F" w:rsidRPr="00DA616D">
        <w:rPr>
          <w:rFonts w:ascii="Book Antiqua" w:hAnsi="Book Antiqua" w:cs="Arial"/>
          <w:sz w:val="24"/>
          <w:szCs w:val="24"/>
        </w:rPr>
        <w:t xml:space="preserve">August </w:t>
      </w:r>
      <w:r w:rsidR="00795193" w:rsidRPr="00DA616D">
        <w:rPr>
          <w:rFonts w:ascii="Book Antiqua" w:hAnsi="Book Antiqua" w:cs="Arial"/>
          <w:sz w:val="24"/>
          <w:szCs w:val="24"/>
        </w:rPr>
        <w:t>2017, Judge</w:t>
      </w:r>
      <w:r w:rsidRPr="00DA616D">
        <w:rPr>
          <w:rFonts w:ascii="Book Antiqua" w:hAnsi="Book Antiqua" w:cs="Arial"/>
          <w:sz w:val="24"/>
          <w:szCs w:val="24"/>
        </w:rPr>
        <w:t xml:space="preserve"> of the First</w:t>
      </w:r>
      <w:r w:rsidR="00B031A5" w:rsidRPr="00DA616D">
        <w:rPr>
          <w:rFonts w:ascii="Book Antiqua" w:hAnsi="Book Antiqua" w:cs="Arial"/>
          <w:sz w:val="24"/>
          <w:szCs w:val="24"/>
        </w:rPr>
        <w:t>-tier</w:t>
      </w:r>
      <w:r w:rsidRPr="00DA616D">
        <w:rPr>
          <w:rFonts w:ascii="Book Antiqua" w:hAnsi="Book Antiqua" w:cs="Arial"/>
          <w:sz w:val="24"/>
          <w:szCs w:val="24"/>
        </w:rPr>
        <w:t xml:space="preserve"> Tribunal</w:t>
      </w:r>
      <w:r w:rsidR="00396E8F" w:rsidRPr="00DA616D">
        <w:rPr>
          <w:rFonts w:ascii="Book Antiqua" w:hAnsi="Book Antiqua" w:cs="Arial"/>
          <w:sz w:val="24"/>
          <w:szCs w:val="24"/>
        </w:rPr>
        <w:t xml:space="preserve"> Eames</w:t>
      </w:r>
      <w:r w:rsidRPr="00DA616D">
        <w:rPr>
          <w:rFonts w:ascii="Book Antiqua" w:hAnsi="Book Antiqua" w:cs="Arial"/>
          <w:sz w:val="24"/>
          <w:szCs w:val="24"/>
        </w:rPr>
        <w:t xml:space="preserve"> allowed the appellant’s </w:t>
      </w:r>
      <w:r w:rsidR="00725803" w:rsidRPr="00DA616D">
        <w:rPr>
          <w:rFonts w:ascii="Book Antiqua" w:hAnsi="Book Antiqua" w:cs="Arial"/>
          <w:sz w:val="24"/>
          <w:szCs w:val="24"/>
        </w:rPr>
        <w:t>asylum, humanitarian protection and</w:t>
      </w:r>
      <w:r w:rsidR="005D1823" w:rsidRPr="00DA616D">
        <w:rPr>
          <w:rFonts w:ascii="Book Antiqua" w:hAnsi="Book Antiqua" w:cs="Arial"/>
          <w:sz w:val="24"/>
          <w:szCs w:val="24"/>
        </w:rPr>
        <w:t xml:space="preserve"> human rights protection claim</w:t>
      </w:r>
      <w:r w:rsidRPr="00DA616D">
        <w:rPr>
          <w:rFonts w:ascii="Book Antiqua" w:hAnsi="Book Antiqua" w:cs="Arial"/>
          <w:sz w:val="24"/>
          <w:szCs w:val="24"/>
        </w:rPr>
        <w:t xml:space="preserve"> on all grounds.</w:t>
      </w:r>
      <w:r w:rsidR="005D1823" w:rsidRPr="00DA616D">
        <w:rPr>
          <w:rFonts w:ascii="Book Antiqua" w:hAnsi="Book Antiqua" w:cs="Arial"/>
          <w:sz w:val="24"/>
          <w:szCs w:val="24"/>
        </w:rPr>
        <w:t xml:space="preserve"> </w:t>
      </w:r>
    </w:p>
    <w:p w14:paraId="067BD286" w14:textId="7064E63F" w:rsidR="00AA5C72" w:rsidRPr="00DA616D" w:rsidRDefault="00B75986" w:rsidP="00DA616D">
      <w:pPr>
        <w:numPr>
          <w:ilvl w:val="0"/>
          <w:numId w:val="1"/>
        </w:numPr>
        <w:tabs>
          <w:tab w:val="clear" w:pos="720"/>
        </w:tabs>
        <w:spacing w:before="240" w:after="0" w:line="240" w:lineRule="auto"/>
        <w:ind w:left="567" w:hanging="567"/>
        <w:jc w:val="both"/>
        <w:rPr>
          <w:rFonts w:ascii="Book Antiqua" w:hAnsi="Book Antiqua" w:cs="Arial"/>
          <w:sz w:val="24"/>
          <w:szCs w:val="24"/>
        </w:rPr>
      </w:pPr>
      <w:r w:rsidRPr="00DA616D">
        <w:rPr>
          <w:rFonts w:ascii="Book Antiqua" w:hAnsi="Book Antiqua" w:cs="Arial"/>
          <w:sz w:val="24"/>
          <w:szCs w:val="24"/>
        </w:rPr>
        <w:lastRenderedPageBreak/>
        <w:t>The appellant is a citizen of Senegal born on 10 November 1982 and entered the United Kingdom on a</w:t>
      </w:r>
      <w:r w:rsidR="0029490D" w:rsidRPr="00DA616D">
        <w:rPr>
          <w:rFonts w:ascii="Book Antiqua" w:hAnsi="Book Antiqua" w:cs="Arial"/>
          <w:sz w:val="24"/>
          <w:szCs w:val="24"/>
        </w:rPr>
        <w:t xml:space="preserve"> Tier 5 migrant Visa in 2011. He was encountered by the authorities in 2014 and served with a notice of liability to removal</w:t>
      </w:r>
      <w:r w:rsidR="009C2F75" w:rsidRPr="00DA616D">
        <w:rPr>
          <w:rFonts w:ascii="Book Antiqua" w:hAnsi="Book Antiqua" w:cs="Arial"/>
          <w:sz w:val="24"/>
          <w:szCs w:val="24"/>
        </w:rPr>
        <w:t>,</w:t>
      </w:r>
      <w:r w:rsidR="00A1587F" w:rsidRPr="00DA616D">
        <w:rPr>
          <w:rFonts w:ascii="Book Antiqua" w:hAnsi="Book Antiqua" w:cs="Arial"/>
          <w:sz w:val="24"/>
          <w:szCs w:val="24"/>
        </w:rPr>
        <w:t xml:space="preserve"> and</w:t>
      </w:r>
      <w:r w:rsidR="009C2F75" w:rsidRPr="00DA616D">
        <w:rPr>
          <w:rFonts w:ascii="Book Antiqua" w:hAnsi="Book Antiqua" w:cs="Arial"/>
          <w:sz w:val="24"/>
          <w:szCs w:val="24"/>
        </w:rPr>
        <w:t>,</w:t>
      </w:r>
      <w:r w:rsidR="00A1587F" w:rsidRPr="00DA616D">
        <w:rPr>
          <w:rFonts w:ascii="Book Antiqua" w:hAnsi="Book Antiqua" w:cs="Arial"/>
          <w:sz w:val="24"/>
          <w:szCs w:val="24"/>
        </w:rPr>
        <w:t xml:space="preserve"> in February 2015 applied for an EEA residence card as a spouse but this was refused in September 2015. He submitted an application on family and private life grounds </w:t>
      </w:r>
      <w:r w:rsidR="009C2F75" w:rsidRPr="00DA616D">
        <w:rPr>
          <w:rFonts w:ascii="Book Antiqua" w:hAnsi="Book Antiqua" w:cs="Arial"/>
          <w:sz w:val="24"/>
          <w:szCs w:val="24"/>
        </w:rPr>
        <w:t xml:space="preserve">on </w:t>
      </w:r>
      <w:r w:rsidR="00A1587F" w:rsidRPr="00DA616D">
        <w:rPr>
          <w:rFonts w:ascii="Book Antiqua" w:hAnsi="Book Antiqua" w:cs="Arial"/>
          <w:sz w:val="24"/>
          <w:szCs w:val="24"/>
        </w:rPr>
        <w:t>29</w:t>
      </w:r>
      <w:r w:rsidR="00A1587F" w:rsidRPr="00DA616D">
        <w:rPr>
          <w:rFonts w:ascii="Book Antiqua" w:hAnsi="Book Antiqua" w:cs="Arial"/>
          <w:sz w:val="24"/>
          <w:szCs w:val="24"/>
          <w:vertAlign w:val="superscript"/>
        </w:rPr>
        <w:t>th</w:t>
      </w:r>
      <w:r w:rsidR="00A1587F" w:rsidRPr="00DA616D">
        <w:rPr>
          <w:rFonts w:ascii="Book Antiqua" w:hAnsi="Book Antiqua" w:cs="Arial"/>
          <w:sz w:val="24"/>
          <w:szCs w:val="24"/>
        </w:rPr>
        <w:t xml:space="preserve"> of June 2016 and this too was refused</w:t>
      </w:r>
      <w:r w:rsidR="0083288C" w:rsidRPr="00DA616D">
        <w:rPr>
          <w:rFonts w:ascii="Book Antiqua" w:hAnsi="Book Antiqua" w:cs="Arial"/>
          <w:sz w:val="24"/>
          <w:szCs w:val="24"/>
        </w:rPr>
        <w:t>. When detained in 2016 for removal he claimed asylum on 14 October 2016</w:t>
      </w:r>
      <w:r w:rsidR="00EC183C" w:rsidRPr="00DA616D">
        <w:rPr>
          <w:rFonts w:ascii="Book Antiqua" w:hAnsi="Book Antiqua" w:cs="Arial"/>
          <w:sz w:val="24"/>
          <w:szCs w:val="24"/>
        </w:rPr>
        <w:t>.  The</w:t>
      </w:r>
      <w:r w:rsidR="0083288C" w:rsidRPr="00DA616D">
        <w:rPr>
          <w:rFonts w:ascii="Book Antiqua" w:hAnsi="Book Antiqua" w:cs="Arial"/>
          <w:sz w:val="24"/>
          <w:szCs w:val="24"/>
        </w:rPr>
        <w:t xml:space="preserve"> respondent refused the claim</w:t>
      </w:r>
      <w:r w:rsidR="00AF7D59" w:rsidRPr="00DA616D">
        <w:rPr>
          <w:rFonts w:ascii="Book Antiqua" w:hAnsi="Book Antiqua" w:cs="Arial"/>
          <w:sz w:val="24"/>
          <w:szCs w:val="24"/>
        </w:rPr>
        <w:t xml:space="preserve"> on 13 April 2017</w:t>
      </w:r>
      <w:r w:rsidR="00154EF2" w:rsidRPr="00DA616D">
        <w:rPr>
          <w:rFonts w:ascii="Book Antiqua" w:hAnsi="Book Antiqua" w:cs="Arial"/>
          <w:sz w:val="24"/>
          <w:szCs w:val="24"/>
        </w:rPr>
        <w:t>.</w:t>
      </w:r>
      <w:r w:rsidR="0029490D" w:rsidRPr="00DA616D">
        <w:rPr>
          <w:rFonts w:ascii="Book Antiqua" w:hAnsi="Book Antiqua" w:cs="Arial"/>
          <w:sz w:val="24"/>
          <w:szCs w:val="24"/>
        </w:rPr>
        <w:t xml:space="preserve"> </w:t>
      </w:r>
      <w:r w:rsidR="0094659D" w:rsidRPr="00DA616D">
        <w:rPr>
          <w:rFonts w:ascii="Book Antiqua" w:hAnsi="Book Antiqua" w:cs="Arial"/>
          <w:sz w:val="24"/>
          <w:szCs w:val="24"/>
        </w:rPr>
        <w:t>The appellant stated that</w:t>
      </w:r>
      <w:r w:rsidR="00C71293" w:rsidRPr="00DA616D">
        <w:rPr>
          <w:rFonts w:ascii="Book Antiqua" w:hAnsi="Book Antiqua" w:cs="Arial"/>
          <w:sz w:val="24"/>
          <w:szCs w:val="24"/>
        </w:rPr>
        <w:t xml:space="preserve"> previously</w:t>
      </w:r>
      <w:r w:rsidR="0094659D" w:rsidRPr="00DA616D">
        <w:rPr>
          <w:rFonts w:ascii="Book Antiqua" w:hAnsi="Book Antiqua" w:cs="Arial"/>
          <w:sz w:val="24"/>
          <w:szCs w:val="24"/>
        </w:rPr>
        <w:t xml:space="preserve"> in August 2013 he met his wife to be</w:t>
      </w:r>
      <w:r w:rsidR="00EC183C" w:rsidRPr="00DA616D">
        <w:rPr>
          <w:rFonts w:ascii="Book Antiqua" w:hAnsi="Book Antiqua" w:cs="Arial"/>
          <w:sz w:val="24"/>
          <w:szCs w:val="24"/>
        </w:rPr>
        <w:t>,</w:t>
      </w:r>
      <w:r w:rsidR="0094659D" w:rsidRPr="00DA616D">
        <w:rPr>
          <w:rFonts w:ascii="Book Antiqua" w:hAnsi="Book Antiqua" w:cs="Arial"/>
          <w:sz w:val="24"/>
          <w:szCs w:val="24"/>
        </w:rPr>
        <w:t xml:space="preserve"> a </w:t>
      </w:r>
      <w:r w:rsidR="000C5F9E" w:rsidRPr="00DA616D">
        <w:rPr>
          <w:rFonts w:ascii="Book Antiqua" w:hAnsi="Book Antiqua" w:cs="Arial"/>
          <w:sz w:val="24"/>
          <w:szCs w:val="24"/>
        </w:rPr>
        <w:t>Bulgarian national</w:t>
      </w:r>
      <w:r w:rsidR="00C32711" w:rsidRPr="00DA616D">
        <w:rPr>
          <w:rFonts w:ascii="Book Antiqua" w:hAnsi="Book Antiqua" w:cs="Arial"/>
          <w:sz w:val="24"/>
          <w:szCs w:val="24"/>
        </w:rPr>
        <w:t>,</w:t>
      </w:r>
      <w:r w:rsidR="000C5F9E" w:rsidRPr="00DA616D">
        <w:rPr>
          <w:rFonts w:ascii="Book Antiqua" w:hAnsi="Book Antiqua" w:cs="Arial"/>
          <w:sz w:val="24"/>
          <w:szCs w:val="24"/>
        </w:rPr>
        <w:t xml:space="preserve"> and they married in January </w:t>
      </w:r>
      <w:r w:rsidR="00795193" w:rsidRPr="00DA616D">
        <w:rPr>
          <w:rFonts w:ascii="Book Antiqua" w:hAnsi="Book Antiqua" w:cs="Arial"/>
          <w:sz w:val="24"/>
          <w:szCs w:val="24"/>
        </w:rPr>
        <w:t>2015,</w:t>
      </w:r>
      <w:r w:rsidR="000C5F9E" w:rsidRPr="00DA616D">
        <w:rPr>
          <w:rFonts w:ascii="Book Antiqua" w:hAnsi="Book Antiqua" w:cs="Arial"/>
          <w:sz w:val="24"/>
          <w:szCs w:val="24"/>
        </w:rPr>
        <w:t xml:space="preserve"> but the relationship was abusive. That appeared to be accepted by the respondent. </w:t>
      </w:r>
      <w:r w:rsidR="00131798" w:rsidRPr="00DA616D">
        <w:rPr>
          <w:rFonts w:ascii="Book Antiqua" w:hAnsi="Book Antiqua" w:cs="Arial"/>
          <w:sz w:val="24"/>
          <w:szCs w:val="24"/>
        </w:rPr>
        <w:t>It was d</w:t>
      </w:r>
      <w:r w:rsidR="00C32711" w:rsidRPr="00DA616D">
        <w:rPr>
          <w:rFonts w:ascii="Book Antiqua" w:hAnsi="Book Antiqua" w:cs="Arial"/>
          <w:sz w:val="24"/>
          <w:szCs w:val="24"/>
        </w:rPr>
        <w:t>uring this period</w:t>
      </w:r>
      <w:r w:rsidR="00131798" w:rsidRPr="00DA616D">
        <w:rPr>
          <w:rFonts w:ascii="Book Antiqua" w:hAnsi="Book Antiqua" w:cs="Arial"/>
          <w:sz w:val="24"/>
          <w:szCs w:val="24"/>
        </w:rPr>
        <w:t xml:space="preserve"> of difficulties with his wife</w:t>
      </w:r>
      <w:r w:rsidR="00C32711" w:rsidRPr="00DA616D">
        <w:rPr>
          <w:rFonts w:ascii="Book Antiqua" w:hAnsi="Book Antiqua" w:cs="Arial"/>
          <w:sz w:val="24"/>
          <w:szCs w:val="24"/>
        </w:rPr>
        <w:t>, t</w:t>
      </w:r>
      <w:r w:rsidR="000C5F9E" w:rsidRPr="00DA616D">
        <w:rPr>
          <w:rFonts w:ascii="Book Antiqua" w:hAnsi="Book Antiqua" w:cs="Arial"/>
          <w:sz w:val="24"/>
          <w:szCs w:val="24"/>
        </w:rPr>
        <w:t>he appellant developed a relationship with</w:t>
      </w:r>
      <w:r w:rsidR="00650526" w:rsidRPr="00DA616D">
        <w:rPr>
          <w:rFonts w:ascii="Book Antiqua" w:hAnsi="Book Antiqua" w:cs="Arial"/>
          <w:sz w:val="24"/>
          <w:szCs w:val="24"/>
        </w:rPr>
        <w:t xml:space="preserve"> someone called Mark and </w:t>
      </w:r>
      <w:r w:rsidR="00C72A43" w:rsidRPr="00DA616D">
        <w:rPr>
          <w:rFonts w:ascii="Book Antiqua" w:hAnsi="Book Antiqua" w:cs="Arial"/>
          <w:sz w:val="24"/>
          <w:szCs w:val="24"/>
        </w:rPr>
        <w:t xml:space="preserve">that </w:t>
      </w:r>
      <w:r w:rsidR="00650526" w:rsidRPr="00DA616D">
        <w:rPr>
          <w:rFonts w:ascii="Book Antiqua" w:hAnsi="Book Antiqua" w:cs="Arial"/>
          <w:sz w:val="24"/>
          <w:szCs w:val="24"/>
        </w:rPr>
        <w:t xml:space="preserve">he realised that he was bisexual. It was </w:t>
      </w:r>
      <w:r w:rsidR="00C32711" w:rsidRPr="00DA616D">
        <w:rPr>
          <w:rFonts w:ascii="Book Antiqua" w:hAnsi="Book Antiqua" w:cs="Arial"/>
          <w:sz w:val="24"/>
          <w:szCs w:val="24"/>
        </w:rPr>
        <w:t>because</w:t>
      </w:r>
      <w:r w:rsidR="00650526" w:rsidRPr="00DA616D">
        <w:rPr>
          <w:rFonts w:ascii="Book Antiqua" w:hAnsi="Book Antiqua" w:cs="Arial"/>
          <w:sz w:val="24"/>
          <w:szCs w:val="24"/>
        </w:rPr>
        <w:t xml:space="preserve"> he told his wife about his sexuality which prompted his divorce in January 2016. He feared that a return to Senegal he would be</w:t>
      </w:r>
      <w:r w:rsidR="0012524B" w:rsidRPr="00DA616D">
        <w:rPr>
          <w:rFonts w:ascii="Book Antiqua" w:hAnsi="Book Antiqua" w:cs="Arial"/>
          <w:sz w:val="24"/>
          <w:szCs w:val="24"/>
        </w:rPr>
        <w:t xml:space="preserve"> </w:t>
      </w:r>
      <w:r w:rsidR="00795193" w:rsidRPr="00DA616D">
        <w:rPr>
          <w:rFonts w:ascii="Book Antiqua" w:hAnsi="Book Antiqua" w:cs="Arial"/>
          <w:sz w:val="24"/>
          <w:szCs w:val="24"/>
        </w:rPr>
        <w:t>ill-treated</w:t>
      </w:r>
      <w:r w:rsidR="0012524B" w:rsidRPr="00DA616D">
        <w:rPr>
          <w:rFonts w:ascii="Book Antiqua" w:hAnsi="Book Antiqua" w:cs="Arial"/>
          <w:sz w:val="24"/>
          <w:szCs w:val="24"/>
        </w:rPr>
        <w:t xml:space="preserve"> because of his sexuality.</w:t>
      </w:r>
    </w:p>
    <w:p w14:paraId="0A7A4F03" w14:textId="0DF54B98" w:rsidR="0012524B" w:rsidRPr="00DA616D" w:rsidRDefault="003038E5" w:rsidP="00DA616D">
      <w:pPr>
        <w:numPr>
          <w:ilvl w:val="0"/>
          <w:numId w:val="1"/>
        </w:numPr>
        <w:tabs>
          <w:tab w:val="clear" w:pos="720"/>
        </w:tabs>
        <w:spacing w:before="240" w:after="0" w:line="240" w:lineRule="auto"/>
        <w:ind w:left="567" w:hanging="567"/>
        <w:jc w:val="both"/>
        <w:rPr>
          <w:rFonts w:ascii="Book Antiqua" w:hAnsi="Book Antiqua" w:cs="Arial"/>
          <w:sz w:val="24"/>
          <w:szCs w:val="24"/>
        </w:rPr>
      </w:pPr>
      <w:r w:rsidRPr="00DA616D">
        <w:rPr>
          <w:rFonts w:ascii="Book Antiqua" w:hAnsi="Book Antiqua" w:cs="Arial"/>
          <w:sz w:val="24"/>
          <w:szCs w:val="24"/>
        </w:rPr>
        <w:t xml:space="preserve">The </w:t>
      </w:r>
      <w:r w:rsidR="00930917" w:rsidRPr="00DA616D">
        <w:rPr>
          <w:rFonts w:ascii="Book Antiqua" w:hAnsi="Book Antiqua" w:cs="Arial"/>
          <w:sz w:val="24"/>
          <w:szCs w:val="24"/>
        </w:rPr>
        <w:t xml:space="preserve">First-tier Tribunal Judge set out the respondent’s case which </w:t>
      </w:r>
      <w:r w:rsidR="005C00E6" w:rsidRPr="00DA616D">
        <w:rPr>
          <w:rFonts w:ascii="Book Antiqua" w:hAnsi="Book Antiqua" w:cs="Arial"/>
          <w:sz w:val="24"/>
          <w:szCs w:val="24"/>
        </w:rPr>
        <w:t xml:space="preserve">had </w:t>
      </w:r>
      <w:r w:rsidR="00930917" w:rsidRPr="00DA616D">
        <w:rPr>
          <w:rFonts w:ascii="Book Antiqua" w:hAnsi="Book Antiqua" w:cs="Arial"/>
          <w:sz w:val="24"/>
          <w:szCs w:val="24"/>
        </w:rPr>
        <w:t>rejected</w:t>
      </w:r>
      <w:r w:rsidRPr="00DA616D">
        <w:rPr>
          <w:rFonts w:ascii="Book Antiqua" w:hAnsi="Book Antiqua" w:cs="Arial"/>
          <w:sz w:val="24"/>
          <w:szCs w:val="24"/>
        </w:rPr>
        <w:t xml:space="preserve"> his claim on the basis of overall inconsistency, lack of credibility and the lack of supporting evidence with regard to relationships</w:t>
      </w:r>
      <w:r w:rsidR="007D6528" w:rsidRPr="00DA616D">
        <w:rPr>
          <w:rFonts w:ascii="Book Antiqua" w:hAnsi="Book Antiqua" w:cs="Arial"/>
          <w:sz w:val="24"/>
          <w:szCs w:val="24"/>
        </w:rPr>
        <w:t xml:space="preserve"> the appellant</w:t>
      </w:r>
      <w:r w:rsidRPr="00DA616D">
        <w:rPr>
          <w:rFonts w:ascii="Book Antiqua" w:hAnsi="Book Antiqua" w:cs="Arial"/>
          <w:sz w:val="24"/>
          <w:szCs w:val="24"/>
        </w:rPr>
        <w:t xml:space="preserve"> claim</w:t>
      </w:r>
      <w:r w:rsidR="005C00E6" w:rsidRPr="00DA616D">
        <w:rPr>
          <w:rFonts w:ascii="Book Antiqua" w:hAnsi="Book Antiqua" w:cs="Arial"/>
          <w:sz w:val="24"/>
          <w:szCs w:val="24"/>
        </w:rPr>
        <w:t>e</w:t>
      </w:r>
      <w:r w:rsidR="007D6528" w:rsidRPr="00DA616D">
        <w:rPr>
          <w:rFonts w:ascii="Book Antiqua" w:hAnsi="Book Antiqua" w:cs="Arial"/>
          <w:sz w:val="24"/>
          <w:szCs w:val="24"/>
        </w:rPr>
        <w:t>d</w:t>
      </w:r>
      <w:r w:rsidRPr="00DA616D">
        <w:rPr>
          <w:rFonts w:ascii="Book Antiqua" w:hAnsi="Book Antiqua" w:cs="Arial"/>
          <w:sz w:val="24"/>
          <w:szCs w:val="24"/>
        </w:rPr>
        <w:t xml:space="preserve"> to have had with men [27].</w:t>
      </w:r>
      <w:r w:rsidR="002846C1" w:rsidRPr="00DA616D">
        <w:rPr>
          <w:rFonts w:ascii="Book Antiqua" w:hAnsi="Book Antiqua" w:cs="Arial"/>
          <w:sz w:val="24"/>
          <w:szCs w:val="24"/>
        </w:rPr>
        <w:t xml:space="preserve"> He came to the United Kingdom for a better life.</w:t>
      </w:r>
      <w:r w:rsidR="00F378FB" w:rsidRPr="00DA616D">
        <w:rPr>
          <w:rFonts w:ascii="Book Antiqua" w:hAnsi="Book Antiqua" w:cs="Arial"/>
          <w:sz w:val="24"/>
          <w:szCs w:val="24"/>
        </w:rPr>
        <w:t xml:space="preserve"> He was not homosexual.  </w:t>
      </w:r>
      <w:r w:rsidR="002846C1" w:rsidRPr="00DA616D">
        <w:rPr>
          <w:rFonts w:ascii="Book Antiqua" w:hAnsi="Book Antiqua" w:cs="Arial"/>
          <w:sz w:val="24"/>
          <w:szCs w:val="24"/>
        </w:rPr>
        <w:t xml:space="preserve"> He had been vague about when he first met his partner Mark</w:t>
      </w:r>
      <w:r w:rsidR="00761D9A" w:rsidRPr="00DA616D">
        <w:rPr>
          <w:rFonts w:ascii="Book Antiqua" w:hAnsi="Book Antiqua" w:cs="Arial"/>
          <w:sz w:val="24"/>
          <w:szCs w:val="24"/>
        </w:rPr>
        <w:t xml:space="preserve"> and section 8</w:t>
      </w:r>
      <w:r w:rsidR="004A145F" w:rsidRPr="00DA616D">
        <w:rPr>
          <w:rFonts w:ascii="Book Antiqua" w:hAnsi="Book Antiqua" w:cs="Arial"/>
          <w:sz w:val="24"/>
          <w:szCs w:val="24"/>
        </w:rPr>
        <w:t>, the delay in his claim,</w:t>
      </w:r>
      <w:r w:rsidR="00761D9A" w:rsidRPr="00DA616D">
        <w:rPr>
          <w:rFonts w:ascii="Book Antiqua" w:hAnsi="Book Antiqua" w:cs="Arial"/>
          <w:sz w:val="24"/>
          <w:szCs w:val="24"/>
        </w:rPr>
        <w:t xml:space="preserve"> damaged his credibility</w:t>
      </w:r>
      <w:r w:rsidR="00A90CBE" w:rsidRPr="00DA616D">
        <w:rPr>
          <w:rFonts w:ascii="Book Antiqua" w:hAnsi="Book Antiqua" w:cs="Arial"/>
          <w:sz w:val="24"/>
          <w:szCs w:val="24"/>
        </w:rPr>
        <w:t>.</w:t>
      </w:r>
      <w:r w:rsidR="00112878" w:rsidRPr="00DA616D">
        <w:rPr>
          <w:rFonts w:ascii="Book Antiqua" w:hAnsi="Book Antiqua" w:cs="Arial"/>
          <w:sz w:val="24"/>
          <w:szCs w:val="24"/>
        </w:rPr>
        <w:t xml:space="preserve"> </w:t>
      </w:r>
      <w:r w:rsidR="00F378FB" w:rsidRPr="00DA616D">
        <w:rPr>
          <w:rFonts w:ascii="Book Antiqua" w:hAnsi="Book Antiqua" w:cs="Arial"/>
          <w:sz w:val="24"/>
          <w:szCs w:val="24"/>
        </w:rPr>
        <w:t xml:space="preserve">The </w:t>
      </w:r>
      <w:r w:rsidR="00112878" w:rsidRPr="00DA616D">
        <w:rPr>
          <w:rFonts w:ascii="Book Antiqua" w:hAnsi="Book Antiqua" w:cs="Arial"/>
          <w:sz w:val="24"/>
          <w:szCs w:val="24"/>
        </w:rPr>
        <w:t>Secretary of State did not accept that the</w:t>
      </w:r>
      <w:r w:rsidR="001328F2" w:rsidRPr="00DA616D">
        <w:rPr>
          <w:rFonts w:ascii="Book Antiqua" w:hAnsi="Book Antiqua" w:cs="Arial"/>
          <w:sz w:val="24"/>
          <w:szCs w:val="24"/>
        </w:rPr>
        <w:t xml:space="preserve"> realisation of his sexuality had ca</w:t>
      </w:r>
      <w:r w:rsidR="00F378FB" w:rsidRPr="00DA616D">
        <w:rPr>
          <w:rFonts w:ascii="Book Antiqua" w:hAnsi="Book Antiqua" w:cs="Arial"/>
          <w:sz w:val="24"/>
          <w:szCs w:val="24"/>
        </w:rPr>
        <w:t>used</w:t>
      </w:r>
      <w:r w:rsidR="001328F2" w:rsidRPr="00DA616D">
        <w:rPr>
          <w:rFonts w:ascii="Book Antiqua" w:hAnsi="Book Antiqua" w:cs="Arial"/>
          <w:sz w:val="24"/>
          <w:szCs w:val="24"/>
        </w:rPr>
        <w:t xml:space="preserve"> domestic problems with his wife and he had produced no divorce papers</w:t>
      </w:r>
    </w:p>
    <w:p w14:paraId="7A8190F9" w14:textId="0015DB92" w:rsidR="00A90CBE" w:rsidRPr="00DA616D" w:rsidRDefault="0090298F" w:rsidP="00DA616D">
      <w:pPr>
        <w:numPr>
          <w:ilvl w:val="0"/>
          <w:numId w:val="1"/>
        </w:numPr>
        <w:tabs>
          <w:tab w:val="clear" w:pos="720"/>
        </w:tabs>
        <w:spacing w:before="240" w:after="0" w:line="240" w:lineRule="auto"/>
        <w:ind w:left="567" w:hanging="567"/>
        <w:jc w:val="both"/>
        <w:rPr>
          <w:rFonts w:ascii="Book Antiqua" w:hAnsi="Book Antiqua" w:cs="Arial"/>
          <w:sz w:val="24"/>
          <w:szCs w:val="24"/>
        </w:rPr>
      </w:pPr>
      <w:r w:rsidRPr="00DA616D">
        <w:rPr>
          <w:rFonts w:ascii="Book Antiqua" w:hAnsi="Book Antiqua" w:cs="Arial"/>
          <w:sz w:val="24"/>
          <w:szCs w:val="24"/>
        </w:rPr>
        <w:t>The first-tier Tribunal recorded</w:t>
      </w:r>
      <w:r w:rsidR="004A05CD" w:rsidRPr="00DA616D">
        <w:rPr>
          <w:rFonts w:ascii="Book Antiqua" w:hAnsi="Book Antiqua" w:cs="Arial"/>
          <w:sz w:val="24"/>
          <w:szCs w:val="24"/>
        </w:rPr>
        <w:t xml:space="preserve"> the evidence </w:t>
      </w:r>
      <w:r w:rsidR="00170413" w:rsidRPr="00DA616D">
        <w:rPr>
          <w:rFonts w:ascii="Book Antiqua" w:hAnsi="Book Antiqua" w:cs="Arial"/>
          <w:sz w:val="24"/>
          <w:szCs w:val="24"/>
        </w:rPr>
        <w:t>including the</w:t>
      </w:r>
      <w:r w:rsidR="004A05CD" w:rsidRPr="00DA616D">
        <w:rPr>
          <w:rFonts w:ascii="Book Antiqua" w:hAnsi="Book Antiqua" w:cs="Arial"/>
          <w:sz w:val="24"/>
          <w:szCs w:val="24"/>
        </w:rPr>
        <w:t xml:space="preserve"> oral</w:t>
      </w:r>
      <w:r w:rsidR="00170413" w:rsidRPr="00DA616D">
        <w:rPr>
          <w:rFonts w:ascii="Book Antiqua" w:hAnsi="Book Antiqua" w:cs="Arial"/>
          <w:sz w:val="24"/>
          <w:szCs w:val="24"/>
        </w:rPr>
        <w:t xml:space="preserve"> evidence</w:t>
      </w:r>
      <w:r w:rsidR="004A05CD" w:rsidRPr="00DA616D">
        <w:rPr>
          <w:rFonts w:ascii="Book Antiqua" w:hAnsi="Book Antiqua" w:cs="Arial"/>
          <w:sz w:val="24"/>
          <w:szCs w:val="24"/>
        </w:rPr>
        <w:t xml:space="preserve"> the appellant and his partner Mr Mark Phillips who adopted his statement 17 May 2017.</w:t>
      </w:r>
    </w:p>
    <w:p w14:paraId="40D017EE" w14:textId="1363F57C" w:rsidR="003D2DAB" w:rsidRPr="00DA616D" w:rsidRDefault="008132F2" w:rsidP="00DA616D">
      <w:pPr>
        <w:numPr>
          <w:ilvl w:val="0"/>
          <w:numId w:val="1"/>
        </w:numPr>
        <w:tabs>
          <w:tab w:val="clear" w:pos="720"/>
        </w:tabs>
        <w:spacing w:before="240" w:after="0" w:line="240" w:lineRule="auto"/>
        <w:ind w:left="567" w:hanging="567"/>
        <w:jc w:val="both"/>
        <w:rPr>
          <w:rFonts w:ascii="Book Antiqua" w:hAnsi="Book Antiqua" w:cs="Arial"/>
          <w:sz w:val="24"/>
          <w:szCs w:val="24"/>
        </w:rPr>
      </w:pPr>
      <w:r w:rsidRPr="00DA616D">
        <w:rPr>
          <w:rFonts w:ascii="Book Antiqua" w:hAnsi="Book Antiqua" w:cs="Arial"/>
          <w:sz w:val="24"/>
          <w:szCs w:val="24"/>
        </w:rPr>
        <w:t>The</w:t>
      </w:r>
      <w:r w:rsidR="00A17B4F" w:rsidRPr="00DA616D">
        <w:rPr>
          <w:rFonts w:ascii="Book Antiqua" w:hAnsi="Book Antiqua" w:cs="Arial"/>
          <w:sz w:val="24"/>
          <w:szCs w:val="24"/>
        </w:rPr>
        <w:t xml:space="preserve"> submissions </w:t>
      </w:r>
      <w:r w:rsidR="00912920" w:rsidRPr="00DA616D">
        <w:rPr>
          <w:rFonts w:ascii="Book Antiqua" w:hAnsi="Book Antiqua" w:cs="Arial"/>
          <w:sz w:val="24"/>
          <w:szCs w:val="24"/>
        </w:rPr>
        <w:t xml:space="preserve">recorded by the judge and </w:t>
      </w:r>
      <w:r w:rsidR="00A17B4F" w:rsidRPr="00DA616D">
        <w:rPr>
          <w:rFonts w:ascii="Book Antiqua" w:hAnsi="Book Antiqua" w:cs="Arial"/>
          <w:sz w:val="24"/>
          <w:szCs w:val="24"/>
        </w:rPr>
        <w:t>made on behalf the appellant</w:t>
      </w:r>
      <w:r w:rsidR="00912920" w:rsidRPr="00DA616D">
        <w:rPr>
          <w:rFonts w:ascii="Book Antiqua" w:hAnsi="Book Antiqua" w:cs="Arial"/>
          <w:sz w:val="24"/>
          <w:szCs w:val="24"/>
        </w:rPr>
        <w:t xml:space="preserve"> at the First-tier Tribunal</w:t>
      </w:r>
      <w:r w:rsidR="00A17B4F" w:rsidRPr="00DA616D">
        <w:rPr>
          <w:rFonts w:ascii="Book Antiqua" w:hAnsi="Book Antiqua" w:cs="Arial"/>
          <w:sz w:val="24"/>
          <w:szCs w:val="24"/>
        </w:rPr>
        <w:t xml:space="preserve"> included that the judge should apply </w:t>
      </w:r>
      <w:r w:rsidR="00A17B4F" w:rsidRPr="00DA616D">
        <w:rPr>
          <w:rFonts w:ascii="Book Antiqua" w:hAnsi="Book Antiqua" w:cs="Arial"/>
          <w:b/>
          <w:sz w:val="24"/>
          <w:szCs w:val="24"/>
          <w:u w:val="single"/>
        </w:rPr>
        <w:t xml:space="preserve">HJ </w:t>
      </w:r>
      <w:r w:rsidR="001C0E21" w:rsidRPr="00DA616D">
        <w:rPr>
          <w:rFonts w:ascii="Book Antiqua" w:hAnsi="Book Antiqua" w:cs="Arial"/>
          <w:b/>
          <w:sz w:val="24"/>
          <w:szCs w:val="24"/>
          <w:u w:val="single"/>
        </w:rPr>
        <w:t>(</w:t>
      </w:r>
      <w:r w:rsidR="009F4F4A" w:rsidRPr="00DA616D">
        <w:rPr>
          <w:rFonts w:ascii="Book Antiqua" w:hAnsi="Book Antiqua" w:cs="Arial"/>
          <w:b/>
          <w:sz w:val="24"/>
          <w:szCs w:val="24"/>
          <w:u w:val="single"/>
        </w:rPr>
        <w:t>Iran</w:t>
      </w:r>
      <w:r w:rsidR="001C0E21" w:rsidRPr="00DA616D">
        <w:rPr>
          <w:rFonts w:ascii="Book Antiqua" w:hAnsi="Book Antiqua" w:cs="Arial"/>
          <w:b/>
          <w:sz w:val="24"/>
          <w:szCs w:val="24"/>
          <w:u w:val="single"/>
        </w:rPr>
        <w:t>)</w:t>
      </w:r>
      <w:r w:rsidR="00A17B4F" w:rsidRPr="00DA616D">
        <w:rPr>
          <w:rFonts w:ascii="Book Antiqua" w:hAnsi="Book Antiqua" w:cs="Arial"/>
          <w:sz w:val="24"/>
          <w:szCs w:val="24"/>
        </w:rPr>
        <w:t xml:space="preserve"> 2010 UKSC 31</w:t>
      </w:r>
      <w:r w:rsidR="009F4F4A" w:rsidRPr="00DA616D">
        <w:rPr>
          <w:rFonts w:ascii="Book Antiqua" w:hAnsi="Book Antiqua" w:cs="Arial"/>
          <w:sz w:val="24"/>
          <w:szCs w:val="24"/>
        </w:rPr>
        <w:t xml:space="preserve"> and that the appellant had a UK partner openly bisexual</w:t>
      </w:r>
      <w:r w:rsidR="00483B1A" w:rsidRPr="00DA616D">
        <w:rPr>
          <w:rFonts w:ascii="Book Antiqua" w:hAnsi="Book Antiqua" w:cs="Arial"/>
          <w:sz w:val="24"/>
          <w:szCs w:val="24"/>
        </w:rPr>
        <w:t xml:space="preserve"> [67]</w:t>
      </w:r>
      <w:r w:rsidR="009F4F4A" w:rsidRPr="00DA616D">
        <w:rPr>
          <w:rFonts w:ascii="Book Antiqua" w:hAnsi="Book Antiqua" w:cs="Arial"/>
          <w:sz w:val="24"/>
          <w:szCs w:val="24"/>
        </w:rPr>
        <w:t>. The commencement of the relationship</w:t>
      </w:r>
      <w:r w:rsidR="00454C66" w:rsidRPr="00DA616D">
        <w:rPr>
          <w:rFonts w:ascii="Book Antiqua" w:hAnsi="Book Antiqua" w:cs="Arial"/>
          <w:sz w:val="24"/>
          <w:szCs w:val="24"/>
        </w:rPr>
        <w:t xml:space="preserve"> albeit an unusual and predominantly sexual one</w:t>
      </w:r>
      <w:r w:rsidR="00842157" w:rsidRPr="00DA616D">
        <w:rPr>
          <w:rFonts w:ascii="Book Antiqua" w:hAnsi="Book Antiqua" w:cs="Arial"/>
          <w:sz w:val="24"/>
          <w:szCs w:val="24"/>
        </w:rPr>
        <w:t>,</w:t>
      </w:r>
      <w:r w:rsidR="00454C66" w:rsidRPr="00DA616D">
        <w:rPr>
          <w:rFonts w:ascii="Book Antiqua" w:hAnsi="Book Antiqua" w:cs="Arial"/>
          <w:sz w:val="24"/>
          <w:szCs w:val="24"/>
        </w:rPr>
        <w:t xml:space="preserve"> coincided with the demise of his marriage. His relationship with Mark had lasted for approximately two years</w:t>
      </w:r>
      <w:r w:rsidR="00842157" w:rsidRPr="00DA616D">
        <w:rPr>
          <w:rFonts w:ascii="Book Antiqua" w:hAnsi="Book Antiqua" w:cs="Arial"/>
          <w:sz w:val="24"/>
          <w:szCs w:val="24"/>
        </w:rPr>
        <w:t xml:space="preserve"> and continued</w:t>
      </w:r>
      <w:r w:rsidR="00454C66" w:rsidRPr="00DA616D">
        <w:rPr>
          <w:rFonts w:ascii="Book Antiqua" w:hAnsi="Book Antiqua" w:cs="Arial"/>
          <w:sz w:val="24"/>
          <w:szCs w:val="24"/>
        </w:rPr>
        <w:t>. At</w:t>
      </w:r>
      <w:r w:rsidR="00483B1A" w:rsidRPr="00DA616D">
        <w:rPr>
          <w:rFonts w:ascii="Book Antiqua" w:hAnsi="Book Antiqua" w:cs="Arial"/>
          <w:sz w:val="24"/>
          <w:szCs w:val="24"/>
        </w:rPr>
        <w:t xml:space="preserve"> [68</w:t>
      </w:r>
      <w:r w:rsidR="00C2273A" w:rsidRPr="00DA616D">
        <w:rPr>
          <w:rFonts w:ascii="Book Antiqua" w:hAnsi="Book Antiqua" w:cs="Arial"/>
          <w:sz w:val="24"/>
          <w:szCs w:val="24"/>
        </w:rPr>
        <w:t>] the judge recorded that the submissions stated that his bisexuality “would attract discrimination and prejudice and violence”</w:t>
      </w:r>
      <w:r w:rsidR="009F7D59" w:rsidRPr="00DA616D">
        <w:rPr>
          <w:rFonts w:ascii="Book Antiqua" w:hAnsi="Book Antiqua" w:cs="Arial"/>
          <w:sz w:val="24"/>
          <w:szCs w:val="24"/>
        </w:rPr>
        <w:t>.</w:t>
      </w:r>
    </w:p>
    <w:p w14:paraId="2818A74D" w14:textId="77777777" w:rsidR="009F7D59" w:rsidRPr="00DA616D" w:rsidRDefault="009F7D59" w:rsidP="00DA616D">
      <w:pPr>
        <w:numPr>
          <w:ilvl w:val="0"/>
          <w:numId w:val="1"/>
        </w:numPr>
        <w:tabs>
          <w:tab w:val="clear" w:pos="720"/>
        </w:tabs>
        <w:spacing w:before="240" w:after="0" w:line="240" w:lineRule="auto"/>
        <w:ind w:left="567" w:hanging="567"/>
        <w:jc w:val="both"/>
        <w:rPr>
          <w:rFonts w:ascii="Book Antiqua" w:hAnsi="Book Antiqua" w:cs="Arial"/>
          <w:sz w:val="24"/>
          <w:szCs w:val="24"/>
        </w:rPr>
      </w:pPr>
      <w:r w:rsidRPr="00DA616D">
        <w:rPr>
          <w:rFonts w:ascii="Book Antiqua" w:hAnsi="Book Antiqua" w:cs="Arial"/>
          <w:sz w:val="24"/>
          <w:szCs w:val="24"/>
        </w:rPr>
        <w:t>The judge made the following findings:</w:t>
      </w:r>
    </w:p>
    <w:p w14:paraId="713596BC" w14:textId="5E00A12D" w:rsidR="009F7D59" w:rsidRPr="00DA616D" w:rsidRDefault="009F7D59" w:rsidP="00DA616D">
      <w:pPr>
        <w:tabs>
          <w:tab w:val="left" w:pos="1701"/>
        </w:tabs>
        <w:spacing w:before="120" w:after="0" w:line="240" w:lineRule="auto"/>
        <w:ind w:left="1134"/>
        <w:jc w:val="both"/>
        <w:rPr>
          <w:rFonts w:ascii="Book Antiqua" w:hAnsi="Book Antiqua" w:cs="Arial"/>
          <w:sz w:val="24"/>
          <w:szCs w:val="24"/>
        </w:rPr>
      </w:pPr>
      <w:r w:rsidRPr="00DA616D">
        <w:rPr>
          <w:rFonts w:ascii="Book Antiqua" w:hAnsi="Book Antiqua" w:cs="Arial"/>
          <w:sz w:val="24"/>
          <w:szCs w:val="24"/>
        </w:rPr>
        <w:t>(</w:t>
      </w:r>
      <w:proofErr w:type="spellStart"/>
      <w:r w:rsidR="0030583E" w:rsidRPr="00DA616D">
        <w:rPr>
          <w:rFonts w:ascii="Book Antiqua" w:hAnsi="Book Antiqua" w:cs="Arial"/>
          <w:sz w:val="24"/>
          <w:szCs w:val="24"/>
        </w:rPr>
        <w:t>i</w:t>
      </w:r>
      <w:proofErr w:type="spellEnd"/>
      <w:r w:rsidR="0030583E" w:rsidRPr="00DA616D">
        <w:rPr>
          <w:rFonts w:ascii="Book Antiqua" w:hAnsi="Book Antiqua" w:cs="Arial"/>
          <w:sz w:val="24"/>
          <w:szCs w:val="24"/>
        </w:rPr>
        <w:t>)</w:t>
      </w:r>
      <w:r w:rsidR="00DA616D">
        <w:rPr>
          <w:rFonts w:ascii="Book Antiqua" w:hAnsi="Book Antiqua" w:cs="Arial"/>
          <w:sz w:val="24"/>
          <w:szCs w:val="24"/>
        </w:rPr>
        <w:tab/>
      </w:r>
      <w:r w:rsidR="0030583E" w:rsidRPr="00DA616D">
        <w:rPr>
          <w:rFonts w:ascii="Book Antiqua" w:hAnsi="Book Antiqua" w:cs="Arial"/>
          <w:sz w:val="24"/>
          <w:szCs w:val="24"/>
        </w:rPr>
        <w:t>his overall assessment of the appellant’s credibility was</w:t>
      </w:r>
      <w:r w:rsidR="000B4D01" w:rsidRPr="00DA616D">
        <w:rPr>
          <w:rFonts w:ascii="Book Antiqua" w:hAnsi="Book Antiqua" w:cs="Arial"/>
          <w:sz w:val="24"/>
          <w:szCs w:val="24"/>
        </w:rPr>
        <w:t xml:space="preserve"> “further” condition</w:t>
      </w:r>
      <w:r w:rsidR="00674653" w:rsidRPr="00DA616D">
        <w:rPr>
          <w:rFonts w:ascii="Book Antiqua" w:hAnsi="Book Antiqua" w:cs="Arial"/>
          <w:sz w:val="24"/>
          <w:szCs w:val="24"/>
        </w:rPr>
        <w:t>ed</w:t>
      </w:r>
      <w:r w:rsidR="000B4D01" w:rsidRPr="00DA616D">
        <w:rPr>
          <w:rFonts w:ascii="Book Antiqua" w:hAnsi="Book Antiqua" w:cs="Arial"/>
          <w:sz w:val="24"/>
          <w:szCs w:val="24"/>
        </w:rPr>
        <w:t xml:space="preserve"> by the likelihood, in</w:t>
      </w:r>
      <w:r w:rsidR="00674653" w:rsidRPr="00DA616D">
        <w:rPr>
          <w:rFonts w:ascii="Book Antiqua" w:hAnsi="Book Antiqua" w:cs="Arial"/>
          <w:sz w:val="24"/>
          <w:szCs w:val="24"/>
        </w:rPr>
        <w:t xml:space="preserve"> his</w:t>
      </w:r>
      <w:r w:rsidR="000B4D01" w:rsidRPr="00DA616D">
        <w:rPr>
          <w:rFonts w:ascii="Book Antiqua" w:hAnsi="Book Antiqua" w:cs="Arial"/>
          <w:sz w:val="24"/>
          <w:szCs w:val="24"/>
        </w:rPr>
        <w:t xml:space="preserve"> view, that the appellant </w:t>
      </w:r>
      <w:r w:rsidR="009059A5" w:rsidRPr="00DA616D">
        <w:rPr>
          <w:rFonts w:ascii="Book Antiqua" w:hAnsi="Book Antiqua" w:cs="Arial"/>
          <w:sz w:val="24"/>
          <w:szCs w:val="24"/>
        </w:rPr>
        <w:t>“</w:t>
      </w:r>
      <w:r w:rsidR="000B4D01" w:rsidRPr="00DA616D">
        <w:rPr>
          <w:rFonts w:ascii="Book Antiqua" w:hAnsi="Book Antiqua" w:cs="Arial"/>
          <w:sz w:val="24"/>
          <w:szCs w:val="24"/>
        </w:rPr>
        <w:t xml:space="preserve">is </w:t>
      </w:r>
      <w:r w:rsidR="00FB35C5" w:rsidRPr="00DA616D">
        <w:rPr>
          <w:rFonts w:ascii="Book Antiqua" w:hAnsi="Book Antiqua" w:cs="Arial"/>
          <w:sz w:val="24"/>
          <w:szCs w:val="24"/>
        </w:rPr>
        <w:t>un</w:t>
      </w:r>
      <w:r w:rsidR="000B4D01" w:rsidRPr="00DA616D">
        <w:rPr>
          <w:rFonts w:ascii="Book Antiqua" w:hAnsi="Book Antiqua" w:cs="Arial"/>
          <w:sz w:val="24"/>
          <w:szCs w:val="24"/>
        </w:rPr>
        <w:t>educated, and unfamiliar with knowing and organising the sort of information he may later be asked by officials</w:t>
      </w:r>
      <w:r w:rsidR="00C512B9" w:rsidRPr="00DA616D">
        <w:rPr>
          <w:rFonts w:ascii="Book Antiqua" w:hAnsi="Book Antiqua" w:cs="Arial"/>
          <w:sz w:val="24"/>
          <w:szCs w:val="24"/>
        </w:rPr>
        <w:t xml:space="preserve"> and recording it in his memory, including dates”</w:t>
      </w:r>
    </w:p>
    <w:p w14:paraId="41AE1E93" w14:textId="0B95D1C0" w:rsidR="00C512B9" w:rsidRPr="00DA616D" w:rsidRDefault="00C512B9" w:rsidP="00DA616D">
      <w:pPr>
        <w:tabs>
          <w:tab w:val="left" w:pos="1701"/>
        </w:tabs>
        <w:spacing w:before="120" w:after="0" w:line="240" w:lineRule="auto"/>
        <w:ind w:left="1134"/>
        <w:jc w:val="both"/>
        <w:rPr>
          <w:rFonts w:ascii="Book Antiqua" w:hAnsi="Book Antiqua" w:cs="Arial"/>
          <w:sz w:val="24"/>
          <w:szCs w:val="24"/>
        </w:rPr>
      </w:pPr>
      <w:r w:rsidRPr="00DA616D">
        <w:rPr>
          <w:rFonts w:ascii="Book Antiqua" w:hAnsi="Book Antiqua" w:cs="Arial"/>
          <w:sz w:val="24"/>
          <w:szCs w:val="24"/>
        </w:rPr>
        <w:t>(ii)</w:t>
      </w:r>
      <w:r w:rsidR="00DA616D">
        <w:rPr>
          <w:rFonts w:ascii="Book Antiqua" w:hAnsi="Book Antiqua" w:cs="Arial"/>
          <w:sz w:val="24"/>
          <w:szCs w:val="24"/>
        </w:rPr>
        <w:tab/>
      </w:r>
      <w:r w:rsidR="003809B6" w:rsidRPr="00DA616D">
        <w:rPr>
          <w:rFonts w:ascii="Book Antiqua" w:hAnsi="Book Antiqua" w:cs="Arial"/>
          <w:sz w:val="24"/>
          <w:szCs w:val="24"/>
        </w:rPr>
        <w:t>the question was whether the appellant</w:t>
      </w:r>
      <w:r w:rsidR="000D54B1" w:rsidRPr="00DA616D">
        <w:rPr>
          <w:rFonts w:ascii="Book Antiqua" w:hAnsi="Book Antiqua" w:cs="Arial"/>
          <w:sz w:val="24"/>
          <w:szCs w:val="24"/>
        </w:rPr>
        <w:t xml:space="preserve"> had had a sexual or intimate relationship with Mark and two other men and it was possible that notions of anniversaries</w:t>
      </w:r>
      <w:r w:rsidR="00E917FB" w:rsidRPr="00DA616D">
        <w:rPr>
          <w:rFonts w:ascii="Book Antiqua" w:hAnsi="Book Antiqua" w:cs="Arial"/>
          <w:sz w:val="24"/>
          <w:szCs w:val="24"/>
        </w:rPr>
        <w:t>,</w:t>
      </w:r>
      <w:r w:rsidR="000D54B1" w:rsidRPr="00DA616D">
        <w:rPr>
          <w:rFonts w:ascii="Book Antiqua" w:hAnsi="Book Antiqua" w:cs="Arial"/>
          <w:sz w:val="24"/>
          <w:szCs w:val="24"/>
        </w:rPr>
        <w:t xml:space="preserve"> length of relationship other sexual relationships had been over stated by the respondent when assessing the relationship.</w:t>
      </w:r>
      <w:r w:rsidR="00E917FB" w:rsidRPr="00DA616D">
        <w:rPr>
          <w:rFonts w:ascii="Book Antiqua" w:hAnsi="Book Antiqua" w:cs="Arial"/>
          <w:sz w:val="24"/>
          <w:szCs w:val="24"/>
        </w:rPr>
        <w:t xml:space="preserve">  The respondent had focussed on whether the relationship was subsisting and genuine which was more akin to </w:t>
      </w:r>
      <w:r w:rsidR="00761DAE" w:rsidRPr="00DA616D">
        <w:rPr>
          <w:rFonts w:ascii="Book Antiqua" w:hAnsi="Book Antiqua" w:cs="Arial"/>
          <w:sz w:val="24"/>
          <w:szCs w:val="24"/>
        </w:rPr>
        <w:t>the</w:t>
      </w:r>
      <w:r w:rsidR="007B57C6" w:rsidRPr="00DA616D">
        <w:rPr>
          <w:rFonts w:ascii="Book Antiqua" w:hAnsi="Book Antiqua" w:cs="Arial"/>
          <w:sz w:val="24"/>
          <w:szCs w:val="24"/>
        </w:rPr>
        <w:t xml:space="preserve"> rules relating to marriage</w:t>
      </w:r>
      <w:r w:rsidR="00761DAE" w:rsidRPr="00DA616D">
        <w:rPr>
          <w:rFonts w:ascii="Book Antiqua" w:hAnsi="Book Antiqua" w:cs="Arial"/>
          <w:sz w:val="24"/>
          <w:szCs w:val="24"/>
        </w:rPr>
        <w:t xml:space="preserve">. </w:t>
      </w:r>
    </w:p>
    <w:p w14:paraId="46274234" w14:textId="3C4F38B9" w:rsidR="00E0500F" w:rsidRPr="00DA616D" w:rsidRDefault="00E0500F" w:rsidP="00DA616D">
      <w:pPr>
        <w:tabs>
          <w:tab w:val="left" w:pos="1701"/>
        </w:tabs>
        <w:spacing w:before="120" w:after="0" w:line="240" w:lineRule="auto"/>
        <w:ind w:left="1134"/>
        <w:jc w:val="both"/>
        <w:rPr>
          <w:rFonts w:ascii="Book Antiqua" w:hAnsi="Book Antiqua" w:cs="Arial"/>
          <w:sz w:val="24"/>
          <w:szCs w:val="24"/>
        </w:rPr>
      </w:pPr>
      <w:r w:rsidRPr="00DA616D">
        <w:rPr>
          <w:rFonts w:ascii="Book Antiqua" w:hAnsi="Book Antiqua" w:cs="Arial"/>
          <w:sz w:val="24"/>
          <w:szCs w:val="24"/>
        </w:rPr>
        <w:lastRenderedPageBreak/>
        <w:t>(iii)</w:t>
      </w:r>
      <w:r w:rsidR="00DA616D">
        <w:rPr>
          <w:rFonts w:ascii="Book Antiqua" w:hAnsi="Book Antiqua" w:cs="Arial"/>
          <w:sz w:val="24"/>
          <w:szCs w:val="24"/>
        </w:rPr>
        <w:tab/>
      </w:r>
      <w:r w:rsidRPr="00DA616D">
        <w:rPr>
          <w:rFonts w:ascii="Book Antiqua" w:hAnsi="Book Antiqua" w:cs="Arial"/>
          <w:sz w:val="24"/>
          <w:szCs w:val="24"/>
        </w:rPr>
        <w:t>the lack of the divorce paperwork was</w:t>
      </w:r>
      <w:r w:rsidR="001B4F82" w:rsidRPr="00DA616D">
        <w:rPr>
          <w:rFonts w:ascii="Book Antiqua" w:hAnsi="Book Antiqua" w:cs="Arial"/>
          <w:sz w:val="24"/>
          <w:szCs w:val="24"/>
        </w:rPr>
        <w:t xml:space="preserve"> raised for the first time in the oral submission</w:t>
      </w:r>
      <w:r w:rsidR="00761DAE" w:rsidRPr="00DA616D">
        <w:rPr>
          <w:rFonts w:ascii="Book Antiqua" w:hAnsi="Book Antiqua" w:cs="Arial"/>
          <w:sz w:val="24"/>
          <w:szCs w:val="24"/>
        </w:rPr>
        <w:t>s by the respondent</w:t>
      </w:r>
      <w:r w:rsidR="001B4F82" w:rsidRPr="00DA616D">
        <w:rPr>
          <w:rFonts w:ascii="Book Antiqua" w:hAnsi="Book Antiqua" w:cs="Arial"/>
          <w:sz w:val="24"/>
          <w:szCs w:val="24"/>
        </w:rPr>
        <w:t xml:space="preserve"> and not in the reasons for refusal letter</w:t>
      </w:r>
      <w:r w:rsidR="00E0001B" w:rsidRPr="00DA616D">
        <w:rPr>
          <w:rFonts w:ascii="Book Antiqua" w:hAnsi="Book Antiqua" w:cs="Arial"/>
          <w:sz w:val="24"/>
          <w:szCs w:val="24"/>
        </w:rPr>
        <w:t>;</w:t>
      </w:r>
      <w:r w:rsidR="001B4F82" w:rsidRPr="00DA616D">
        <w:rPr>
          <w:rFonts w:ascii="Book Antiqua" w:hAnsi="Book Antiqua" w:cs="Arial"/>
          <w:sz w:val="24"/>
          <w:szCs w:val="24"/>
        </w:rPr>
        <w:t xml:space="preserve"> this should not be held against the appellant</w:t>
      </w:r>
    </w:p>
    <w:p w14:paraId="50EE8F55" w14:textId="39633B45" w:rsidR="00FC7046" w:rsidRPr="00DA616D" w:rsidRDefault="00FC7046" w:rsidP="00DA616D">
      <w:pPr>
        <w:tabs>
          <w:tab w:val="left" w:pos="1701"/>
        </w:tabs>
        <w:spacing w:before="120" w:after="0" w:line="240" w:lineRule="auto"/>
        <w:ind w:left="1134"/>
        <w:jc w:val="both"/>
        <w:rPr>
          <w:rFonts w:ascii="Book Antiqua" w:hAnsi="Book Antiqua" w:cs="Arial"/>
          <w:sz w:val="24"/>
          <w:szCs w:val="24"/>
        </w:rPr>
      </w:pPr>
      <w:r w:rsidRPr="00DA616D">
        <w:rPr>
          <w:rFonts w:ascii="Book Antiqua" w:hAnsi="Book Antiqua" w:cs="Arial"/>
          <w:sz w:val="24"/>
          <w:szCs w:val="24"/>
        </w:rPr>
        <w:t>(iv)</w:t>
      </w:r>
      <w:r w:rsidR="00DA616D">
        <w:rPr>
          <w:rFonts w:ascii="Book Antiqua" w:hAnsi="Book Antiqua" w:cs="Arial"/>
          <w:sz w:val="24"/>
          <w:szCs w:val="24"/>
        </w:rPr>
        <w:tab/>
      </w:r>
      <w:r w:rsidRPr="00DA616D">
        <w:rPr>
          <w:rFonts w:ascii="Book Antiqua" w:hAnsi="Book Antiqua" w:cs="Arial"/>
          <w:sz w:val="24"/>
          <w:szCs w:val="24"/>
        </w:rPr>
        <w:t>the dates the end of his marriage</w:t>
      </w:r>
      <w:r w:rsidR="009F7C9B" w:rsidRPr="00DA616D">
        <w:rPr>
          <w:rFonts w:ascii="Book Antiqua" w:hAnsi="Book Antiqua" w:cs="Arial"/>
          <w:sz w:val="24"/>
          <w:szCs w:val="24"/>
        </w:rPr>
        <w:t xml:space="preserve"> and the realisation of his bisexuality seem</w:t>
      </w:r>
      <w:r w:rsidR="009059A5" w:rsidRPr="00DA616D">
        <w:rPr>
          <w:rFonts w:ascii="Book Antiqua" w:hAnsi="Book Antiqua" w:cs="Arial"/>
          <w:sz w:val="24"/>
          <w:szCs w:val="24"/>
        </w:rPr>
        <w:t>ed</w:t>
      </w:r>
      <w:r w:rsidR="00E0001B" w:rsidRPr="00DA616D">
        <w:rPr>
          <w:rFonts w:ascii="Book Antiqua" w:hAnsi="Book Antiqua" w:cs="Arial"/>
          <w:sz w:val="24"/>
          <w:szCs w:val="24"/>
        </w:rPr>
        <w:t xml:space="preserve"> ‘</w:t>
      </w:r>
      <w:r w:rsidR="009F7C9B" w:rsidRPr="00DA616D">
        <w:rPr>
          <w:rFonts w:ascii="Book Antiqua" w:hAnsi="Book Antiqua" w:cs="Arial"/>
          <w:sz w:val="24"/>
          <w:szCs w:val="24"/>
        </w:rPr>
        <w:t>to fit</w:t>
      </w:r>
      <w:r w:rsidR="00E0001B" w:rsidRPr="00DA616D">
        <w:rPr>
          <w:rFonts w:ascii="Book Antiqua" w:hAnsi="Book Antiqua" w:cs="Arial"/>
          <w:sz w:val="24"/>
          <w:szCs w:val="24"/>
        </w:rPr>
        <w:t>’</w:t>
      </w:r>
      <w:r w:rsidR="009F7C9B" w:rsidRPr="00DA616D">
        <w:rPr>
          <w:rFonts w:ascii="Book Antiqua" w:hAnsi="Book Antiqua" w:cs="Arial"/>
          <w:sz w:val="24"/>
          <w:szCs w:val="24"/>
        </w:rPr>
        <w:t xml:space="preserve"> and there was no need for greater precision on the dates</w:t>
      </w:r>
      <w:r w:rsidR="007717B9" w:rsidRPr="00DA616D">
        <w:rPr>
          <w:rFonts w:ascii="Book Antiqua" w:hAnsi="Book Antiqua" w:cs="Arial"/>
          <w:sz w:val="24"/>
          <w:szCs w:val="24"/>
        </w:rPr>
        <w:t>. The lack of documentation</w:t>
      </w:r>
      <w:r w:rsidR="004A513E" w:rsidRPr="00DA616D">
        <w:rPr>
          <w:rFonts w:ascii="Book Antiqua" w:hAnsi="Book Antiqua" w:cs="Arial"/>
          <w:sz w:val="24"/>
          <w:szCs w:val="24"/>
        </w:rPr>
        <w:t xml:space="preserve"> concerning domestic abuse was merely possibly a reflection that the police </w:t>
      </w:r>
      <w:r w:rsidR="00EF57EF" w:rsidRPr="00DA616D">
        <w:rPr>
          <w:rFonts w:ascii="Book Antiqua" w:hAnsi="Book Antiqua" w:cs="Arial"/>
          <w:sz w:val="24"/>
          <w:szCs w:val="24"/>
        </w:rPr>
        <w:t>had not t</w:t>
      </w:r>
      <w:r w:rsidR="004A513E" w:rsidRPr="00DA616D">
        <w:rPr>
          <w:rFonts w:ascii="Book Antiqua" w:hAnsi="Book Antiqua" w:cs="Arial"/>
          <w:sz w:val="24"/>
          <w:szCs w:val="24"/>
        </w:rPr>
        <w:t>aken the matter further</w:t>
      </w:r>
      <w:r w:rsidR="00EF57EF" w:rsidRPr="00DA616D">
        <w:rPr>
          <w:rFonts w:ascii="Book Antiqua" w:hAnsi="Book Antiqua" w:cs="Arial"/>
          <w:sz w:val="24"/>
          <w:szCs w:val="24"/>
        </w:rPr>
        <w:t>. Realisation of when a person becomes bisexual</w:t>
      </w:r>
      <w:r w:rsidR="00FB396C" w:rsidRPr="00DA616D">
        <w:rPr>
          <w:rFonts w:ascii="Book Antiqua" w:hAnsi="Book Antiqua" w:cs="Arial"/>
          <w:sz w:val="24"/>
          <w:szCs w:val="24"/>
        </w:rPr>
        <w:t xml:space="preserve"> is unlikely to generate a specific date. The inconsistencies raised in respect of birthdays, </w:t>
      </w:r>
      <w:r w:rsidR="00461ED1" w:rsidRPr="00DA616D">
        <w:rPr>
          <w:rFonts w:ascii="Book Antiqua" w:hAnsi="Book Antiqua" w:cs="Arial"/>
          <w:sz w:val="24"/>
          <w:szCs w:val="24"/>
        </w:rPr>
        <w:t>M</w:t>
      </w:r>
      <w:r w:rsidR="00FB396C" w:rsidRPr="00DA616D">
        <w:rPr>
          <w:rFonts w:ascii="Book Antiqua" w:hAnsi="Book Antiqua" w:cs="Arial"/>
          <w:sz w:val="24"/>
          <w:szCs w:val="24"/>
        </w:rPr>
        <w:t>ark</w:t>
      </w:r>
      <w:r w:rsidR="00461ED1" w:rsidRPr="00DA616D">
        <w:rPr>
          <w:rFonts w:ascii="Book Antiqua" w:hAnsi="Book Antiqua" w:cs="Arial"/>
          <w:sz w:val="24"/>
          <w:szCs w:val="24"/>
        </w:rPr>
        <w:t>’</w:t>
      </w:r>
      <w:r w:rsidR="00FB396C" w:rsidRPr="00DA616D">
        <w:rPr>
          <w:rFonts w:ascii="Book Antiqua" w:hAnsi="Book Antiqua" w:cs="Arial"/>
          <w:sz w:val="24"/>
          <w:szCs w:val="24"/>
        </w:rPr>
        <w:t>s age</w:t>
      </w:r>
      <w:r w:rsidR="00461ED1" w:rsidRPr="00DA616D">
        <w:rPr>
          <w:rFonts w:ascii="Book Antiqua" w:hAnsi="Book Antiqua" w:cs="Arial"/>
          <w:sz w:val="24"/>
          <w:szCs w:val="24"/>
        </w:rPr>
        <w:t>,</w:t>
      </w:r>
      <w:r w:rsidR="004F1A04" w:rsidRPr="00DA616D">
        <w:rPr>
          <w:rFonts w:ascii="Book Antiqua" w:hAnsi="Book Antiqua" w:cs="Arial"/>
          <w:sz w:val="24"/>
          <w:szCs w:val="24"/>
        </w:rPr>
        <w:t xml:space="preserve"> the pub where they met</w:t>
      </w:r>
      <w:r w:rsidR="00461ED1" w:rsidRPr="00DA616D">
        <w:rPr>
          <w:rFonts w:ascii="Book Antiqua" w:hAnsi="Book Antiqua" w:cs="Arial"/>
          <w:sz w:val="24"/>
          <w:szCs w:val="24"/>
        </w:rPr>
        <w:t>,</w:t>
      </w:r>
      <w:r w:rsidR="004F1A04" w:rsidRPr="00DA616D">
        <w:rPr>
          <w:rFonts w:ascii="Book Antiqua" w:hAnsi="Book Antiqua" w:cs="Arial"/>
          <w:sz w:val="24"/>
          <w:szCs w:val="24"/>
        </w:rPr>
        <w:t xml:space="preserve"> and who talked first w</w:t>
      </w:r>
      <w:r w:rsidR="00B258B0" w:rsidRPr="00DA616D">
        <w:rPr>
          <w:rFonts w:ascii="Book Antiqua" w:hAnsi="Book Antiqua" w:cs="Arial"/>
          <w:sz w:val="24"/>
          <w:szCs w:val="24"/>
        </w:rPr>
        <w:t>e</w:t>
      </w:r>
      <w:r w:rsidR="00461ED1" w:rsidRPr="00DA616D">
        <w:rPr>
          <w:rFonts w:ascii="Book Antiqua" w:hAnsi="Book Antiqua" w:cs="Arial"/>
          <w:sz w:val="24"/>
          <w:szCs w:val="24"/>
        </w:rPr>
        <w:t>re</w:t>
      </w:r>
      <w:r w:rsidR="004F1A04" w:rsidRPr="00DA616D">
        <w:rPr>
          <w:rFonts w:ascii="Book Antiqua" w:hAnsi="Book Antiqua" w:cs="Arial"/>
          <w:sz w:val="24"/>
          <w:szCs w:val="24"/>
        </w:rPr>
        <w:t xml:space="preserve"> tests relating to the subsistence of a relationship akin to marriage but did not illustrate anything about the appellant’s sexuality</w:t>
      </w:r>
      <w:r w:rsidR="002C5259" w:rsidRPr="00DA616D">
        <w:rPr>
          <w:rFonts w:ascii="Book Antiqua" w:hAnsi="Book Antiqua" w:cs="Arial"/>
          <w:sz w:val="24"/>
          <w:szCs w:val="24"/>
        </w:rPr>
        <w:t xml:space="preserve"> </w:t>
      </w:r>
    </w:p>
    <w:p w14:paraId="574C9BB2" w14:textId="755F7CD4" w:rsidR="00C70AF1" w:rsidRPr="00DA616D" w:rsidRDefault="009F485C" w:rsidP="00DA616D">
      <w:pPr>
        <w:tabs>
          <w:tab w:val="left" w:pos="1701"/>
        </w:tabs>
        <w:spacing w:before="120" w:after="0" w:line="240" w:lineRule="auto"/>
        <w:ind w:left="1134"/>
        <w:jc w:val="both"/>
        <w:rPr>
          <w:rFonts w:ascii="Book Antiqua" w:hAnsi="Book Antiqua" w:cs="Arial"/>
          <w:sz w:val="24"/>
          <w:szCs w:val="24"/>
        </w:rPr>
      </w:pPr>
      <w:r w:rsidRPr="00DA616D">
        <w:rPr>
          <w:rFonts w:ascii="Book Antiqua" w:hAnsi="Book Antiqua" w:cs="Arial"/>
          <w:sz w:val="24"/>
          <w:szCs w:val="24"/>
        </w:rPr>
        <w:t>(v)</w:t>
      </w:r>
      <w:r w:rsidR="00DA616D">
        <w:rPr>
          <w:rFonts w:ascii="Book Antiqua" w:hAnsi="Book Antiqua" w:cs="Arial"/>
          <w:sz w:val="24"/>
          <w:szCs w:val="24"/>
        </w:rPr>
        <w:tab/>
      </w:r>
      <w:r w:rsidRPr="00DA616D">
        <w:rPr>
          <w:rFonts w:ascii="Book Antiqua" w:hAnsi="Book Antiqua" w:cs="Arial"/>
          <w:sz w:val="24"/>
          <w:szCs w:val="24"/>
        </w:rPr>
        <w:t xml:space="preserve">there was enough consistency between the accounts </w:t>
      </w:r>
      <w:r w:rsidR="007B57C6" w:rsidRPr="00DA616D">
        <w:rPr>
          <w:rFonts w:ascii="Book Antiqua" w:hAnsi="Book Antiqua" w:cs="Arial"/>
          <w:sz w:val="24"/>
          <w:szCs w:val="24"/>
        </w:rPr>
        <w:t xml:space="preserve">of the appellant and his said partner </w:t>
      </w:r>
      <w:r w:rsidR="00EB15AE" w:rsidRPr="00DA616D">
        <w:rPr>
          <w:rFonts w:ascii="Book Antiqua" w:hAnsi="Book Antiqua" w:cs="Arial"/>
          <w:sz w:val="24"/>
          <w:szCs w:val="24"/>
        </w:rPr>
        <w:t>and the judge added</w:t>
      </w:r>
    </w:p>
    <w:p w14:paraId="3C9B26CB" w14:textId="3E3ADFE7" w:rsidR="002C4238" w:rsidRPr="00DA616D" w:rsidRDefault="009F485C" w:rsidP="00DA616D">
      <w:pPr>
        <w:spacing w:before="120" w:after="0" w:line="240" w:lineRule="auto"/>
        <w:ind w:left="1701"/>
        <w:jc w:val="both"/>
        <w:rPr>
          <w:rFonts w:ascii="Book Antiqua" w:hAnsi="Book Antiqua" w:cs="Arial"/>
          <w:i/>
          <w:szCs w:val="24"/>
        </w:rPr>
      </w:pPr>
      <w:r w:rsidRPr="00DA616D">
        <w:rPr>
          <w:rFonts w:ascii="Book Antiqua" w:hAnsi="Book Antiqua" w:cs="Arial"/>
          <w:szCs w:val="24"/>
        </w:rPr>
        <w:t>“</w:t>
      </w:r>
      <w:r w:rsidR="00DA616D">
        <w:rPr>
          <w:rFonts w:ascii="Book Antiqua" w:hAnsi="Book Antiqua" w:cs="Arial"/>
          <w:szCs w:val="24"/>
        </w:rPr>
        <w:t xml:space="preserve">… </w:t>
      </w:r>
      <w:r w:rsidRPr="00DA616D">
        <w:rPr>
          <w:rFonts w:ascii="Book Antiqua" w:hAnsi="Book Antiqua" w:cs="Arial"/>
          <w:i/>
          <w:szCs w:val="24"/>
        </w:rPr>
        <w:t xml:space="preserve">they see one another from time to time, the appellant got </w:t>
      </w:r>
      <w:r w:rsidR="00543F27" w:rsidRPr="00DA616D">
        <w:rPr>
          <w:rFonts w:ascii="Book Antiqua" w:hAnsi="Book Antiqua" w:cs="Arial"/>
          <w:i/>
          <w:szCs w:val="24"/>
        </w:rPr>
        <w:t>M</w:t>
      </w:r>
      <w:r w:rsidRPr="00DA616D">
        <w:rPr>
          <w:rFonts w:ascii="Book Antiqua" w:hAnsi="Book Antiqua" w:cs="Arial"/>
          <w:i/>
          <w:szCs w:val="24"/>
        </w:rPr>
        <w:t>ark</w:t>
      </w:r>
      <w:r w:rsidR="00543F27" w:rsidRPr="00DA616D">
        <w:rPr>
          <w:rFonts w:ascii="Book Antiqua" w:hAnsi="Book Antiqua" w:cs="Arial"/>
          <w:i/>
          <w:szCs w:val="24"/>
        </w:rPr>
        <w:t>’</w:t>
      </w:r>
      <w:r w:rsidRPr="00DA616D">
        <w:rPr>
          <w:rFonts w:ascii="Book Antiqua" w:hAnsi="Book Antiqua" w:cs="Arial"/>
          <w:i/>
          <w:szCs w:val="24"/>
        </w:rPr>
        <w:t>s birthday right, they met at a pub in Bristol,</w:t>
      </w:r>
      <w:r w:rsidR="00602870" w:rsidRPr="00DA616D">
        <w:rPr>
          <w:rFonts w:ascii="Book Antiqua" w:hAnsi="Book Antiqua" w:cs="Arial"/>
          <w:i/>
          <w:szCs w:val="24"/>
        </w:rPr>
        <w:t xml:space="preserve"> they have spent nights together, and as inference, they have sex to conclude that these are two men who like each other, have sex with each other, may have other partners and most likely would not regard this as any kind of marriage like permanent couple relationship. But if that set of facts is believable,</w:t>
      </w:r>
      <w:r w:rsidR="00EA1342" w:rsidRPr="00DA616D">
        <w:rPr>
          <w:rFonts w:ascii="Book Antiqua" w:hAnsi="Book Antiqua" w:cs="Arial"/>
          <w:i/>
          <w:szCs w:val="24"/>
        </w:rPr>
        <w:t xml:space="preserve"> then that is enough, in my estimation, to add very real credibilit</w:t>
      </w:r>
      <w:r w:rsidR="002C4238" w:rsidRPr="00DA616D">
        <w:rPr>
          <w:rFonts w:ascii="Book Antiqua" w:hAnsi="Book Antiqua" w:cs="Arial"/>
          <w:i/>
          <w:szCs w:val="24"/>
        </w:rPr>
        <w:t>y</w:t>
      </w:r>
      <w:r w:rsidR="0011102B" w:rsidRPr="00DA616D">
        <w:rPr>
          <w:rFonts w:ascii="Book Antiqua" w:hAnsi="Book Antiqua" w:cs="Arial"/>
          <w:i/>
          <w:szCs w:val="24"/>
        </w:rPr>
        <w:t xml:space="preserve"> to the claim that he is bisexual</w:t>
      </w:r>
      <w:r w:rsidR="002C4238" w:rsidRPr="00DA616D">
        <w:rPr>
          <w:rFonts w:ascii="Book Antiqua" w:hAnsi="Book Antiqua" w:cs="Arial"/>
          <w:i/>
          <w:szCs w:val="24"/>
        </w:rPr>
        <w:t xml:space="preserve">. </w:t>
      </w:r>
      <w:r w:rsidR="00635708" w:rsidRPr="00DA616D">
        <w:rPr>
          <w:rFonts w:ascii="Book Antiqua" w:hAnsi="Book Antiqua" w:cs="Arial"/>
          <w:i/>
          <w:szCs w:val="24"/>
        </w:rPr>
        <w:t>[84]</w:t>
      </w:r>
    </w:p>
    <w:p w14:paraId="52290AC4" w14:textId="45EA8022" w:rsidR="009F485C" w:rsidRPr="00DA616D" w:rsidRDefault="00C70AF1" w:rsidP="00DA616D">
      <w:pPr>
        <w:spacing w:before="120" w:after="0" w:line="240" w:lineRule="auto"/>
        <w:ind w:left="1701"/>
        <w:jc w:val="both"/>
        <w:rPr>
          <w:rFonts w:ascii="Book Antiqua" w:hAnsi="Book Antiqua" w:cs="Arial"/>
          <w:szCs w:val="24"/>
        </w:rPr>
      </w:pPr>
      <w:r w:rsidRPr="00DA616D">
        <w:rPr>
          <w:rFonts w:ascii="Book Antiqua" w:hAnsi="Book Antiqua" w:cs="Arial"/>
          <w:i/>
          <w:szCs w:val="24"/>
        </w:rPr>
        <w:t>I</w:t>
      </w:r>
      <w:r w:rsidR="00635708" w:rsidRPr="00DA616D">
        <w:rPr>
          <w:rFonts w:ascii="Book Antiqua" w:hAnsi="Book Antiqua" w:cs="Arial"/>
          <w:i/>
          <w:szCs w:val="24"/>
        </w:rPr>
        <w:t>n my overall view it is indeed quite credible that their relationship reaches all those components that fairly low threshold</w:t>
      </w:r>
      <w:r w:rsidR="0011102B" w:rsidRPr="00DA616D">
        <w:rPr>
          <w:rFonts w:ascii="Book Antiqua" w:hAnsi="Book Antiqua" w:cs="Arial"/>
          <w:i/>
          <w:szCs w:val="24"/>
        </w:rPr>
        <w:t>.  A</w:t>
      </w:r>
      <w:r w:rsidR="00635708" w:rsidRPr="00DA616D">
        <w:rPr>
          <w:rFonts w:ascii="Book Antiqua" w:hAnsi="Book Antiqua" w:cs="Arial"/>
          <w:i/>
          <w:szCs w:val="24"/>
        </w:rPr>
        <w:t>ny mismatches in things like Mark’s mother</w:t>
      </w:r>
      <w:r w:rsidR="006D2E45" w:rsidRPr="00DA616D">
        <w:rPr>
          <w:rFonts w:ascii="Book Antiqua" w:hAnsi="Book Antiqua" w:cs="Arial"/>
          <w:i/>
          <w:szCs w:val="24"/>
        </w:rPr>
        <w:t xml:space="preserve">, what they have done about birthdays, who talked to </w:t>
      </w:r>
      <w:r w:rsidR="007766B2" w:rsidRPr="00DA616D">
        <w:rPr>
          <w:rFonts w:ascii="Book Antiqua" w:hAnsi="Book Antiqua" w:cs="Arial"/>
          <w:i/>
          <w:szCs w:val="24"/>
        </w:rPr>
        <w:t>who</w:t>
      </w:r>
      <w:r w:rsidR="006D2E45" w:rsidRPr="00DA616D">
        <w:rPr>
          <w:rFonts w:ascii="Book Antiqua" w:hAnsi="Book Antiqua" w:cs="Arial"/>
          <w:i/>
          <w:szCs w:val="24"/>
        </w:rPr>
        <w:t xml:space="preserve">m first, et cetera do not in my view undermine </w:t>
      </w:r>
      <w:r w:rsidR="007766B2" w:rsidRPr="00DA616D">
        <w:rPr>
          <w:rFonts w:ascii="Book Antiqua" w:hAnsi="Book Antiqua" w:cs="Arial"/>
          <w:i/>
          <w:szCs w:val="24"/>
        </w:rPr>
        <w:t xml:space="preserve">that </w:t>
      </w:r>
      <w:r w:rsidR="006D2E45" w:rsidRPr="00DA616D">
        <w:rPr>
          <w:rFonts w:ascii="Book Antiqua" w:hAnsi="Book Antiqua" w:cs="Arial"/>
          <w:i/>
          <w:szCs w:val="24"/>
        </w:rPr>
        <w:t>the appellant ha</w:t>
      </w:r>
      <w:r w:rsidR="007766B2" w:rsidRPr="00DA616D">
        <w:rPr>
          <w:rFonts w:ascii="Book Antiqua" w:hAnsi="Book Antiqua" w:cs="Arial"/>
          <w:i/>
          <w:szCs w:val="24"/>
        </w:rPr>
        <w:t>s</w:t>
      </w:r>
      <w:r w:rsidR="006D2E45" w:rsidRPr="00DA616D">
        <w:rPr>
          <w:rFonts w:ascii="Book Antiqua" w:hAnsi="Book Antiqua" w:cs="Arial"/>
          <w:i/>
          <w:szCs w:val="24"/>
        </w:rPr>
        <w:t xml:space="preserve"> established he has some kind of sexual relationship with Mark</w:t>
      </w:r>
      <w:r w:rsidR="00530DD3" w:rsidRPr="00DA616D">
        <w:rPr>
          <w:rFonts w:ascii="Book Antiqua" w:hAnsi="Book Antiqua" w:cs="Arial"/>
          <w:i/>
          <w:szCs w:val="24"/>
        </w:rPr>
        <w:t>.</w:t>
      </w:r>
      <w:r w:rsidR="006D2E45" w:rsidRPr="00DA616D">
        <w:rPr>
          <w:rFonts w:ascii="Book Antiqua" w:hAnsi="Book Antiqua" w:cs="Arial"/>
          <w:i/>
          <w:szCs w:val="24"/>
        </w:rPr>
        <w:t xml:space="preserve"> </w:t>
      </w:r>
      <w:r w:rsidR="00530DD3" w:rsidRPr="00DA616D">
        <w:rPr>
          <w:rFonts w:ascii="Book Antiqua" w:hAnsi="Book Antiqua" w:cs="Arial"/>
          <w:i/>
          <w:szCs w:val="24"/>
        </w:rPr>
        <w:t>B</w:t>
      </w:r>
      <w:r w:rsidR="006D2E45" w:rsidRPr="00DA616D">
        <w:rPr>
          <w:rFonts w:ascii="Book Antiqua" w:hAnsi="Book Antiqua" w:cs="Arial"/>
          <w:i/>
          <w:szCs w:val="24"/>
        </w:rPr>
        <w:t xml:space="preserve">ecause I find </w:t>
      </w:r>
      <w:r w:rsidR="00B75AEF" w:rsidRPr="00DA616D">
        <w:rPr>
          <w:rFonts w:ascii="Book Antiqua" w:hAnsi="Book Antiqua" w:cs="Arial"/>
          <w:i/>
          <w:szCs w:val="24"/>
        </w:rPr>
        <w:t xml:space="preserve">it </w:t>
      </w:r>
      <w:r w:rsidR="006D2E45" w:rsidRPr="00DA616D">
        <w:rPr>
          <w:rFonts w:ascii="Book Antiqua" w:hAnsi="Book Antiqua" w:cs="Arial"/>
          <w:i/>
          <w:szCs w:val="24"/>
        </w:rPr>
        <w:t xml:space="preserve">credible, to the lower standard of proof, that the appellant is in a sexual relationship not necessarily akin to a marriage with Mark, </w:t>
      </w:r>
      <w:r w:rsidR="0028766E" w:rsidRPr="00DA616D">
        <w:rPr>
          <w:rFonts w:ascii="Book Antiqua" w:hAnsi="Book Antiqua" w:cs="Arial"/>
          <w:i/>
          <w:szCs w:val="24"/>
        </w:rPr>
        <w:t>that</w:t>
      </w:r>
      <w:r w:rsidR="006D2E45" w:rsidRPr="00DA616D">
        <w:rPr>
          <w:rFonts w:ascii="Book Antiqua" w:hAnsi="Book Antiqua" w:cs="Arial"/>
          <w:i/>
          <w:szCs w:val="24"/>
        </w:rPr>
        <w:t xml:space="preserve"> in my view establishes sufficiently his claim to be</w:t>
      </w:r>
      <w:r w:rsidR="00981AF4" w:rsidRPr="00DA616D">
        <w:rPr>
          <w:rFonts w:ascii="Book Antiqua" w:hAnsi="Book Antiqua" w:cs="Arial"/>
          <w:i/>
          <w:szCs w:val="24"/>
        </w:rPr>
        <w:t xml:space="preserve"> </w:t>
      </w:r>
      <w:r w:rsidR="005449C0" w:rsidRPr="00DA616D">
        <w:rPr>
          <w:rFonts w:ascii="Book Antiqua" w:hAnsi="Book Antiqua" w:cs="Arial"/>
          <w:i/>
          <w:szCs w:val="24"/>
        </w:rPr>
        <w:t>bisexual</w:t>
      </w:r>
      <w:r w:rsidRPr="00DA616D">
        <w:rPr>
          <w:rFonts w:ascii="Book Antiqua" w:hAnsi="Book Antiqua" w:cs="Arial"/>
          <w:szCs w:val="24"/>
        </w:rPr>
        <w:t>” [8</w:t>
      </w:r>
      <w:r w:rsidR="005449C0" w:rsidRPr="00DA616D">
        <w:rPr>
          <w:rFonts w:ascii="Book Antiqua" w:hAnsi="Book Antiqua" w:cs="Arial"/>
          <w:szCs w:val="24"/>
        </w:rPr>
        <w:t>5</w:t>
      </w:r>
      <w:r w:rsidRPr="00DA616D">
        <w:rPr>
          <w:rFonts w:ascii="Book Antiqua" w:hAnsi="Book Antiqua" w:cs="Arial"/>
          <w:szCs w:val="24"/>
        </w:rPr>
        <w:t>]</w:t>
      </w:r>
      <w:r w:rsidR="00EA1342" w:rsidRPr="00DA616D">
        <w:rPr>
          <w:rFonts w:ascii="Book Antiqua" w:hAnsi="Book Antiqua" w:cs="Arial"/>
          <w:szCs w:val="24"/>
        </w:rPr>
        <w:t>.</w:t>
      </w:r>
    </w:p>
    <w:p w14:paraId="630F77BC" w14:textId="64D368AE" w:rsidR="00EA1342" w:rsidRPr="00DA616D" w:rsidRDefault="00EA1342" w:rsidP="00DA616D">
      <w:pPr>
        <w:tabs>
          <w:tab w:val="left" w:pos="1701"/>
        </w:tabs>
        <w:spacing w:before="120" w:after="0" w:line="240" w:lineRule="auto"/>
        <w:ind w:left="1134"/>
        <w:jc w:val="both"/>
        <w:rPr>
          <w:rFonts w:ascii="Book Antiqua" w:hAnsi="Book Antiqua" w:cs="Arial"/>
          <w:sz w:val="24"/>
          <w:szCs w:val="24"/>
        </w:rPr>
      </w:pPr>
      <w:r w:rsidRPr="00DA616D">
        <w:rPr>
          <w:rFonts w:ascii="Book Antiqua" w:hAnsi="Book Antiqua" w:cs="Arial"/>
          <w:sz w:val="24"/>
          <w:szCs w:val="24"/>
        </w:rPr>
        <w:t>(vi)</w:t>
      </w:r>
      <w:r w:rsidR="00DA616D">
        <w:rPr>
          <w:rFonts w:ascii="Book Antiqua" w:hAnsi="Book Antiqua" w:cs="Arial"/>
          <w:sz w:val="24"/>
          <w:szCs w:val="24"/>
        </w:rPr>
        <w:tab/>
      </w:r>
      <w:r w:rsidR="00C64BEC" w:rsidRPr="00DA616D">
        <w:rPr>
          <w:rFonts w:ascii="Book Antiqua" w:hAnsi="Book Antiqua" w:cs="Arial"/>
          <w:sz w:val="24"/>
          <w:szCs w:val="24"/>
        </w:rPr>
        <w:t xml:space="preserve">the judge </w:t>
      </w:r>
      <w:r w:rsidR="0028766E" w:rsidRPr="00DA616D">
        <w:rPr>
          <w:rFonts w:ascii="Book Antiqua" w:hAnsi="Book Antiqua" w:cs="Arial"/>
          <w:sz w:val="24"/>
          <w:szCs w:val="24"/>
        </w:rPr>
        <w:t xml:space="preserve">identified and </w:t>
      </w:r>
      <w:r w:rsidR="00C64BEC" w:rsidRPr="00DA616D">
        <w:rPr>
          <w:rFonts w:ascii="Book Antiqua" w:hAnsi="Book Antiqua" w:cs="Arial"/>
          <w:sz w:val="24"/>
          <w:szCs w:val="24"/>
        </w:rPr>
        <w:t>considered the immigration history of the appellant and that he had made a previous unsuccessful EEA spouse application</w:t>
      </w:r>
      <w:r w:rsidR="00000695" w:rsidRPr="00DA616D">
        <w:rPr>
          <w:rFonts w:ascii="Book Antiqua" w:hAnsi="Book Antiqua" w:cs="Arial"/>
          <w:sz w:val="24"/>
          <w:szCs w:val="24"/>
        </w:rPr>
        <w:t xml:space="preserve"> and that he raised claim for asylum in bisexuality after arrest.</w:t>
      </w:r>
      <w:r w:rsidR="004A607E" w:rsidRPr="00DA616D">
        <w:rPr>
          <w:rFonts w:ascii="Book Antiqua" w:hAnsi="Book Antiqua" w:cs="Arial"/>
          <w:sz w:val="24"/>
          <w:szCs w:val="24"/>
        </w:rPr>
        <w:t xml:space="preserve">  T</w:t>
      </w:r>
      <w:r w:rsidR="00000695" w:rsidRPr="00DA616D">
        <w:rPr>
          <w:rFonts w:ascii="Book Antiqua" w:hAnsi="Book Antiqua" w:cs="Arial"/>
          <w:sz w:val="24"/>
          <w:szCs w:val="24"/>
        </w:rPr>
        <w:t xml:space="preserve">he judge considered section 8 and whether </w:t>
      </w:r>
      <w:r w:rsidR="004A607E" w:rsidRPr="00DA616D">
        <w:rPr>
          <w:rFonts w:ascii="Book Antiqua" w:hAnsi="Book Antiqua" w:cs="Arial"/>
          <w:sz w:val="24"/>
          <w:szCs w:val="24"/>
        </w:rPr>
        <w:t xml:space="preserve">the </w:t>
      </w:r>
      <w:r w:rsidR="00000695" w:rsidRPr="00DA616D">
        <w:rPr>
          <w:rFonts w:ascii="Book Antiqua" w:hAnsi="Book Antiqua" w:cs="Arial"/>
          <w:sz w:val="24"/>
          <w:szCs w:val="24"/>
        </w:rPr>
        <w:t xml:space="preserve">timing of the claim </w:t>
      </w:r>
      <w:r w:rsidR="004A607E" w:rsidRPr="00DA616D">
        <w:rPr>
          <w:rFonts w:ascii="Book Antiqua" w:hAnsi="Book Antiqua" w:cs="Arial"/>
          <w:sz w:val="24"/>
          <w:szCs w:val="24"/>
        </w:rPr>
        <w:t xml:space="preserve">of </w:t>
      </w:r>
      <w:r w:rsidR="00000695" w:rsidRPr="00DA616D">
        <w:rPr>
          <w:rFonts w:ascii="Book Antiqua" w:hAnsi="Book Antiqua" w:cs="Arial"/>
          <w:sz w:val="24"/>
          <w:szCs w:val="24"/>
        </w:rPr>
        <w:t>bisexuality w</w:t>
      </w:r>
      <w:r w:rsidR="004A607E" w:rsidRPr="00DA616D">
        <w:rPr>
          <w:rFonts w:ascii="Book Antiqua" w:hAnsi="Book Antiqua" w:cs="Arial"/>
          <w:sz w:val="24"/>
          <w:szCs w:val="24"/>
        </w:rPr>
        <w:t xml:space="preserve">as a </w:t>
      </w:r>
      <w:r w:rsidR="00000695" w:rsidRPr="00DA616D">
        <w:rPr>
          <w:rFonts w:ascii="Book Antiqua" w:hAnsi="Book Antiqua" w:cs="Arial"/>
          <w:sz w:val="24"/>
          <w:szCs w:val="24"/>
        </w:rPr>
        <w:t>convenient last-ditch invention</w:t>
      </w:r>
      <w:r w:rsidR="00A24123" w:rsidRPr="00DA616D">
        <w:rPr>
          <w:rFonts w:ascii="Book Antiqua" w:hAnsi="Book Antiqua" w:cs="Arial"/>
          <w:sz w:val="24"/>
          <w:szCs w:val="24"/>
        </w:rPr>
        <w:t xml:space="preserve"> </w:t>
      </w:r>
      <w:r w:rsidR="003A4323" w:rsidRPr="00DA616D">
        <w:rPr>
          <w:rFonts w:ascii="Book Antiqua" w:hAnsi="Book Antiqua" w:cs="Arial"/>
          <w:sz w:val="24"/>
          <w:szCs w:val="24"/>
        </w:rPr>
        <w:t xml:space="preserve">however, </w:t>
      </w:r>
      <w:r w:rsidR="00A24123" w:rsidRPr="00DA616D">
        <w:rPr>
          <w:rFonts w:ascii="Book Antiqua" w:hAnsi="Book Antiqua" w:cs="Arial"/>
          <w:sz w:val="24"/>
          <w:szCs w:val="24"/>
        </w:rPr>
        <w:t xml:space="preserve">the judge noted, </w:t>
      </w:r>
    </w:p>
    <w:p w14:paraId="37CC6AFD" w14:textId="6A24A098" w:rsidR="00A24123" w:rsidRPr="00DA616D" w:rsidRDefault="00A24123" w:rsidP="00DA616D">
      <w:pPr>
        <w:spacing w:before="120" w:after="0" w:line="240" w:lineRule="auto"/>
        <w:ind w:left="1701"/>
        <w:jc w:val="both"/>
        <w:rPr>
          <w:rFonts w:ascii="Book Antiqua" w:hAnsi="Book Antiqua" w:cs="Arial"/>
          <w:i/>
          <w:szCs w:val="24"/>
        </w:rPr>
      </w:pPr>
      <w:r w:rsidRPr="00DA616D">
        <w:rPr>
          <w:rFonts w:ascii="Book Antiqua" w:hAnsi="Book Antiqua" w:cs="Arial"/>
          <w:szCs w:val="24"/>
        </w:rPr>
        <w:t>“</w:t>
      </w:r>
      <w:r w:rsidR="00DA616D">
        <w:rPr>
          <w:rFonts w:ascii="Book Antiqua" w:hAnsi="Book Antiqua" w:cs="Arial"/>
          <w:szCs w:val="24"/>
        </w:rPr>
        <w:t xml:space="preserve">… </w:t>
      </w:r>
      <w:r w:rsidR="00F33344" w:rsidRPr="00DA616D">
        <w:rPr>
          <w:rFonts w:ascii="Book Antiqua" w:hAnsi="Book Antiqua" w:cs="Arial"/>
          <w:i/>
          <w:szCs w:val="24"/>
        </w:rPr>
        <w:t>but there is also truth in the fact that people become alive to their true sexuality at given points in their life, when they need somebody who awakens it. The timing of that is totally unpredictable and without any pattern, across populations. The fact that the appellant was in a troubled and abusive marriage, coinciding with</w:t>
      </w:r>
      <w:r w:rsidR="00BB338A" w:rsidRPr="00DA616D">
        <w:rPr>
          <w:rFonts w:ascii="Book Antiqua" w:hAnsi="Book Antiqua" w:cs="Arial"/>
          <w:i/>
          <w:szCs w:val="24"/>
        </w:rPr>
        <w:t xml:space="preserve"> (perhaps even provoking) a fresh sensitising to the true nature of his sexuality, is perfectly consistent with the time sequence he has recounted</w:t>
      </w:r>
      <w:r w:rsidR="00B7130D" w:rsidRPr="00DA616D">
        <w:rPr>
          <w:rFonts w:ascii="Book Antiqua" w:hAnsi="Book Antiqua" w:cs="Arial"/>
          <w:i/>
          <w:szCs w:val="24"/>
        </w:rPr>
        <w:t>.  H</w:t>
      </w:r>
      <w:r w:rsidR="00BB338A" w:rsidRPr="00DA616D">
        <w:rPr>
          <w:rFonts w:ascii="Book Antiqua" w:hAnsi="Book Antiqua" w:cs="Arial"/>
          <w:i/>
          <w:szCs w:val="24"/>
        </w:rPr>
        <w:t>e has always thought he was heterosexual; things changed and then he realised he was not</w:t>
      </w:r>
      <w:r w:rsidR="00EA2F13" w:rsidRPr="00DA616D">
        <w:rPr>
          <w:rFonts w:ascii="Book Antiqua" w:hAnsi="Book Antiqua" w:cs="Arial"/>
          <w:i/>
          <w:szCs w:val="24"/>
        </w:rPr>
        <w:t>.  T</w:t>
      </w:r>
      <w:r w:rsidR="00BB338A" w:rsidRPr="00DA616D">
        <w:rPr>
          <w:rFonts w:ascii="Book Antiqua" w:hAnsi="Book Antiqua" w:cs="Arial"/>
          <w:i/>
          <w:szCs w:val="24"/>
        </w:rPr>
        <w:t>hat is what can happen</w:t>
      </w:r>
      <w:r w:rsidR="00EA2F13" w:rsidRPr="00DA616D">
        <w:rPr>
          <w:rFonts w:ascii="Book Antiqua" w:hAnsi="Book Antiqua" w:cs="Arial"/>
          <w:i/>
          <w:szCs w:val="24"/>
        </w:rPr>
        <w:t>.  I</w:t>
      </w:r>
      <w:r w:rsidR="009A7444" w:rsidRPr="00DA616D">
        <w:rPr>
          <w:rFonts w:ascii="Book Antiqua" w:hAnsi="Book Antiqua" w:cs="Arial"/>
          <w:i/>
          <w:szCs w:val="24"/>
        </w:rPr>
        <w:t xml:space="preserve">n my view it is equally plausible and equally credible interpretation </w:t>
      </w:r>
      <w:r w:rsidR="002C06A5" w:rsidRPr="00DA616D">
        <w:rPr>
          <w:rFonts w:ascii="Book Antiqua" w:hAnsi="Book Antiqua" w:cs="Arial"/>
          <w:i/>
          <w:szCs w:val="24"/>
        </w:rPr>
        <w:t xml:space="preserve">of </w:t>
      </w:r>
      <w:r w:rsidR="009A7444" w:rsidRPr="00DA616D">
        <w:rPr>
          <w:rFonts w:ascii="Book Antiqua" w:hAnsi="Book Antiqua" w:cs="Arial"/>
          <w:i/>
          <w:szCs w:val="24"/>
        </w:rPr>
        <w:t>the timing that Mr Holt suggests is suspicious. His marriage to the EEA spouse was failing badly and it is no surprise he abandoned that basis of application. Combined with the overall credibility, to the low</w:t>
      </w:r>
      <w:r w:rsidR="003572CA" w:rsidRPr="00DA616D">
        <w:rPr>
          <w:rFonts w:ascii="Book Antiqua" w:hAnsi="Book Antiqua" w:cs="Arial"/>
          <w:i/>
          <w:szCs w:val="24"/>
        </w:rPr>
        <w:t>er</w:t>
      </w:r>
      <w:r w:rsidR="009A7444" w:rsidRPr="00DA616D">
        <w:rPr>
          <w:rFonts w:ascii="Book Antiqua" w:hAnsi="Book Antiqua" w:cs="Arial"/>
          <w:i/>
          <w:szCs w:val="24"/>
        </w:rPr>
        <w:t xml:space="preserve"> standard of proof,</w:t>
      </w:r>
      <w:r w:rsidR="000919D6" w:rsidRPr="00DA616D">
        <w:rPr>
          <w:rFonts w:ascii="Book Antiqua" w:hAnsi="Book Antiqua" w:cs="Arial"/>
          <w:i/>
          <w:szCs w:val="24"/>
        </w:rPr>
        <w:t xml:space="preserve"> of the appellant’s account of his relationship with Mark, I find his credible evidence is enough to show that he is indeed bisexual</w:t>
      </w:r>
      <w:r w:rsidR="003572CA" w:rsidRPr="00DA616D">
        <w:rPr>
          <w:rFonts w:ascii="Book Antiqua" w:hAnsi="Book Antiqua" w:cs="Arial"/>
          <w:i/>
          <w:szCs w:val="24"/>
        </w:rPr>
        <w:t>,</w:t>
      </w:r>
      <w:r w:rsidR="000919D6" w:rsidRPr="00DA616D">
        <w:rPr>
          <w:rFonts w:ascii="Book Antiqua" w:hAnsi="Book Antiqua" w:cs="Arial"/>
          <w:i/>
          <w:szCs w:val="24"/>
        </w:rPr>
        <w:t xml:space="preserve"> notwithstanding the immigration history point that Mr Holt </w:t>
      </w:r>
      <w:r w:rsidR="003572CA" w:rsidRPr="00DA616D">
        <w:rPr>
          <w:rFonts w:ascii="Book Antiqua" w:hAnsi="Book Antiqua" w:cs="Arial"/>
          <w:i/>
          <w:szCs w:val="24"/>
        </w:rPr>
        <w:t xml:space="preserve">[the Ftt Home Office presenting officer] </w:t>
      </w:r>
      <w:r w:rsidR="000919D6" w:rsidRPr="00DA616D">
        <w:rPr>
          <w:rFonts w:ascii="Book Antiqua" w:hAnsi="Book Antiqua" w:cs="Arial"/>
          <w:i/>
          <w:szCs w:val="24"/>
        </w:rPr>
        <w:t>validly makes”.</w:t>
      </w:r>
    </w:p>
    <w:p w14:paraId="677E3869" w14:textId="72F215C5" w:rsidR="00C21F3C" w:rsidRPr="00DA616D" w:rsidRDefault="00C21F3C" w:rsidP="00DA616D">
      <w:pPr>
        <w:tabs>
          <w:tab w:val="left" w:pos="1701"/>
        </w:tabs>
        <w:spacing w:before="120" w:after="0" w:line="240" w:lineRule="auto"/>
        <w:ind w:left="1134"/>
        <w:jc w:val="both"/>
        <w:rPr>
          <w:rFonts w:ascii="Book Antiqua" w:hAnsi="Book Antiqua" w:cs="Arial"/>
          <w:sz w:val="24"/>
          <w:szCs w:val="24"/>
        </w:rPr>
      </w:pPr>
      <w:r w:rsidRPr="00DA616D">
        <w:rPr>
          <w:rFonts w:ascii="Book Antiqua" w:hAnsi="Book Antiqua" w:cs="Arial"/>
          <w:sz w:val="24"/>
          <w:szCs w:val="24"/>
        </w:rPr>
        <w:t>(vi)</w:t>
      </w:r>
      <w:r w:rsidR="00DA616D">
        <w:rPr>
          <w:rFonts w:ascii="Book Antiqua" w:hAnsi="Book Antiqua" w:cs="Arial"/>
          <w:sz w:val="24"/>
          <w:szCs w:val="24"/>
        </w:rPr>
        <w:tab/>
      </w:r>
      <w:r w:rsidRPr="00DA616D">
        <w:rPr>
          <w:rFonts w:ascii="Book Antiqua" w:hAnsi="Book Antiqua" w:cs="Arial"/>
          <w:sz w:val="24"/>
          <w:szCs w:val="24"/>
        </w:rPr>
        <w:t xml:space="preserve">at [88], </w:t>
      </w:r>
      <w:r w:rsidR="00334208" w:rsidRPr="00DA616D">
        <w:rPr>
          <w:rFonts w:ascii="Book Antiqua" w:hAnsi="Book Antiqua" w:cs="Arial"/>
          <w:sz w:val="24"/>
          <w:szCs w:val="24"/>
        </w:rPr>
        <w:t xml:space="preserve">the judge found the points raised by the respondent as to credibility did not materially damage the appellant’s appeal </w:t>
      </w:r>
      <w:r w:rsidR="00C549F7" w:rsidRPr="00DA616D">
        <w:rPr>
          <w:rFonts w:ascii="Book Antiqua" w:hAnsi="Book Antiqua" w:cs="Arial"/>
          <w:sz w:val="24"/>
          <w:szCs w:val="24"/>
        </w:rPr>
        <w:t xml:space="preserve">or </w:t>
      </w:r>
      <w:r w:rsidR="00334208" w:rsidRPr="00DA616D">
        <w:rPr>
          <w:rFonts w:ascii="Book Antiqua" w:hAnsi="Book Antiqua" w:cs="Arial"/>
          <w:sz w:val="24"/>
          <w:szCs w:val="24"/>
        </w:rPr>
        <w:t xml:space="preserve">have a major bearing </w:t>
      </w:r>
      <w:r w:rsidR="00C549F7" w:rsidRPr="00DA616D">
        <w:rPr>
          <w:rFonts w:ascii="Book Antiqua" w:hAnsi="Book Antiqua" w:cs="Arial"/>
          <w:sz w:val="24"/>
          <w:szCs w:val="24"/>
        </w:rPr>
        <w:t xml:space="preserve">on the </w:t>
      </w:r>
      <w:r w:rsidR="00334208" w:rsidRPr="00DA616D">
        <w:rPr>
          <w:rFonts w:ascii="Book Antiqua" w:hAnsi="Book Antiqua" w:cs="Arial"/>
          <w:sz w:val="24"/>
          <w:szCs w:val="24"/>
        </w:rPr>
        <w:lastRenderedPageBreak/>
        <w:t xml:space="preserve">truthfulness of the core of his story which the judge accepted. The key finding of fact which eclipsed all others </w:t>
      </w:r>
      <w:r w:rsidR="00C549F7" w:rsidRPr="00DA616D">
        <w:rPr>
          <w:rFonts w:ascii="Book Antiqua" w:hAnsi="Book Antiqua" w:cs="Arial"/>
          <w:sz w:val="24"/>
          <w:szCs w:val="24"/>
        </w:rPr>
        <w:t xml:space="preserve">and was </w:t>
      </w:r>
      <w:r w:rsidR="00334208" w:rsidRPr="00DA616D">
        <w:rPr>
          <w:rFonts w:ascii="Book Antiqua" w:hAnsi="Book Antiqua" w:cs="Arial"/>
          <w:sz w:val="24"/>
          <w:szCs w:val="24"/>
        </w:rPr>
        <w:t>important</w:t>
      </w:r>
      <w:r w:rsidR="00C549F7" w:rsidRPr="00DA616D">
        <w:rPr>
          <w:rFonts w:ascii="Book Antiqua" w:hAnsi="Book Antiqua" w:cs="Arial"/>
          <w:sz w:val="24"/>
          <w:szCs w:val="24"/>
        </w:rPr>
        <w:t xml:space="preserve"> was that</w:t>
      </w:r>
      <w:r w:rsidR="00334208" w:rsidRPr="00DA616D">
        <w:rPr>
          <w:rFonts w:ascii="Book Antiqua" w:hAnsi="Book Antiqua" w:cs="Arial"/>
          <w:sz w:val="24"/>
          <w:szCs w:val="24"/>
        </w:rPr>
        <w:t xml:space="preserve"> the appellant was bisexual.</w:t>
      </w:r>
    </w:p>
    <w:p w14:paraId="1F287CA5" w14:textId="6ACD464F" w:rsidR="00334208" w:rsidRPr="00DA616D" w:rsidRDefault="00334208" w:rsidP="00DA616D">
      <w:pPr>
        <w:tabs>
          <w:tab w:val="left" w:pos="1701"/>
        </w:tabs>
        <w:spacing w:before="120" w:after="0" w:line="240" w:lineRule="auto"/>
        <w:ind w:left="1134"/>
        <w:jc w:val="both"/>
        <w:rPr>
          <w:rFonts w:ascii="Book Antiqua" w:hAnsi="Book Antiqua" w:cs="Arial"/>
          <w:sz w:val="24"/>
          <w:szCs w:val="24"/>
        </w:rPr>
      </w:pPr>
      <w:r w:rsidRPr="00DA616D">
        <w:rPr>
          <w:rFonts w:ascii="Book Antiqua" w:hAnsi="Book Antiqua" w:cs="Arial"/>
          <w:sz w:val="24"/>
          <w:szCs w:val="24"/>
        </w:rPr>
        <w:t>(vii)</w:t>
      </w:r>
      <w:r w:rsidR="00DA616D">
        <w:rPr>
          <w:rFonts w:ascii="Book Antiqua" w:hAnsi="Book Antiqua" w:cs="Arial"/>
          <w:sz w:val="24"/>
          <w:szCs w:val="24"/>
        </w:rPr>
        <w:tab/>
      </w:r>
      <w:r w:rsidR="00127921" w:rsidRPr="00DA616D">
        <w:rPr>
          <w:rFonts w:ascii="Book Antiqua" w:hAnsi="Book Antiqua" w:cs="Arial"/>
          <w:sz w:val="24"/>
          <w:szCs w:val="24"/>
        </w:rPr>
        <w:t xml:space="preserve">at [89] the judge made this finding </w:t>
      </w:r>
      <w:r w:rsidR="007416A7" w:rsidRPr="00DA616D">
        <w:rPr>
          <w:rFonts w:ascii="Book Antiqua" w:hAnsi="Book Antiqua" w:cs="Arial"/>
          <w:sz w:val="24"/>
          <w:szCs w:val="24"/>
        </w:rPr>
        <w:t xml:space="preserve">“it is not expressly challenged by the respondent that in the event of his bisexuality claim being credible, he would be at risk of persecution, </w:t>
      </w:r>
      <w:r w:rsidR="00A2027C" w:rsidRPr="00DA616D">
        <w:rPr>
          <w:rFonts w:ascii="Book Antiqua" w:hAnsi="Book Antiqua" w:cs="Arial"/>
          <w:sz w:val="24"/>
          <w:szCs w:val="24"/>
        </w:rPr>
        <w:t>mis treatment, harm or death</w:t>
      </w:r>
      <w:r w:rsidR="00FC6D0B" w:rsidRPr="00DA616D">
        <w:rPr>
          <w:rFonts w:ascii="Book Antiqua" w:hAnsi="Book Antiqua" w:cs="Arial"/>
          <w:sz w:val="24"/>
          <w:szCs w:val="24"/>
        </w:rPr>
        <w:t xml:space="preserve">”.  </w:t>
      </w:r>
      <w:r w:rsidR="007D3620" w:rsidRPr="00DA616D">
        <w:rPr>
          <w:rFonts w:ascii="Book Antiqua" w:hAnsi="Book Antiqua" w:cs="Arial"/>
          <w:sz w:val="24"/>
          <w:szCs w:val="24"/>
        </w:rPr>
        <w:t>The judge made a reference to the US State Department report on human rights practices with reference to Senegal “hundreds in jail for being gay</w:t>
      </w:r>
      <w:r w:rsidR="00483B95" w:rsidRPr="00DA616D">
        <w:rPr>
          <w:rFonts w:ascii="Book Antiqua" w:hAnsi="Book Antiqua" w:cs="Arial"/>
          <w:sz w:val="24"/>
          <w:szCs w:val="24"/>
        </w:rPr>
        <w:t xml:space="preserve"> (Senegal)”</w:t>
      </w:r>
      <w:r w:rsidR="00A90986" w:rsidRPr="00DA616D">
        <w:rPr>
          <w:rFonts w:ascii="Book Antiqua" w:hAnsi="Book Antiqua" w:cs="Arial"/>
          <w:sz w:val="24"/>
          <w:szCs w:val="24"/>
        </w:rPr>
        <w:t>.</w:t>
      </w:r>
    </w:p>
    <w:p w14:paraId="574814DA" w14:textId="77777777" w:rsidR="00AA5C72" w:rsidRPr="00DA616D" w:rsidRDefault="00AA5C72" w:rsidP="00DA616D">
      <w:pPr>
        <w:spacing w:before="240" w:after="0" w:line="240" w:lineRule="auto"/>
        <w:jc w:val="both"/>
        <w:rPr>
          <w:rFonts w:ascii="Book Antiqua" w:hAnsi="Book Antiqua" w:cs="Arial"/>
          <w:b/>
          <w:sz w:val="24"/>
          <w:szCs w:val="24"/>
          <w:u w:val="single"/>
        </w:rPr>
      </w:pPr>
      <w:r w:rsidRPr="00DA616D">
        <w:rPr>
          <w:rFonts w:ascii="Book Antiqua" w:hAnsi="Book Antiqua" w:cs="Arial"/>
          <w:b/>
          <w:sz w:val="24"/>
          <w:szCs w:val="24"/>
          <w:u w:val="single"/>
        </w:rPr>
        <w:t>Application for Permission to Appeal</w:t>
      </w:r>
    </w:p>
    <w:p w14:paraId="0354D58D" w14:textId="135B8894" w:rsidR="00AA5C72" w:rsidRPr="00DA616D" w:rsidRDefault="00AA5C72" w:rsidP="00DA616D">
      <w:pPr>
        <w:numPr>
          <w:ilvl w:val="0"/>
          <w:numId w:val="1"/>
        </w:numPr>
        <w:tabs>
          <w:tab w:val="clear" w:pos="720"/>
        </w:tabs>
        <w:spacing w:before="240" w:after="0" w:line="240" w:lineRule="auto"/>
        <w:ind w:left="567" w:hanging="567"/>
        <w:jc w:val="both"/>
        <w:rPr>
          <w:rFonts w:ascii="Book Antiqua" w:hAnsi="Book Antiqua" w:cs="Arial"/>
          <w:sz w:val="24"/>
          <w:szCs w:val="24"/>
        </w:rPr>
      </w:pPr>
      <w:r w:rsidRPr="00DA616D">
        <w:rPr>
          <w:rFonts w:ascii="Book Antiqua" w:hAnsi="Book Antiqua" w:cs="Arial"/>
          <w:sz w:val="24"/>
          <w:szCs w:val="24"/>
        </w:rPr>
        <w:t xml:space="preserve">The application for permission </w:t>
      </w:r>
      <w:r w:rsidR="00154EF2" w:rsidRPr="00DA616D">
        <w:rPr>
          <w:rFonts w:ascii="Book Antiqua" w:hAnsi="Book Antiqua" w:cs="Arial"/>
          <w:sz w:val="24"/>
          <w:szCs w:val="24"/>
        </w:rPr>
        <w:t>set out the following</w:t>
      </w:r>
      <w:r w:rsidR="00410315" w:rsidRPr="00DA616D">
        <w:rPr>
          <w:rFonts w:ascii="Book Antiqua" w:hAnsi="Book Antiqua" w:cs="Arial"/>
          <w:sz w:val="24"/>
          <w:szCs w:val="24"/>
        </w:rPr>
        <w:t>:</w:t>
      </w:r>
    </w:p>
    <w:p w14:paraId="16DEAC16" w14:textId="0A9C4021" w:rsidR="00410315" w:rsidRPr="00DA616D" w:rsidRDefault="00A90986" w:rsidP="00DA616D">
      <w:pPr>
        <w:spacing w:before="120" w:after="0" w:line="240" w:lineRule="auto"/>
        <w:ind w:left="1134"/>
        <w:jc w:val="both"/>
        <w:rPr>
          <w:rFonts w:ascii="Book Antiqua" w:hAnsi="Book Antiqua" w:cs="Arial"/>
          <w:sz w:val="24"/>
          <w:szCs w:val="24"/>
        </w:rPr>
      </w:pPr>
      <w:r w:rsidRPr="00DA616D">
        <w:rPr>
          <w:rFonts w:ascii="Book Antiqua" w:hAnsi="Book Antiqua" w:cs="Arial"/>
          <w:sz w:val="24"/>
          <w:szCs w:val="24"/>
        </w:rPr>
        <w:t>T</w:t>
      </w:r>
      <w:r w:rsidR="00044281" w:rsidRPr="00DA616D">
        <w:rPr>
          <w:rFonts w:ascii="Book Antiqua" w:hAnsi="Book Antiqua" w:cs="Arial"/>
          <w:sz w:val="24"/>
          <w:szCs w:val="24"/>
        </w:rPr>
        <w:t>he judge had erred in failing to give reasons why this appellant was found to be illiterate when he arrived on a Tier 5 sponsor Visa which in essence required</w:t>
      </w:r>
      <w:r w:rsidR="00E76590" w:rsidRPr="00DA616D">
        <w:rPr>
          <w:rFonts w:ascii="Book Antiqua" w:hAnsi="Book Antiqua" w:cs="Arial"/>
          <w:sz w:val="24"/>
          <w:szCs w:val="24"/>
        </w:rPr>
        <w:t xml:space="preserve"> an educational background.</w:t>
      </w:r>
    </w:p>
    <w:p w14:paraId="182AC780" w14:textId="0553F455" w:rsidR="00E76590" w:rsidRPr="00DA616D" w:rsidRDefault="00E76590" w:rsidP="00DA616D">
      <w:pPr>
        <w:spacing w:before="120" w:after="0" w:line="240" w:lineRule="auto"/>
        <w:ind w:left="1134"/>
        <w:jc w:val="both"/>
        <w:rPr>
          <w:rFonts w:ascii="Book Antiqua" w:hAnsi="Book Antiqua" w:cs="Arial"/>
          <w:sz w:val="24"/>
          <w:szCs w:val="24"/>
        </w:rPr>
      </w:pPr>
      <w:r w:rsidRPr="00DA616D">
        <w:rPr>
          <w:rFonts w:ascii="Book Antiqua" w:hAnsi="Book Antiqua" w:cs="Arial"/>
          <w:sz w:val="24"/>
          <w:szCs w:val="24"/>
        </w:rPr>
        <w:t>Just having sex on occasions with someone d</w:t>
      </w:r>
      <w:r w:rsidR="003E4595" w:rsidRPr="00DA616D">
        <w:rPr>
          <w:rFonts w:ascii="Book Antiqua" w:hAnsi="Book Antiqua" w:cs="Arial"/>
          <w:sz w:val="24"/>
          <w:szCs w:val="24"/>
        </w:rPr>
        <w:t>id</w:t>
      </w:r>
      <w:r w:rsidRPr="00DA616D">
        <w:rPr>
          <w:rFonts w:ascii="Book Antiqua" w:hAnsi="Book Antiqua" w:cs="Arial"/>
          <w:sz w:val="24"/>
          <w:szCs w:val="24"/>
        </w:rPr>
        <w:t xml:space="preserve"> not make someone bisexual</w:t>
      </w:r>
    </w:p>
    <w:p w14:paraId="5259B08A" w14:textId="6A16B803" w:rsidR="00E76590" w:rsidRPr="00DA616D" w:rsidRDefault="003E4595" w:rsidP="00DA616D">
      <w:pPr>
        <w:spacing w:before="120" w:after="0" w:line="240" w:lineRule="auto"/>
        <w:ind w:left="1134"/>
        <w:jc w:val="both"/>
        <w:rPr>
          <w:rFonts w:ascii="Book Antiqua" w:hAnsi="Book Antiqua" w:cs="Arial"/>
          <w:sz w:val="24"/>
          <w:szCs w:val="24"/>
        </w:rPr>
      </w:pPr>
      <w:r w:rsidRPr="00DA616D">
        <w:rPr>
          <w:rFonts w:ascii="Book Antiqua" w:hAnsi="Book Antiqua" w:cs="Arial"/>
          <w:sz w:val="24"/>
          <w:szCs w:val="24"/>
        </w:rPr>
        <w:t>T</w:t>
      </w:r>
      <w:r w:rsidR="005120F9" w:rsidRPr="00DA616D">
        <w:rPr>
          <w:rFonts w:ascii="Book Antiqua" w:hAnsi="Book Antiqua" w:cs="Arial"/>
          <w:sz w:val="24"/>
          <w:szCs w:val="24"/>
        </w:rPr>
        <w:t xml:space="preserve">he judge had failed to apply the principles and </w:t>
      </w:r>
      <w:r w:rsidR="005120F9" w:rsidRPr="00DA616D">
        <w:rPr>
          <w:rFonts w:ascii="Book Antiqua" w:hAnsi="Book Antiqua" w:cs="Arial"/>
          <w:b/>
          <w:sz w:val="24"/>
          <w:szCs w:val="24"/>
          <w:u w:val="single"/>
        </w:rPr>
        <w:t xml:space="preserve">HJ </w:t>
      </w:r>
      <w:r w:rsidRPr="00DA616D">
        <w:rPr>
          <w:rFonts w:ascii="Book Antiqua" w:hAnsi="Book Antiqua" w:cs="Arial"/>
          <w:b/>
          <w:sz w:val="24"/>
          <w:szCs w:val="24"/>
          <w:u w:val="single"/>
        </w:rPr>
        <w:t>(</w:t>
      </w:r>
      <w:r w:rsidR="005120F9" w:rsidRPr="00DA616D">
        <w:rPr>
          <w:rFonts w:ascii="Book Antiqua" w:hAnsi="Book Antiqua" w:cs="Arial"/>
          <w:b/>
          <w:sz w:val="24"/>
          <w:szCs w:val="24"/>
          <w:u w:val="single"/>
        </w:rPr>
        <w:t>Iran</w:t>
      </w:r>
      <w:r w:rsidRPr="00DA616D">
        <w:rPr>
          <w:rFonts w:ascii="Book Antiqua" w:hAnsi="Book Antiqua" w:cs="Arial"/>
          <w:b/>
          <w:sz w:val="24"/>
          <w:szCs w:val="24"/>
          <w:u w:val="single"/>
        </w:rPr>
        <w:t>)</w:t>
      </w:r>
      <w:r w:rsidR="005120F9" w:rsidRPr="00DA616D">
        <w:rPr>
          <w:rFonts w:ascii="Book Antiqua" w:hAnsi="Book Antiqua" w:cs="Arial"/>
          <w:sz w:val="24"/>
          <w:szCs w:val="24"/>
        </w:rPr>
        <w:t xml:space="preserve"> and it was incumbent upon the judge to consider how this appellant would behave if returned to Senegal. A failure to consider this led to the judge</w:t>
      </w:r>
      <w:r w:rsidR="00E733DA" w:rsidRPr="00DA616D">
        <w:rPr>
          <w:rFonts w:ascii="Book Antiqua" w:hAnsi="Book Antiqua" w:cs="Arial"/>
          <w:sz w:val="24"/>
          <w:szCs w:val="24"/>
        </w:rPr>
        <w:t xml:space="preserve"> making a material error law</w:t>
      </w:r>
      <w:r w:rsidR="00B25E2D" w:rsidRPr="00DA616D">
        <w:rPr>
          <w:rFonts w:ascii="Book Antiqua" w:hAnsi="Book Antiqua" w:cs="Arial"/>
          <w:sz w:val="24"/>
          <w:szCs w:val="24"/>
        </w:rPr>
        <w:t>. The evidence was that this appellant was clearly willing to do anything to improve the United Kingdom.</w:t>
      </w:r>
    </w:p>
    <w:p w14:paraId="52805BEE" w14:textId="620148DD" w:rsidR="00DE6642" w:rsidRPr="00DA616D" w:rsidRDefault="00C123E0" w:rsidP="00DA616D">
      <w:pPr>
        <w:numPr>
          <w:ilvl w:val="0"/>
          <w:numId w:val="1"/>
        </w:numPr>
        <w:tabs>
          <w:tab w:val="clear" w:pos="720"/>
        </w:tabs>
        <w:spacing w:before="240" w:after="0" w:line="240" w:lineRule="auto"/>
        <w:ind w:left="567" w:hanging="567"/>
        <w:jc w:val="both"/>
        <w:rPr>
          <w:rFonts w:ascii="Book Antiqua" w:hAnsi="Book Antiqua" w:cs="Arial"/>
          <w:sz w:val="24"/>
          <w:szCs w:val="24"/>
        </w:rPr>
      </w:pPr>
      <w:r w:rsidRPr="00DA616D">
        <w:rPr>
          <w:rFonts w:ascii="Book Antiqua" w:hAnsi="Book Antiqua" w:cs="Arial"/>
          <w:sz w:val="24"/>
          <w:szCs w:val="24"/>
        </w:rPr>
        <w:t xml:space="preserve">The </w:t>
      </w:r>
      <w:r w:rsidR="003A227F" w:rsidRPr="00DA616D">
        <w:rPr>
          <w:rFonts w:ascii="Book Antiqua" w:hAnsi="Book Antiqua" w:cs="Arial"/>
          <w:sz w:val="24"/>
          <w:szCs w:val="24"/>
        </w:rPr>
        <w:t>F</w:t>
      </w:r>
      <w:r w:rsidRPr="00DA616D">
        <w:rPr>
          <w:rFonts w:ascii="Book Antiqua" w:hAnsi="Book Antiqua" w:cs="Arial"/>
          <w:sz w:val="24"/>
          <w:szCs w:val="24"/>
        </w:rPr>
        <w:t>irst-tier Tribunal granted permission in relation to the analysis of</w:t>
      </w:r>
      <w:r w:rsidR="003A227F" w:rsidRPr="00DA616D">
        <w:rPr>
          <w:rFonts w:ascii="Book Antiqua" w:hAnsi="Book Antiqua" w:cs="Arial"/>
          <w:sz w:val="24"/>
          <w:szCs w:val="24"/>
        </w:rPr>
        <w:t xml:space="preserve"> </w:t>
      </w:r>
      <w:r w:rsidR="003A227F" w:rsidRPr="00DA616D">
        <w:rPr>
          <w:rFonts w:ascii="Book Antiqua" w:hAnsi="Book Antiqua" w:cs="Arial"/>
          <w:b/>
          <w:sz w:val="24"/>
          <w:szCs w:val="24"/>
          <w:u w:val="single"/>
        </w:rPr>
        <w:t>HJ (Iran)</w:t>
      </w:r>
      <w:r w:rsidR="003A227F" w:rsidRPr="00DA616D">
        <w:rPr>
          <w:rFonts w:ascii="Book Antiqua" w:hAnsi="Book Antiqua" w:cs="Arial"/>
          <w:sz w:val="24"/>
          <w:szCs w:val="24"/>
        </w:rPr>
        <w:t xml:space="preserve"> </w:t>
      </w:r>
      <w:r w:rsidRPr="00DA616D">
        <w:rPr>
          <w:rFonts w:ascii="Book Antiqua" w:hAnsi="Book Antiqua" w:cs="Arial"/>
          <w:sz w:val="24"/>
          <w:szCs w:val="24"/>
        </w:rPr>
        <w:t>but rejected permission on the basis that the findings regarding bisexuality were irrational</w:t>
      </w:r>
      <w:r w:rsidR="00DE6642" w:rsidRPr="00DA616D">
        <w:rPr>
          <w:rFonts w:ascii="Book Antiqua" w:hAnsi="Book Antiqua" w:cs="Arial"/>
          <w:sz w:val="24"/>
          <w:szCs w:val="24"/>
        </w:rPr>
        <w:t xml:space="preserve">. On renewal to the Upper Tribunal permission was </w:t>
      </w:r>
      <w:r w:rsidR="00BA2314" w:rsidRPr="00DA616D">
        <w:rPr>
          <w:rFonts w:ascii="Book Antiqua" w:hAnsi="Book Antiqua" w:cs="Arial"/>
          <w:sz w:val="24"/>
          <w:szCs w:val="24"/>
        </w:rPr>
        <w:t xml:space="preserve">also </w:t>
      </w:r>
      <w:r w:rsidR="00DE6642" w:rsidRPr="00DA616D">
        <w:rPr>
          <w:rFonts w:ascii="Book Antiqua" w:hAnsi="Book Antiqua" w:cs="Arial"/>
          <w:sz w:val="24"/>
          <w:szCs w:val="24"/>
        </w:rPr>
        <w:t>granted in relation to the reasonableness of finding that the appellant was bisexual.</w:t>
      </w:r>
    </w:p>
    <w:p w14:paraId="68913A58" w14:textId="77777777" w:rsidR="00AA5C72" w:rsidRPr="00DA616D" w:rsidRDefault="00AA5C72" w:rsidP="00DA616D">
      <w:pPr>
        <w:spacing w:before="240" w:after="0" w:line="240" w:lineRule="auto"/>
        <w:jc w:val="both"/>
        <w:rPr>
          <w:rFonts w:ascii="Book Antiqua" w:hAnsi="Book Antiqua" w:cs="Arial"/>
          <w:b/>
          <w:sz w:val="24"/>
          <w:szCs w:val="24"/>
          <w:u w:val="single"/>
        </w:rPr>
      </w:pPr>
      <w:r w:rsidRPr="00DA616D">
        <w:rPr>
          <w:rFonts w:ascii="Book Antiqua" w:hAnsi="Book Antiqua" w:cs="Arial"/>
          <w:b/>
          <w:sz w:val="24"/>
          <w:szCs w:val="24"/>
          <w:u w:val="single"/>
        </w:rPr>
        <w:t>The Hearing</w:t>
      </w:r>
    </w:p>
    <w:p w14:paraId="26781DAF" w14:textId="689BAC76" w:rsidR="00AA5C72" w:rsidRPr="00DA616D" w:rsidRDefault="00AA5C72" w:rsidP="00DA616D">
      <w:pPr>
        <w:numPr>
          <w:ilvl w:val="0"/>
          <w:numId w:val="1"/>
        </w:numPr>
        <w:tabs>
          <w:tab w:val="clear" w:pos="720"/>
        </w:tabs>
        <w:spacing w:before="240" w:after="0" w:line="240" w:lineRule="auto"/>
        <w:ind w:left="567" w:hanging="567"/>
        <w:jc w:val="both"/>
        <w:rPr>
          <w:rFonts w:ascii="Book Antiqua" w:hAnsi="Book Antiqua" w:cs="Arial"/>
          <w:sz w:val="24"/>
          <w:szCs w:val="24"/>
        </w:rPr>
      </w:pPr>
      <w:r w:rsidRPr="00DA616D">
        <w:rPr>
          <w:rFonts w:ascii="Book Antiqua" w:hAnsi="Book Antiqua" w:cs="Arial"/>
          <w:sz w:val="24"/>
          <w:szCs w:val="24"/>
        </w:rPr>
        <w:t>At the hearing</w:t>
      </w:r>
      <w:r w:rsidR="00E20A97" w:rsidRPr="00DA616D">
        <w:rPr>
          <w:rFonts w:ascii="Book Antiqua" w:hAnsi="Book Antiqua" w:cs="Arial"/>
          <w:sz w:val="24"/>
          <w:szCs w:val="24"/>
        </w:rPr>
        <w:t xml:space="preserve"> before me Mr Mills accepted that the points made with respect to the </w:t>
      </w:r>
      <w:r w:rsidR="007F1398" w:rsidRPr="00DA616D">
        <w:rPr>
          <w:rFonts w:ascii="Book Antiqua" w:hAnsi="Book Antiqua" w:cs="Arial"/>
          <w:sz w:val="24"/>
          <w:szCs w:val="24"/>
        </w:rPr>
        <w:t xml:space="preserve">Tier 5 Visa was not sustainable </w:t>
      </w:r>
      <w:r w:rsidR="007D0CC3" w:rsidRPr="00DA616D">
        <w:rPr>
          <w:rFonts w:ascii="Book Antiqua" w:hAnsi="Book Antiqua" w:cs="Arial"/>
          <w:sz w:val="24"/>
          <w:szCs w:val="24"/>
        </w:rPr>
        <w:t xml:space="preserve">because the papers indicated the Visa was granted in relation to </w:t>
      </w:r>
      <w:r w:rsidR="00BA2314" w:rsidRPr="00DA616D">
        <w:rPr>
          <w:rFonts w:ascii="Book Antiqua" w:hAnsi="Book Antiqua" w:cs="Arial"/>
          <w:sz w:val="24"/>
          <w:szCs w:val="24"/>
        </w:rPr>
        <w:t>‘</w:t>
      </w:r>
      <w:r w:rsidR="007D0CC3" w:rsidRPr="00DA616D">
        <w:rPr>
          <w:rFonts w:ascii="Book Antiqua" w:hAnsi="Book Antiqua" w:cs="Arial"/>
          <w:sz w:val="24"/>
          <w:szCs w:val="24"/>
        </w:rPr>
        <w:t>sporting prowess</w:t>
      </w:r>
      <w:r w:rsidR="00BA2314" w:rsidRPr="00DA616D">
        <w:rPr>
          <w:rFonts w:ascii="Book Antiqua" w:hAnsi="Book Antiqua" w:cs="Arial"/>
          <w:sz w:val="24"/>
          <w:szCs w:val="24"/>
        </w:rPr>
        <w:t>’</w:t>
      </w:r>
      <w:r w:rsidR="007D0CC3" w:rsidRPr="00DA616D">
        <w:rPr>
          <w:rFonts w:ascii="Book Antiqua" w:hAnsi="Book Antiqua" w:cs="Arial"/>
          <w:sz w:val="24"/>
          <w:szCs w:val="24"/>
        </w:rPr>
        <w:t xml:space="preserve"> and he conceded that this was not a good point and</w:t>
      </w:r>
      <w:r w:rsidR="00BA2314" w:rsidRPr="00DA616D">
        <w:rPr>
          <w:rFonts w:ascii="Book Antiqua" w:hAnsi="Book Antiqua" w:cs="Arial"/>
          <w:sz w:val="24"/>
          <w:szCs w:val="24"/>
        </w:rPr>
        <w:t xml:space="preserve"> he was not pursuing it</w:t>
      </w:r>
      <w:r w:rsidR="007D0CC3" w:rsidRPr="00DA616D">
        <w:rPr>
          <w:rFonts w:ascii="Book Antiqua" w:hAnsi="Book Antiqua" w:cs="Arial"/>
          <w:sz w:val="24"/>
          <w:szCs w:val="24"/>
        </w:rPr>
        <w:t>.</w:t>
      </w:r>
    </w:p>
    <w:p w14:paraId="30A764B2" w14:textId="240BB770" w:rsidR="007D0CC3" w:rsidRPr="00DA616D" w:rsidRDefault="007D0CC3" w:rsidP="00DA616D">
      <w:pPr>
        <w:numPr>
          <w:ilvl w:val="0"/>
          <w:numId w:val="1"/>
        </w:numPr>
        <w:tabs>
          <w:tab w:val="clear" w:pos="720"/>
        </w:tabs>
        <w:spacing w:before="240" w:after="0" w:line="240" w:lineRule="auto"/>
        <w:ind w:left="567" w:hanging="567"/>
        <w:jc w:val="both"/>
        <w:rPr>
          <w:rFonts w:ascii="Book Antiqua" w:hAnsi="Book Antiqua" w:cs="Arial"/>
          <w:sz w:val="24"/>
          <w:szCs w:val="24"/>
        </w:rPr>
      </w:pPr>
      <w:r w:rsidRPr="00DA616D">
        <w:rPr>
          <w:rFonts w:ascii="Book Antiqua" w:hAnsi="Book Antiqua" w:cs="Arial"/>
          <w:sz w:val="24"/>
          <w:szCs w:val="24"/>
        </w:rPr>
        <w:t>Mr Mills relied on the grounds</w:t>
      </w:r>
      <w:r w:rsidR="00DD1FF6" w:rsidRPr="00DA616D">
        <w:rPr>
          <w:rFonts w:ascii="Book Antiqua" w:hAnsi="Book Antiqua" w:cs="Arial"/>
          <w:sz w:val="24"/>
          <w:szCs w:val="24"/>
        </w:rPr>
        <w:t xml:space="preserve"> and the key question was how was the appellant to behave in the future should he return to Senegal</w:t>
      </w:r>
      <w:r w:rsidR="007054E0" w:rsidRPr="00DA616D">
        <w:rPr>
          <w:rFonts w:ascii="Book Antiqua" w:hAnsi="Book Antiqua" w:cs="Arial"/>
          <w:sz w:val="24"/>
          <w:szCs w:val="24"/>
        </w:rPr>
        <w:t>?</w:t>
      </w:r>
      <w:r w:rsidR="00075693" w:rsidRPr="00DA616D">
        <w:rPr>
          <w:rFonts w:ascii="Book Antiqua" w:hAnsi="Book Antiqua" w:cs="Arial"/>
          <w:sz w:val="24"/>
          <w:szCs w:val="24"/>
        </w:rPr>
        <w:t xml:space="preserve"> He accepted that the reference </w:t>
      </w:r>
      <w:r w:rsidR="007D5C3A" w:rsidRPr="00DA616D">
        <w:rPr>
          <w:rFonts w:ascii="Book Antiqua" w:hAnsi="Book Antiqua" w:cs="Arial"/>
          <w:sz w:val="24"/>
          <w:szCs w:val="24"/>
        </w:rPr>
        <w:t>to paragraph [</w:t>
      </w:r>
      <w:r w:rsidR="00075693" w:rsidRPr="00DA616D">
        <w:rPr>
          <w:rFonts w:ascii="Book Antiqua" w:hAnsi="Book Antiqua" w:cs="Arial"/>
          <w:sz w:val="24"/>
          <w:szCs w:val="24"/>
        </w:rPr>
        <w:t>89</w:t>
      </w:r>
      <w:r w:rsidR="007D5C3A" w:rsidRPr="00DA616D">
        <w:rPr>
          <w:rFonts w:ascii="Book Antiqua" w:hAnsi="Book Antiqua" w:cs="Arial"/>
          <w:sz w:val="24"/>
          <w:szCs w:val="24"/>
        </w:rPr>
        <w:t>]</w:t>
      </w:r>
      <w:r w:rsidR="00075693" w:rsidRPr="00DA616D">
        <w:rPr>
          <w:rFonts w:ascii="Book Antiqua" w:hAnsi="Book Antiqua" w:cs="Arial"/>
          <w:sz w:val="24"/>
          <w:szCs w:val="24"/>
        </w:rPr>
        <w:t xml:space="preserve"> did not flesh out a challenge on this ground</w:t>
      </w:r>
      <w:r w:rsidR="00382A99" w:rsidRPr="00DA616D">
        <w:rPr>
          <w:rFonts w:ascii="Book Antiqua" w:hAnsi="Book Antiqua" w:cs="Arial"/>
          <w:sz w:val="24"/>
          <w:szCs w:val="24"/>
        </w:rPr>
        <w:t>.</w:t>
      </w:r>
    </w:p>
    <w:p w14:paraId="7CE59B37" w14:textId="14E53907" w:rsidR="00522E69" w:rsidRPr="00DA616D" w:rsidRDefault="00F15AB7" w:rsidP="00DA616D">
      <w:pPr>
        <w:numPr>
          <w:ilvl w:val="0"/>
          <w:numId w:val="1"/>
        </w:numPr>
        <w:tabs>
          <w:tab w:val="clear" w:pos="720"/>
        </w:tabs>
        <w:spacing w:before="240" w:after="0" w:line="240" w:lineRule="auto"/>
        <w:ind w:left="567" w:hanging="567"/>
        <w:jc w:val="both"/>
        <w:rPr>
          <w:rFonts w:ascii="Book Antiqua" w:hAnsi="Book Antiqua" w:cs="Arial"/>
          <w:sz w:val="24"/>
          <w:szCs w:val="24"/>
        </w:rPr>
      </w:pPr>
      <w:r w:rsidRPr="00DA616D">
        <w:rPr>
          <w:rFonts w:ascii="Book Antiqua" w:hAnsi="Book Antiqua" w:cs="Arial"/>
          <w:sz w:val="24"/>
          <w:szCs w:val="24"/>
        </w:rPr>
        <w:t xml:space="preserve">Mr Meikle noted that the judge was taken to </w:t>
      </w:r>
      <w:r w:rsidR="007D5C3A" w:rsidRPr="00DA616D">
        <w:rPr>
          <w:rFonts w:ascii="Book Antiqua" w:hAnsi="Book Antiqua" w:cs="Arial"/>
          <w:b/>
          <w:sz w:val="24"/>
          <w:szCs w:val="24"/>
          <w:u w:val="single"/>
        </w:rPr>
        <w:t>HJ (Iran)</w:t>
      </w:r>
      <w:r w:rsidR="007D5C3A" w:rsidRPr="00DA616D">
        <w:rPr>
          <w:rFonts w:ascii="Book Antiqua" w:hAnsi="Book Antiqua" w:cs="Arial"/>
          <w:sz w:val="24"/>
          <w:szCs w:val="24"/>
        </w:rPr>
        <w:t xml:space="preserve"> </w:t>
      </w:r>
      <w:r w:rsidRPr="00DA616D">
        <w:rPr>
          <w:rFonts w:ascii="Book Antiqua" w:hAnsi="Book Antiqua" w:cs="Arial"/>
          <w:sz w:val="24"/>
          <w:szCs w:val="24"/>
        </w:rPr>
        <w:t>and recorded</w:t>
      </w:r>
      <w:r w:rsidR="00522E69" w:rsidRPr="00DA616D">
        <w:rPr>
          <w:rFonts w:ascii="Book Antiqua" w:hAnsi="Book Antiqua" w:cs="Arial"/>
          <w:sz w:val="24"/>
          <w:szCs w:val="24"/>
        </w:rPr>
        <w:t xml:space="preserve"> that the appellant had a partner and was openly bisexual. This was the man who had met his partner in a pub in Bristol and was, </w:t>
      </w:r>
      <w:r w:rsidR="00847249" w:rsidRPr="00DA616D">
        <w:rPr>
          <w:rFonts w:ascii="Book Antiqua" w:hAnsi="Book Antiqua" w:cs="Arial"/>
          <w:sz w:val="24"/>
          <w:szCs w:val="24"/>
        </w:rPr>
        <w:t>de facto,</w:t>
      </w:r>
      <w:r w:rsidR="00522E69" w:rsidRPr="00DA616D">
        <w:rPr>
          <w:rFonts w:ascii="Book Antiqua" w:hAnsi="Book Antiqua" w:cs="Arial"/>
          <w:sz w:val="24"/>
          <w:szCs w:val="24"/>
        </w:rPr>
        <w:t xml:space="preserve"> living openly </w:t>
      </w:r>
      <w:r w:rsidR="00847249" w:rsidRPr="00DA616D">
        <w:rPr>
          <w:rFonts w:ascii="Book Antiqua" w:hAnsi="Book Antiqua" w:cs="Arial"/>
          <w:sz w:val="24"/>
          <w:szCs w:val="24"/>
        </w:rPr>
        <w:t>with a gay relationship. It could not possibly be surmised that the</w:t>
      </w:r>
      <w:r w:rsidR="00C67DBB" w:rsidRPr="00DA616D">
        <w:rPr>
          <w:rFonts w:ascii="Book Antiqua" w:hAnsi="Book Antiqua" w:cs="Arial"/>
          <w:sz w:val="24"/>
          <w:szCs w:val="24"/>
        </w:rPr>
        <w:t xml:space="preserve"> appellant would return and live discreetly.</w:t>
      </w:r>
    </w:p>
    <w:p w14:paraId="691799A4" w14:textId="11F847C2" w:rsidR="00AA5C72" w:rsidRPr="00DA616D" w:rsidRDefault="00AA5C72" w:rsidP="00DA616D">
      <w:pPr>
        <w:spacing w:before="240" w:after="0" w:line="240" w:lineRule="auto"/>
        <w:jc w:val="both"/>
        <w:rPr>
          <w:rFonts w:ascii="Book Antiqua" w:hAnsi="Book Antiqua" w:cs="Arial"/>
          <w:sz w:val="24"/>
          <w:szCs w:val="24"/>
        </w:rPr>
      </w:pPr>
      <w:r w:rsidRPr="00DA616D">
        <w:rPr>
          <w:rFonts w:ascii="Book Antiqua" w:hAnsi="Book Antiqua" w:cs="Arial"/>
          <w:b/>
          <w:sz w:val="24"/>
          <w:szCs w:val="24"/>
          <w:u w:val="single"/>
        </w:rPr>
        <w:t>Conclusions</w:t>
      </w:r>
    </w:p>
    <w:p w14:paraId="0957CF86" w14:textId="77777777" w:rsidR="001E4956" w:rsidRPr="00DA616D" w:rsidRDefault="001E4956" w:rsidP="00DA616D">
      <w:pPr>
        <w:numPr>
          <w:ilvl w:val="0"/>
          <w:numId w:val="1"/>
        </w:numPr>
        <w:tabs>
          <w:tab w:val="clear" w:pos="720"/>
        </w:tabs>
        <w:spacing w:before="240" w:after="0" w:line="240" w:lineRule="auto"/>
        <w:ind w:left="567" w:hanging="567"/>
        <w:jc w:val="both"/>
        <w:rPr>
          <w:rFonts w:ascii="Book Antiqua" w:hAnsi="Book Antiqua" w:cs="Arial"/>
          <w:sz w:val="24"/>
          <w:szCs w:val="24"/>
        </w:rPr>
      </w:pPr>
      <w:r w:rsidRPr="00DA616D">
        <w:rPr>
          <w:rFonts w:ascii="Book Antiqua" w:hAnsi="Book Antiqua" w:cs="Arial"/>
          <w:sz w:val="24"/>
          <w:szCs w:val="24"/>
        </w:rPr>
        <w:t xml:space="preserve">I have set out the findings of the judge above which on reading overall are extensive and detailed.   </w:t>
      </w:r>
    </w:p>
    <w:p w14:paraId="6E322A9B" w14:textId="77777777" w:rsidR="009020DE" w:rsidRPr="00DA616D" w:rsidRDefault="001E4956" w:rsidP="00DA616D">
      <w:pPr>
        <w:numPr>
          <w:ilvl w:val="0"/>
          <w:numId w:val="1"/>
        </w:numPr>
        <w:tabs>
          <w:tab w:val="clear" w:pos="720"/>
        </w:tabs>
        <w:spacing w:before="240" w:after="0" w:line="240" w:lineRule="auto"/>
        <w:ind w:left="567" w:hanging="567"/>
        <w:jc w:val="both"/>
        <w:rPr>
          <w:rFonts w:ascii="Book Antiqua" w:hAnsi="Book Antiqua" w:cs="Arial"/>
          <w:sz w:val="24"/>
          <w:szCs w:val="24"/>
        </w:rPr>
      </w:pPr>
      <w:r w:rsidRPr="00DA616D">
        <w:rPr>
          <w:rFonts w:ascii="Book Antiqua" w:hAnsi="Book Antiqua" w:cs="Arial"/>
          <w:sz w:val="24"/>
          <w:szCs w:val="24"/>
        </w:rPr>
        <w:lastRenderedPageBreak/>
        <w:t>T</w:t>
      </w:r>
      <w:r w:rsidR="005C2C14" w:rsidRPr="00DA616D">
        <w:rPr>
          <w:rFonts w:ascii="Book Antiqua" w:hAnsi="Book Antiqua" w:cs="Arial"/>
          <w:sz w:val="24"/>
          <w:szCs w:val="24"/>
        </w:rPr>
        <w:t xml:space="preserve">he judge clearly addressed the key criticisms made by the Secretary of State </w:t>
      </w:r>
      <w:r w:rsidR="00077F9F" w:rsidRPr="00DA616D">
        <w:rPr>
          <w:rFonts w:ascii="Book Antiqua" w:hAnsi="Book Antiqua" w:cs="Arial"/>
          <w:sz w:val="24"/>
          <w:szCs w:val="24"/>
        </w:rPr>
        <w:t xml:space="preserve">on the appellant’s claim and </w:t>
      </w:r>
      <w:r w:rsidR="005C2C14" w:rsidRPr="00DA616D">
        <w:rPr>
          <w:rFonts w:ascii="Book Antiqua" w:hAnsi="Book Antiqua" w:cs="Arial"/>
          <w:sz w:val="24"/>
          <w:szCs w:val="24"/>
        </w:rPr>
        <w:t>regarding the assessment of the appellant bisexuality as can be seen from the extract taken from the decision and the findings by the judge.</w:t>
      </w:r>
      <w:r w:rsidR="00AD7867" w:rsidRPr="00DA616D">
        <w:rPr>
          <w:rFonts w:ascii="Book Antiqua" w:hAnsi="Book Antiqua" w:cs="Arial"/>
          <w:sz w:val="24"/>
          <w:szCs w:val="24"/>
        </w:rPr>
        <w:t xml:space="preserve"> The judge was aware of the context of the appellant’s immigration history and at paragraph</w:t>
      </w:r>
      <w:r w:rsidR="00077F9F" w:rsidRPr="00DA616D">
        <w:rPr>
          <w:rFonts w:ascii="Book Antiqua" w:hAnsi="Book Antiqua" w:cs="Arial"/>
          <w:sz w:val="24"/>
          <w:szCs w:val="24"/>
        </w:rPr>
        <w:t>s</w:t>
      </w:r>
      <w:r w:rsidR="00AD7867" w:rsidRPr="00DA616D">
        <w:rPr>
          <w:rFonts w:ascii="Book Antiqua" w:hAnsi="Book Antiqua" w:cs="Arial"/>
          <w:sz w:val="24"/>
          <w:szCs w:val="24"/>
        </w:rPr>
        <w:t xml:space="preserve"> 86 and 87</w:t>
      </w:r>
      <w:r w:rsidR="00077F9F" w:rsidRPr="00DA616D">
        <w:rPr>
          <w:rFonts w:ascii="Book Antiqua" w:hAnsi="Book Antiqua" w:cs="Arial"/>
          <w:sz w:val="24"/>
          <w:szCs w:val="24"/>
        </w:rPr>
        <w:t>,</w:t>
      </w:r>
      <w:r w:rsidR="00AD7867" w:rsidRPr="00DA616D">
        <w:rPr>
          <w:rFonts w:ascii="Book Antiqua" w:hAnsi="Book Antiqua" w:cs="Arial"/>
          <w:sz w:val="24"/>
          <w:szCs w:val="24"/>
        </w:rPr>
        <w:t xml:space="preserve"> explored the difficulties with the appellant’s failure to claim asylum</w:t>
      </w:r>
      <w:r w:rsidR="00ED492C" w:rsidRPr="00DA616D">
        <w:rPr>
          <w:rFonts w:ascii="Book Antiqua" w:hAnsi="Book Antiqua" w:cs="Arial"/>
          <w:sz w:val="24"/>
          <w:szCs w:val="24"/>
        </w:rPr>
        <w:t xml:space="preserve"> earlier and his EEA spouse application. Nonetheless at paragraph 84 which is crucial in his assessment </w:t>
      </w:r>
      <w:r w:rsidR="00077F9F" w:rsidRPr="00DA616D">
        <w:rPr>
          <w:rFonts w:ascii="Book Antiqua" w:hAnsi="Book Antiqua" w:cs="Arial"/>
          <w:sz w:val="24"/>
          <w:szCs w:val="24"/>
        </w:rPr>
        <w:t xml:space="preserve">of the </w:t>
      </w:r>
      <w:r w:rsidR="00ED492C" w:rsidRPr="00DA616D">
        <w:rPr>
          <w:rFonts w:ascii="Book Antiqua" w:hAnsi="Book Antiqua" w:cs="Arial"/>
          <w:sz w:val="24"/>
          <w:szCs w:val="24"/>
        </w:rPr>
        <w:t>claim</w:t>
      </w:r>
      <w:r w:rsidR="00077F9F" w:rsidRPr="00DA616D">
        <w:rPr>
          <w:rFonts w:ascii="Book Antiqua" w:hAnsi="Book Antiqua" w:cs="Arial"/>
          <w:sz w:val="24"/>
          <w:szCs w:val="24"/>
        </w:rPr>
        <w:t>,</w:t>
      </w:r>
      <w:r w:rsidR="00ED492C" w:rsidRPr="00DA616D">
        <w:rPr>
          <w:rFonts w:ascii="Book Antiqua" w:hAnsi="Book Antiqua" w:cs="Arial"/>
          <w:sz w:val="24"/>
          <w:szCs w:val="24"/>
        </w:rPr>
        <w:t xml:space="preserve"> the judge made finding</w:t>
      </w:r>
      <w:r w:rsidR="009020DE" w:rsidRPr="00DA616D">
        <w:rPr>
          <w:rFonts w:ascii="Book Antiqua" w:hAnsi="Book Antiqua" w:cs="Arial"/>
          <w:sz w:val="24"/>
          <w:szCs w:val="24"/>
        </w:rPr>
        <w:t>s</w:t>
      </w:r>
      <w:r w:rsidR="00ED492C" w:rsidRPr="00DA616D">
        <w:rPr>
          <w:rFonts w:ascii="Book Antiqua" w:hAnsi="Book Antiqua" w:cs="Arial"/>
          <w:sz w:val="24"/>
          <w:szCs w:val="24"/>
        </w:rPr>
        <w:t xml:space="preserve"> which were cogent and open</w:t>
      </w:r>
      <w:r w:rsidR="009020DE" w:rsidRPr="00DA616D">
        <w:rPr>
          <w:rFonts w:ascii="Book Antiqua" w:hAnsi="Book Antiqua" w:cs="Arial"/>
          <w:sz w:val="24"/>
          <w:szCs w:val="24"/>
        </w:rPr>
        <w:t xml:space="preserve"> to him,</w:t>
      </w:r>
      <w:r w:rsidR="00ED492C" w:rsidRPr="00DA616D">
        <w:rPr>
          <w:rFonts w:ascii="Book Antiqua" w:hAnsi="Book Antiqua" w:cs="Arial"/>
          <w:sz w:val="24"/>
          <w:szCs w:val="24"/>
        </w:rPr>
        <w:t xml:space="preserve"> to</w:t>
      </w:r>
      <w:r w:rsidR="00637990" w:rsidRPr="00DA616D">
        <w:rPr>
          <w:rFonts w:ascii="Book Antiqua" w:hAnsi="Book Antiqua" w:cs="Arial"/>
          <w:sz w:val="24"/>
          <w:szCs w:val="24"/>
        </w:rPr>
        <w:t xml:space="preserve"> the effect that the appellant and his partner/friend Mark did have a sexual relationship. </w:t>
      </w:r>
    </w:p>
    <w:p w14:paraId="496E04F7" w14:textId="414E277E" w:rsidR="00AA5C72" w:rsidRPr="00DA616D" w:rsidRDefault="00637990" w:rsidP="00DA616D">
      <w:pPr>
        <w:numPr>
          <w:ilvl w:val="0"/>
          <w:numId w:val="1"/>
        </w:numPr>
        <w:tabs>
          <w:tab w:val="clear" w:pos="720"/>
        </w:tabs>
        <w:spacing w:before="240" w:after="0" w:line="240" w:lineRule="auto"/>
        <w:ind w:left="567" w:hanging="567"/>
        <w:jc w:val="both"/>
        <w:rPr>
          <w:rFonts w:ascii="Book Antiqua" w:hAnsi="Book Antiqua" w:cs="Arial"/>
          <w:sz w:val="24"/>
          <w:szCs w:val="24"/>
        </w:rPr>
      </w:pPr>
      <w:r w:rsidRPr="00DA616D">
        <w:rPr>
          <w:rFonts w:ascii="Book Antiqua" w:hAnsi="Book Antiqua" w:cs="Arial"/>
          <w:sz w:val="24"/>
          <w:szCs w:val="24"/>
        </w:rPr>
        <w:t>As the judge identified the appellant had</w:t>
      </w:r>
      <w:r w:rsidR="00616AAA" w:rsidRPr="00DA616D">
        <w:rPr>
          <w:rFonts w:ascii="Book Antiqua" w:hAnsi="Book Antiqua" w:cs="Arial"/>
          <w:sz w:val="24"/>
          <w:szCs w:val="24"/>
        </w:rPr>
        <w:t xml:space="preserve"> realised his homosexuality during the course of his marriage to a woman</w:t>
      </w:r>
      <w:r w:rsidR="00623913" w:rsidRPr="00DA616D">
        <w:rPr>
          <w:rFonts w:ascii="Book Antiqua" w:hAnsi="Book Antiqua" w:cs="Arial"/>
          <w:sz w:val="24"/>
          <w:szCs w:val="24"/>
        </w:rPr>
        <w:t>.  T</w:t>
      </w:r>
      <w:r w:rsidR="00616AAA" w:rsidRPr="00DA616D">
        <w:rPr>
          <w:rFonts w:ascii="Book Antiqua" w:hAnsi="Book Antiqua" w:cs="Arial"/>
          <w:sz w:val="24"/>
          <w:szCs w:val="24"/>
        </w:rPr>
        <w:t xml:space="preserve">he judge recorded </w:t>
      </w:r>
      <w:r w:rsidR="00623913" w:rsidRPr="00DA616D">
        <w:rPr>
          <w:rFonts w:ascii="Book Antiqua" w:hAnsi="Book Antiqua" w:cs="Arial"/>
          <w:sz w:val="24"/>
          <w:szCs w:val="24"/>
        </w:rPr>
        <w:t xml:space="preserve">and reasoned </w:t>
      </w:r>
      <w:r w:rsidR="00616AAA" w:rsidRPr="00DA616D">
        <w:rPr>
          <w:rFonts w:ascii="Book Antiqua" w:hAnsi="Book Antiqua" w:cs="Arial"/>
          <w:sz w:val="24"/>
          <w:szCs w:val="24"/>
        </w:rPr>
        <w:t>that the</w:t>
      </w:r>
      <w:r w:rsidR="00EA6972" w:rsidRPr="00DA616D">
        <w:rPr>
          <w:rFonts w:ascii="Book Antiqua" w:hAnsi="Book Antiqua" w:cs="Arial"/>
          <w:sz w:val="24"/>
          <w:szCs w:val="24"/>
        </w:rPr>
        <w:t xml:space="preserve"> respondent accepted there was abuse in that relationship and </w:t>
      </w:r>
      <w:r w:rsidR="00623913" w:rsidRPr="00DA616D">
        <w:rPr>
          <w:rFonts w:ascii="Book Antiqua" w:hAnsi="Book Antiqua" w:cs="Arial"/>
          <w:sz w:val="24"/>
          <w:szCs w:val="24"/>
        </w:rPr>
        <w:t>he</w:t>
      </w:r>
      <w:r w:rsidR="00EA6972" w:rsidRPr="00DA616D">
        <w:rPr>
          <w:rFonts w:ascii="Book Antiqua" w:hAnsi="Book Antiqua" w:cs="Arial"/>
          <w:sz w:val="24"/>
          <w:szCs w:val="24"/>
        </w:rPr>
        <w:t xml:space="preserve"> found that the date</w:t>
      </w:r>
      <w:r w:rsidR="00623913" w:rsidRPr="00DA616D">
        <w:rPr>
          <w:rFonts w:ascii="Book Antiqua" w:hAnsi="Book Antiqua" w:cs="Arial"/>
          <w:sz w:val="24"/>
          <w:szCs w:val="24"/>
        </w:rPr>
        <w:t>s</w:t>
      </w:r>
      <w:r w:rsidR="00EA6972" w:rsidRPr="00DA616D">
        <w:rPr>
          <w:rFonts w:ascii="Book Antiqua" w:hAnsi="Book Antiqua" w:cs="Arial"/>
          <w:sz w:val="24"/>
          <w:szCs w:val="24"/>
        </w:rPr>
        <w:t xml:space="preserve"> were consistent with</w:t>
      </w:r>
      <w:r w:rsidR="00C35886" w:rsidRPr="00DA616D">
        <w:rPr>
          <w:rFonts w:ascii="Book Antiqua" w:hAnsi="Book Antiqua" w:cs="Arial"/>
          <w:sz w:val="24"/>
          <w:szCs w:val="24"/>
        </w:rPr>
        <w:t xml:space="preserve"> his marriage difficulties in 2015</w:t>
      </w:r>
      <w:r w:rsidR="00623913" w:rsidRPr="00DA616D">
        <w:rPr>
          <w:rFonts w:ascii="Book Antiqua" w:hAnsi="Book Antiqua" w:cs="Arial"/>
          <w:sz w:val="24"/>
          <w:szCs w:val="24"/>
        </w:rPr>
        <w:t>,</w:t>
      </w:r>
      <w:r w:rsidR="00C35886" w:rsidRPr="00DA616D">
        <w:rPr>
          <w:rFonts w:ascii="Book Antiqua" w:hAnsi="Book Antiqua" w:cs="Arial"/>
          <w:sz w:val="24"/>
          <w:szCs w:val="24"/>
        </w:rPr>
        <w:t xml:space="preserve"> contributed to the realisation that he was bisexual and that his wife reacted violently or abusively</w:t>
      </w:r>
      <w:r w:rsidR="00EE3883" w:rsidRPr="00DA616D">
        <w:rPr>
          <w:rFonts w:ascii="Book Antiqua" w:hAnsi="Book Antiqua" w:cs="Arial"/>
          <w:sz w:val="24"/>
          <w:szCs w:val="24"/>
        </w:rPr>
        <w:t>.  The judge found this feasible to the lower standard of proof which is important to</w:t>
      </w:r>
      <w:r w:rsidR="00153DFC" w:rsidRPr="00DA616D">
        <w:rPr>
          <w:rFonts w:ascii="Book Antiqua" w:hAnsi="Book Antiqua" w:cs="Arial"/>
          <w:sz w:val="24"/>
          <w:szCs w:val="24"/>
        </w:rPr>
        <w:t xml:space="preserve"> apply.</w:t>
      </w:r>
      <w:r w:rsidR="006F2D66" w:rsidRPr="00DA616D">
        <w:rPr>
          <w:rFonts w:ascii="Book Antiqua" w:hAnsi="Book Antiqua" w:cs="Arial"/>
          <w:sz w:val="24"/>
          <w:szCs w:val="24"/>
        </w:rPr>
        <w:t xml:space="preserve">  This the judge did. </w:t>
      </w:r>
      <w:r w:rsidR="00153DFC" w:rsidRPr="00DA616D">
        <w:rPr>
          <w:rFonts w:ascii="Book Antiqua" w:hAnsi="Book Antiqua" w:cs="Arial"/>
          <w:sz w:val="24"/>
          <w:szCs w:val="24"/>
        </w:rPr>
        <w:t xml:space="preserve">  T</w:t>
      </w:r>
      <w:r w:rsidR="00C35886" w:rsidRPr="00DA616D">
        <w:rPr>
          <w:rFonts w:ascii="Book Antiqua" w:hAnsi="Book Antiqua" w:cs="Arial"/>
          <w:sz w:val="24"/>
          <w:szCs w:val="24"/>
        </w:rPr>
        <w:t xml:space="preserve">he judge specifically finds that </w:t>
      </w:r>
      <w:r w:rsidR="00153DFC" w:rsidRPr="00DA616D">
        <w:rPr>
          <w:rFonts w:ascii="Book Antiqua" w:hAnsi="Book Antiqua" w:cs="Arial"/>
          <w:sz w:val="24"/>
          <w:szCs w:val="24"/>
        </w:rPr>
        <w:t xml:space="preserve">it was significant </w:t>
      </w:r>
      <w:r w:rsidR="00C35886" w:rsidRPr="00DA616D">
        <w:rPr>
          <w:rFonts w:ascii="Book Antiqua" w:hAnsi="Book Antiqua" w:cs="Arial"/>
          <w:sz w:val="24"/>
          <w:szCs w:val="24"/>
        </w:rPr>
        <w:t>the dates indicate that the relationship with Mark Phillips date</w:t>
      </w:r>
      <w:r w:rsidR="00153DFC" w:rsidRPr="00DA616D">
        <w:rPr>
          <w:rFonts w:ascii="Book Antiqua" w:hAnsi="Book Antiqua" w:cs="Arial"/>
          <w:sz w:val="24"/>
          <w:szCs w:val="24"/>
        </w:rPr>
        <w:t>d</w:t>
      </w:r>
      <w:r w:rsidR="00C35886" w:rsidRPr="00DA616D">
        <w:rPr>
          <w:rFonts w:ascii="Book Antiqua" w:hAnsi="Book Antiqua" w:cs="Arial"/>
          <w:sz w:val="24"/>
          <w:szCs w:val="24"/>
        </w:rPr>
        <w:t xml:space="preserve"> from around the same time</w:t>
      </w:r>
      <w:r w:rsidR="00756BD7" w:rsidRPr="00DA616D">
        <w:rPr>
          <w:rFonts w:ascii="Book Antiqua" w:hAnsi="Book Antiqua" w:cs="Arial"/>
          <w:sz w:val="24"/>
          <w:szCs w:val="24"/>
        </w:rPr>
        <w:t>.</w:t>
      </w:r>
    </w:p>
    <w:p w14:paraId="1827D0B2" w14:textId="06FF8F90" w:rsidR="00756BD7" w:rsidRPr="00DA616D" w:rsidRDefault="00756BD7" w:rsidP="00DA616D">
      <w:pPr>
        <w:numPr>
          <w:ilvl w:val="0"/>
          <w:numId w:val="1"/>
        </w:numPr>
        <w:tabs>
          <w:tab w:val="clear" w:pos="720"/>
        </w:tabs>
        <w:spacing w:before="240" w:after="0" w:line="240" w:lineRule="auto"/>
        <w:ind w:left="567" w:hanging="567"/>
        <w:jc w:val="both"/>
        <w:rPr>
          <w:rFonts w:ascii="Book Antiqua" w:hAnsi="Book Antiqua" w:cs="Arial"/>
          <w:sz w:val="24"/>
          <w:szCs w:val="24"/>
        </w:rPr>
      </w:pPr>
      <w:r w:rsidRPr="00DA616D">
        <w:rPr>
          <w:rFonts w:ascii="Book Antiqua" w:hAnsi="Book Antiqua" w:cs="Arial"/>
          <w:sz w:val="24"/>
          <w:szCs w:val="24"/>
        </w:rPr>
        <w:t xml:space="preserve">The appellant’s partner/friend Mr Mark Phillips </w:t>
      </w:r>
      <w:r w:rsidR="00E22D0E" w:rsidRPr="00DA616D">
        <w:rPr>
          <w:rFonts w:ascii="Book Antiqua" w:hAnsi="Book Antiqua" w:cs="Arial"/>
          <w:sz w:val="24"/>
          <w:szCs w:val="24"/>
        </w:rPr>
        <w:t>submitted a witness statement and attended court to give oral evidence</w:t>
      </w:r>
      <w:r w:rsidR="00A04B49" w:rsidRPr="00DA616D">
        <w:rPr>
          <w:rFonts w:ascii="Book Antiqua" w:hAnsi="Book Antiqua" w:cs="Arial"/>
          <w:sz w:val="24"/>
          <w:szCs w:val="24"/>
        </w:rPr>
        <w:t xml:space="preserve">.  Those are important features of this case and </w:t>
      </w:r>
      <w:r w:rsidR="00E22D0E" w:rsidRPr="00DA616D">
        <w:rPr>
          <w:rFonts w:ascii="Book Antiqua" w:hAnsi="Book Antiqua" w:cs="Arial"/>
          <w:sz w:val="24"/>
          <w:szCs w:val="24"/>
        </w:rPr>
        <w:t xml:space="preserve">the judge </w:t>
      </w:r>
      <w:r w:rsidR="00C0543B" w:rsidRPr="00DA616D">
        <w:rPr>
          <w:rFonts w:ascii="Book Antiqua" w:hAnsi="Book Antiqua" w:cs="Arial"/>
          <w:sz w:val="24"/>
          <w:szCs w:val="24"/>
        </w:rPr>
        <w:t xml:space="preserve">clearly </w:t>
      </w:r>
      <w:r w:rsidR="00D81E3F" w:rsidRPr="00DA616D">
        <w:rPr>
          <w:rFonts w:ascii="Book Antiqua" w:hAnsi="Book Antiqua" w:cs="Arial"/>
          <w:sz w:val="24"/>
          <w:szCs w:val="24"/>
        </w:rPr>
        <w:t xml:space="preserve">heard the evidence first hand and </w:t>
      </w:r>
      <w:r w:rsidR="00C0543B" w:rsidRPr="00DA616D">
        <w:rPr>
          <w:rFonts w:ascii="Book Antiqua" w:hAnsi="Book Antiqua" w:cs="Arial"/>
          <w:sz w:val="24"/>
          <w:szCs w:val="24"/>
        </w:rPr>
        <w:t>accepted</w:t>
      </w:r>
      <w:r w:rsidR="00A04B49" w:rsidRPr="00DA616D">
        <w:rPr>
          <w:rFonts w:ascii="Book Antiqua" w:hAnsi="Book Antiqua" w:cs="Arial"/>
          <w:sz w:val="24"/>
          <w:szCs w:val="24"/>
        </w:rPr>
        <w:t xml:space="preserve"> that evidence</w:t>
      </w:r>
      <w:r w:rsidR="00C0543B" w:rsidRPr="00DA616D">
        <w:rPr>
          <w:rFonts w:ascii="Book Antiqua" w:hAnsi="Book Antiqua" w:cs="Arial"/>
          <w:sz w:val="24"/>
          <w:szCs w:val="24"/>
        </w:rPr>
        <w:t xml:space="preserve">.  </w:t>
      </w:r>
      <w:r w:rsidR="0027397D" w:rsidRPr="00DA616D">
        <w:rPr>
          <w:rFonts w:ascii="Book Antiqua" w:hAnsi="Book Antiqua" w:cs="Arial"/>
          <w:sz w:val="24"/>
          <w:szCs w:val="24"/>
        </w:rPr>
        <w:t xml:space="preserve">The judge was in position to have both the appellant and his partner give evidence before him and to critique both the documentary and the oral evidence </w:t>
      </w:r>
      <w:r w:rsidR="004A3E13" w:rsidRPr="00DA616D">
        <w:rPr>
          <w:rFonts w:ascii="Book Antiqua" w:hAnsi="Book Antiqua" w:cs="Arial"/>
          <w:sz w:val="24"/>
          <w:szCs w:val="24"/>
        </w:rPr>
        <w:t>and found to the lower standard of proof in</w:t>
      </w:r>
      <w:r w:rsidR="0027397D" w:rsidRPr="00DA616D">
        <w:rPr>
          <w:rFonts w:ascii="Book Antiqua" w:hAnsi="Book Antiqua" w:cs="Arial"/>
          <w:sz w:val="24"/>
          <w:szCs w:val="24"/>
        </w:rPr>
        <w:t xml:space="preserve"> the appellant’s favour</w:t>
      </w:r>
      <w:r w:rsidR="004A3E13" w:rsidRPr="00DA616D">
        <w:rPr>
          <w:rFonts w:ascii="Book Antiqua" w:hAnsi="Book Antiqua" w:cs="Arial"/>
          <w:sz w:val="24"/>
          <w:szCs w:val="24"/>
        </w:rPr>
        <w:t xml:space="preserve">.  </w:t>
      </w:r>
      <w:r w:rsidR="0022677F" w:rsidRPr="00DA616D">
        <w:rPr>
          <w:rFonts w:ascii="Book Antiqua" w:hAnsi="Book Antiqua" w:cs="Arial"/>
          <w:sz w:val="24"/>
          <w:szCs w:val="24"/>
        </w:rPr>
        <w:t>On the</w:t>
      </w:r>
      <w:r w:rsidR="00FA6785" w:rsidRPr="00DA616D">
        <w:rPr>
          <w:rFonts w:ascii="Book Antiqua" w:hAnsi="Book Antiqua" w:cs="Arial"/>
          <w:sz w:val="24"/>
          <w:szCs w:val="24"/>
        </w:rPr>
        <w:t xml:space="preserve"> reasoning he was entitled to do so.  </w:t>
      </w:r>
      <w:r w:rsidR="004A3E13" w:rsidRPr="00DA616D">
        <w:rPr>
          <w:rFonts w:ascii="Book Antiqua" w:hAnsi="Book Antiqua" w:cs="Arial"/>
          <w:sz w:val="24"/>
          <w:szCs w:val="24"/>
        </w:rPr>
        <w:t>The finding may have been generous but does not indicate that the</w:t>
      </w:r>
      <w:r w:rsidR="00AA741B" w:rsidRPr="00DA616D">
        <w:rPr>
          <w:rFonts w:ascii="Book Antiqua" w:hAnsi="Book Antiqua" w:cs="Arial"/>
          <w:sz w:val="24"/>
          <w:szCs w:val="24"/>
        </w:rPr>
        <w:t xml:space="preserve"> judge was irrational and unreasonable in his findings.</w:t>
      </w:r>
    </w:p>
    <w:p w14:paraId="256FC71D" w14:textId="36E58856" w:rsidR="008E5032" w:rsidRPr="00DA616D" w:rsidRDefault="008E5032" w:rsidP="00DA616D">
      <w:pPr>
        <w:numPr>
          <w:ilvl w:val="0"/>
          <w:numId w:val="1"/>
        </w:numPr>
        <w:tabs>
          <w:tab w:val="clear" w:pos="720"/>
        </w:tabs>
        <w:spacing w:before="240" w:after="0" w:line="240" w:lineRule="auto"/>
        <w:ind w:left="567" w:hanging="567"/>
        <w:jc w:val="both"/>
        <w:rPr>
          <w:rFonts w:ascii="Book Antiqua" w:hAnsi="Book Antiqua" w:cs="Arial"/>
          <w:sz w:val="24"/>
          <w:szCs w:val="24"/>
        </w:rPr>
      </w:pPr>
      <w:r w:rsidRPr="00DA616D">
        <w:rPr>
          <w:rFonts w:ascii="Book Antiqua" w:hAnsi="Book Antiqua" w:cs="Arial"/>
          <w:sz w:val="24"/>
          <w:szCs w:val="24"/>
        </w:rPr>
        <w:t>The respondent’s criticism appeared to be</w:t>
      </w:r>
      <w:r w:rsidR="000F35AE" w:rsidRPr="00DA616D">
        <w:rPr>
          <w:rFonts w:ascii="Book Antiqua" w:hAnsi="Book Antiqua" w:cs="Arial"/>
          <w:sz w:val="24"/>
          <w:szCs w:val="24"/>
        </w:rPr>
        <w:t xml:space="preserve"> that being bisexual in the past did not constitute being bisexual in the future</w:t>
      </w:r>
      <w:r w:rsidR="00892FFD" w:rsidRPr="00DA616D">
        <w:rPr>
          <w:rFonts w:ascii="Book Antiqua" w:hAnsi="Book Antiqua" w:cs="Arial"/>
          <w:sz w:val="24"/>
          <w:szCs w:val="24"/>
        </w:rPr>
        <w:t xml:space="preserve"> but on the facts of this case</w:t>
      </w:r>
      <w:r w:rsidR="00D35EA3" w:rsidRPr="00DA616D">
        <w:rPr>
          <w:rFonts w:ascii="Book Antiqua" w:hAnsi="Book Antiqua" w:cs="Arial"/>
          <w:sz w:val="24"/>
          <w:szCs w:val="24"/>
        </w:rPr>
        <w:t xml:space="preserve"> and in the face of the judge accepting that the appellant and Mark had sex, for </w:t>
      </w:r>
      <w:r w:rsidR="0022677F" w:rsidRPr="00DA616D">
        <w:rPr>
          <w:rFonts w:ascii="Book Antiqua" w:hAnsi="Book Antiqua" w:cs="Arial"/>
          <w:sz w:val="24"/>
          <w:szCs w:val="24"/>
        </w:rPr>
        <w:t>pleasure, that</w:t>
      </w:r>
      <w:r w:rsidR="00D35EA3" w:rsidRPr="00DA616D">
        <w:rPr>
          <w:rFonts w:ascii="Book Antiqua" w:hAnsi="Book Antiqua" w:cs="Arial"/>
          <w:sz w:val="24"/>
          <w:szCs w:val="24"/>
        </w:rPr>
        <w:t xml:space="preserve"> by definition means that the appellant is bisexual</w:t>
      </w:r>
      <w:r w:rsidR="0097317C" w:rsidRPr="00DA616D">
        <w:rPr>
          <w:rFonts w:ascii="Book Antiqua" w:hAnsi="Book Antiqua" w:cs="Arial"/>
          <w:sz w:val="24"/>
          <w:szCs w:val="24"/>
        </w:rPr>
        <w:t xml:space="preserve"> and a feature of his being</w:t>
      </w:r>
      <w:r w:rsidR="00D35EA3" w:rsidRPr="00DA616D">
        <w:rPr>
          <w:rFonts w:ascii="Book Antiqua" w:hAnsi="Book Antiqua" w:cs="Arial"/>
          <w:sz w:val="24"/>
          <w:szCs w:val="24"/>
        </w:rPr>
        <w:t>.</w:t>
      </w:r>
      <w:r w:rsidR="004761A2" w:rsidRPr="00DA616D">
        <w:rPr>
          <w:rFonts w:ascii="Book Antiqua" w:hAnsi="Book Antiqua" w:cs="Arial"/>
          <w:sz w:val="24"/>
          <w:szCs w:val="24"/>
        </w:rPr>
        <w:t xml:space="preserve"> As the judge stated</w:t>
      </w:r>
      <w:r w:rsidR="0097317C" w:rsidRPr="00DA616D">
        <w:rPr>
          <w:rFonts w:ascii="Book Antiqua" w:hAnsi="Book Antiqua" w:cs="Arial"/>
          <w:sz w:val="24"/>
          <w:szCs w:val="24"/>
        </w:rPr>
        <w:t>,</w:t>
      </w:r>
      <w:r w:rsidR="004761A2" w:rsidRPr="00DA616D">
        <w:rPr>
          <w:rFonts w:ascii="Book Antiqua" w:hAnsi="Book Antiqua" w:cs="Arial"/>
          <w:sz w:val="24"/>
          <w:szCs w:val="24"/>
        </w:rPr>
        <w:t xml:space="preserve"> the appeal was not in any way about whether the relationship was subsisting and that there was enough consistency between their accounts</w:t>
      </w:r>
      <w:r w:rsidR="00C129CF" w:rsidRPr="00DA616D">
        <w:rPr>
          <w:rFonts w:ascii="Book Antiqua" w:hAnsi="Book Antiqua" w:cs="Arial"/>
          <w:sz w:val="24"/>
          <w:szCs w:val="24"/>
        </w:rPr>
        <w:t xml:space="preserve"> to be credible.</w:t>
      </w:r>
      <w:r w:rsidR="00AD7490" w:rsidRPr="00DA616D">
        <w:rPr>
          <w:rFonts w:ascii="Book Antiqua" w:hAnsi="Book Antiqua" w:cs="Arial"/>
          <w:sz w:val="24"/>
          <w:szCs w:val="24"/>
        </w:rPr>
        <w:t xml:space="preserve">  </w:t>
      </w:r>
      <w:r w:rsidR="003B6A97" w:rsidRPr="00DA616D">
        <w:rPr>
          <w:rFonts w:ascii="Book Antiqua" w:hAnsi="Book Antiqua" w:cs="Arial"/>
          <w:sz w:val="24"/>
          <w:szCs w:val="24"/>
        </w:rPr>
        <w:t xml:space="preserve">Notwithstanding </w:t>
      </w:r>
      <w:r w:rsidR="00C129CF" w:rsidRPr="00DA616D">
        <w:rPr>
          <w:rFonts w:ascii="Book Antiqua" w:hAnsi="Book Antiqua" w:cs="Arial"/>
          <w:sz w:val="24"/>
          <w:szCs w:val="24"/>
        </w:rPr>
        <w:t>the judge accepted they had a casual relationship</w:t>
      </w:r>
      <w:r w:rsidR="00374811" w:rsidRPr="00DA616D">
        <w:rPr>
          <w:rFonts w:ascii="Book Antiqua" w:hAnsi="Book Antiqua" w:cs="Arial"/>
          <w:sz w:val="24"/>
          <w:szCs w:val="24"/>
        </w:rPr>
        <w:t xml:space="preserve">.  </w:t>
      </w:r>
      <w:r w:rsidR="003B6A97" w:rsidRPr="00DA616D">
        <w:rPr>
          <w:rFonts w:ascii="Book Antiqua" w:hAnsi="Book Antiqua" w:cs="Arial"/>
          <w:sz w:val="24"/>
          <w:szCs w:val="24"/>
        </w:rPr>
        <w:t xml:space="preserve">That did not </w:t>
      </w:r>
      <w:r w:rsidR="00FD2344" w:rsidRPr="00DA616D">
        <w:rPr>
          <w:rFonts w:ascii="Book Antiqua" w:hAnsi="Book Antiqua" w:cs="Arial"/>
          <w:sz w:val="24"/>
          <w:szCs w:val="24"/>
        </w:rPr>
        <w:t>undermine</w:t>
      </w:r>
      <w:r w:rsidR="003B6A97" w:rsidRPr="00DA616D">
        <w:rPr>
          <w:rFonts w:ascii="Book Antiqua" w:hAnsi="Book Antiqua" w:cs="Arial"/>
          <w:sz w:val="24"/>
          <w:szCs w:val="24"/>
        </w:rPr>
        <w:t xml:space="preserve"> his findings and a</w:t>
      </w:r>
      <w:r w:rsidR="00374811" w:rsidRPr="00DA616D">
        <w:rPr>
          <w:rFonts w:ascii="Book Antiqua" w:hAnsi="Book Antiqua" w:cs="Arial"/>
          <w:sz w:val="24"/>
          <w:szCs w:val="24"/>
        </w:rPr>
        <w:t>dequate reasoning</w:t>
      </w:r>
      <w:r w:rsidR="003B6A97" w:rsidRPr="00DA616D">
        <w:rPr>
          <w:rFonts w:ascii="Book Antiqua" w:hAnsi="Book Antiqua" w:cs="Arial"/>
          <w:sz w:val="24"/>
          <w:szCs w:val="24"/>
        </w:rPr>
        <w:t xml:space="preserve"> (as identified above)</w:t>
      </w:r>
      <w:r w:rsidR="00374811" w:rsidRPr="00DA616D">
        <w:rPr>
          <w:rFonts w:ascii="Book Antiqua" w:hAnsi="Book Antiqua" w:cs="Arial"/>
          <w:sz w:val="24"/>
          <w:szCs w:val="24"/>
        </w:rPr>
        <w:t xml:space="preserve"> was given for the finding that the appellant was bisexual.</w:t>
      </w:r>
      <w:r w:rsidR="003B6A97" w:rsidRPr="00DA616D">
        <w:rPr>
          <w:rFonts w:ascii="Book Antiqua" w:hAnsi="Book Antiqua" w:cs="Arial"/>
          <w:sz w:val="24"/>
          <w:szCs w:val="24"/>
        </w:rPr>
        <w:t xml:space="preserve"> It would appear that their relationship had persisted for over 2 years. Mr Phillips attended the hearing in the Upper Tribunal but that is not an issue before me.</w:t>
      </w:r>
    </w:p>
    <w:p w14:paraId="3BB956AD" w14:textId="6977767A" w:rsidR="008659CB" w:rsidRPr="00DA616D" w:rsidRDefault="00374811" w:rsidP="00DA616D">
      <w:pPr>
        <w:numPr>
          <w:ilvl w:val="0"/>
          <w:numId w:val="1"/>
        </w:numPr>
        <w:tabs>
          <w:tab w:val="clear" w:pos="720"/>
        </w:tabs>
        <w:spacing w:before="240" w:after="0" w:line="240" w:lineRule="auto"/>
        <w:ind w:left="567" w:hanging="567"/>
        <w:jc w:val="both"/>
        <w:rPr>
          <w:rFonts w:ascii="Book Antiqua" w:hAnsi="Book Antiqua" w:cs="Arial"/>
          <w:sz w:val="24"/>
          <w:szCs w:val="24"/>
        </w:rPr>
      </w:pPr>
      <w:r w:rsidRPr="00DA616D">
        <w:rPr>
          <w:rFonts w:ascii="Book Antiqua" w:hAnsi="Book Antiqua" w:cs="Arial"/>
          <w:sz w:val="24"/>
          <w:szCs w:val="24"/>
        </w:rPr>
        <w:t xml:space="preserve">Turning to the assessment of </w:t>
      </w:r>
      <w:r w:rsidR="005533E6" w:rsidRPr="00DA616D">
        <w:rPr>
          <w:rFonts w:ascii="Book Antiqua" w:hAnsi="Book Antiqua" w:cs="Arial"/>
          <w:b/>
          <w:sz w:val="24"/>
          <w:szCs w:val="24"/>
          <w:u w:val="single"/>
        </w:rPr>
        <w:t>HJ (Iran)</w:t>
      </w:r>
      <w:r w:rsidR="005533E6" w:rsidRPr="00DA616D">
        <w:rPr>
          <w:rFonts w:ascii="Book Antiqua" w:hAnsi="Book Antiqua" w:cs="Arial"/>
          <w:sz w:val="24"/>
          <w:szCs w:val="24"/>
        </w:rPr>
        <w:t xml:space="preserve">, </w:t>
      </w:r>
      <w:r w:rsidR="00BA76FA" w:rsidRPr="00DA616D">
        <w:rPr>
          <w:rFonts w:ascii="Book Antiqua" w:hAnsi="Book Antiqua" w:cs="Arial"/>
          <w:sz w:val="24"/>
          <w:szCs w:val="24"/>
        </w:rPr>
        <w:t>although there is no duty to deal with every argument presented it must</w:t>
      </w:r>
      <w:r w:rsidR="008659CB" w:rsidRPr="00DA616D">
        <w:rPr>
          <w:rFonts w:ascii="Book Antiqua" w:hAnsi="Book Antiqua" w:cs="Arial"/>
          <w:sz w:val="24"/>
          <w:szCs w:val="24"/>
        </w:rPr>
        <w:t xml:space="preserve">, nevertheless, </w:t>
      </w:r>
      <w:r w:rsidR="00BA76FA" w:rsidRPr="00DA616D">
        <w:rPr>
          <w:rFonts w:ascii="Book Antiqua" w:hAnsi="Book Antiqua" w:cs="Arial"/>
          <w:sz w:val="24"/>
          <w:szCs w:val="24"/>
        </w:rPr>
        <w:t xml:space="preserve">be an argument </w:t>
      </w:r>
      <w:r w:rsidR="008659CB" w:rsidRPr="00DA616D">
        <w:rPr>
          <w:rFonts w:ascii="Book Antiqua" w:hAnsi="Book Antiqua" w:cs="Arial"/>
          <w:sz w:val="24"/>
          <w:szCs w:val="24"/>
        </w:rPr>
        <w:t xml:space="preserve">which is </w:t>
      </w:r>
      <w:r w:rsidR="00BA76FA" w:rsidRPr="00DA616D">
        <w:rPr>
          <w:rFonts w:ascii="Book Antiqua" w:hAnsi="Book Antiqua" w:cs="Arial"/>
          <w:sz w:val="24"/>
          <w:szCs w:val="24"/>
        </w:rPr>
        <w:t>presented</w:t>
      </w:r>
      <w:r w:rsidR="008659CB" w:rsidRPr="00DA616D">
        <w:rPr>
          <w:rFonts w:ascii="Book Antiqua" w:hAnsi="Book Antiqua" w:cs="Arial"/>
          <w:sz w:val="24"/>
          <w:szCs w:val="24"/>
        </w:rPr>
        <w:t>,</w:t>
      </w:r>
      <w:r w:rsidR="00BA76FA" w:rsidRPr="00DA616D">
        <w:rPr>
          <w:rFonts w:ascii="Book Antiqua" w:hAnsi="Book Antiqua" w:cs="Arial"/>
          <w:sz w:val="24"/>
          <w:szCs w:val="24"/>
        </w:rPr>
        <w:t xml:space="preserve"> and as the judge records at</w:t>
      </w:r>
      <w:r w:rsidR="00AD0588" w:rsidRPr="00DA616D">
        <w:rPr>
          <w:rFonts w:ascii="Book Antiqua" w:hAnsi="Book Antiqua" w:cs="Arial"/>
          <w:sz w:val="24"/>
          <w:szCs w:val="24"/>
        </w:rPr>
        <w:t xml:space="preserve"> [89]</w:t>
      </w:r>
      <w:r w:rsidR="008659CB" w:rsidRPr="00DA616D">
        <w:rPr>
          <w:rFonts w:ascii="Book Antiqua" w:hAnsi="Book Antiqua" w:cs="Arial"/>
          <w:sz w:val="24"/>
          <w:szCs w:val="24"/>
        </w:rPr>
        <w:t>,</w:t>
      </w:r>
      <w:r w:rsidR="00AD0588" w:rsidRPr="00DA616D">
        <w:rPr>
          <w:rFonts w:ascii="Book Antiqua" w:hAnsi="Book Antiqua" w:cs="Arial"/>
          <w:sz w:val="24"/>
          <w:szCs w:val="24"/>
        </w:rPr>
        <w:t xml:space="preserve"> there was no challenge by the respondent that in the event of his bisexuality claim being credible he would be at risk of persecution on return to Senegal. </w:t>
      </w:r>
      <w:r w:rsidR="008659CB" w:rsidRPr="00DA616D">
        <w:rPr>
          <w:rFonts w:ascii="Book Antiqua" w:hAnsi="Book Antiqua" w:cs="Arial"/>
          <w:sz w:val="24"/>
          <w:szCs w:val="24"/>
        </w:rPr>
        <w:t xml:space="preserve">It was not the respondent’s case </w:t>
      </w:r>
      <w:r w:rsidR="007947BD" w:rsidRPr="00DA616D">
        <w:rPr>
          <w:rFonts w:ascii="Book Antiqua" w:hAnsi="Book Antiqua" w:cs="Arial"/>
          <w:sz w:val="24"/>
          <w:szCs w:val="24"/>
        </w:rPr>
        <w:t>in the refusal letter or by</w:t>
      </w:r>
      <w:r w:rsidR="00C85696" w:rsidRPr="00DA616D">
        <w:rPr>
          <w:rFonts w:ascii="Book Antiqua" w:hAnsi="Book Antiqua" w:cs="Arial"/>
          <w:sz w:val="24"/>
          <w:szCs w:val="24"/>
        </w:rPr>
        <w:t xml:space="preserve"> the date of the hearing </w:t>
      </w:r>
      <w:r w:rsidR="008659CB" w:rsidRPr="00DA616D">
        <w:rPr>
          <w:rFonts w:ascii="Book Antiqua" w:hAnsi="Book Antiqua" w:cs="Arial"/>
          <w:sz w:val="24"/>
          <w:szCs w:val="24"/>
        </w:rPr>
        <w:t xml:space="preserve">that the appellant would be discreet on his return. </w:t>
      </w:r>
      <w:r w:rsidR="007947BD" w:rsidRPr="00DA616D">
        <w:rPr>
          <w:rFonts w:ascii="Book Antiqua" w:hAnsi="Book Antiqua" w:cs="Arial"/>
          <w:sz w:val="24"/>
          <w:szCs w:val="24"/>
        </w:rPr>
        <w:t xml:space="preserve">  The refusal letter stated that the </w:t>
      </w:r>
      <w:r w:rsidR="00FD2344" w:rsidRPr="00DA616D">
        <w:rPr>
          <w:rFonts w:ascii="Book Antiqua" w:hAnsi="Book Antiqua" w:cs="Arial"/>
          <w:sz w:val="24"/>
          <w:szCs w:val="24"/>
        </w:rPr>
        <w:t>appellant</w:t>
      </w:r>
      <w:r w:rsidR="007947BD" w:rsidRPr="00DA616D">
        <w:rPr>
          <w:rFonts w:ascii="Book Antiqua" w:hAnsi="Book Antiqua" w:cs="Arial"/>
          <w:sz w:val="24"/>
          <w:szCs w:val="24"/>
        </w:rPr>
        <w:t xml:space="preserve"> was not bisexual. </w:t>
      </w:r>
    </w:p>
    <w:p w14:paraId="57B0FE2B" w14:textId="6536DB76" w:rsidR="007D0E94" w:rsidRPr="00DA616D" w:rsidRDefault="00AD0588" w:rsidP="00DA616D">
      <w:pPr>
        <w:numPr>
          <w:ilvl w:val="0"/>
          <w:numId w:val="1"/>
        </w:numPr>
        <w:tabs>
          <w:tab w:val="clear" w:pos="720"/>
        </w:tabs>
        <w:spacing w:before="240" w:after="0" w:line="240" w:lineRule="auto"/>
        <w:ind w:left="567" w:hanging="567"/>
        <w:jc w:val="both"/>
        <w:rPr>
          <w:rFonts w:ascii="Book Antiqua" w:hAnsi="Book Antiqua" w:cs="Arial"/>
          <w:sz w:val="24"/>
          <w:szCs w:val="24"/>
        </w:rPr>
      </w:pPr>
      <w:r w:rsidRPr="00DA616D">
        <w:rPr>
          <w:rFonts w:ascii="Book Antiqua" w:hAnsi="Book Antiqua" w:cs="Arial"/>
          <w:sz w:val="24"/>
          <w:szCs w:val="24"/>
        </w:rPr>
        <w:lastRenderedPageBreak/>
        <w:t>The</w:t>
      </w:r>
      <w:r w:rsidR="00C10897" w:rsidRPr="00DA616D">
        <w:rPr>
          <w:rFonts w:ascii="Book Antiqua" w:hAnsi="Book Antiqua" w:cs="Arial"/>
          <w:sz w:val="24"/>
          <w:szCs w:val="24"/>
        </w:rPr>
        <w:t xml:space="preserve"> respondent</w:t>
      </w:r>
      <w:r w:rsidR="00336750" w:rsidRPr="00DA616D">
        <w:rPr>
          <w:rFonts w:ascii="Book Antiqua" w:hAnsi="Book Antiqua" w:cs="Arial"/>
          <w:sz w:val="24"/>
          <w:szCs w:val="24"/>
        </w:rPr>
        <w:t xml:space="preserve"> did not put </w:t>
      </w:r>
      <w:r w:rsidR="00C85696" w:rsidRPr="00DA616D">
        <w:rPr>
          <w:rFonts w:ascii="Book Antiqua" w:hAnsi="Book Antiqua" w:cs="Arial"/>
          <w:sz w:val="24"/>
          <w:szCs w:val="24"/>
        </w:rPr>
        <w:t xml:space="preserve">to </w:t>
      </w:r>
      <w:r w:rsidR="00336750" w:rsidRPr="00DA616D">
        <w:rPr>
          <w:rFonts w:ascii="Book Antiqua" w:hAnsi="Book Antiqua" w:cs="Arial"/>
          <w:sz w:val="24"/>
          <w:szCs w:val="24"/>
        </w:rPr>
        <w:t>the appellant that he would live discreetly in Senegal and</w:t>
      </w:r>
      <w:r w:rsidR="002D2B1C" w:rsidRPr="00DA616D">
        <w:rPr>
          <w:rFonts w:ascii="Book Antiqua" w:hAnsi="Book Antiqua" w:cs="Arial"/>
          <w:sz w:val="24"/>
          <w:szCs w:val="24"/>
        </w:rPr>
        <w:t xml:space="preserve"> therefore,</w:t>
      </w:r>
      <w:r w:rsidR="00336750" w:rsidRPr="00DA616D">
        <w:rPr>
          <w:rFonts w:ascii="Book Antiqua" w:hAnsi="Book Antiqua" w:cs="Arial"/>
          <w:sz w:val="24"/>
          <w:szCs w:val="24"/>
        </w:rPr>
        <w:t xml:space="preserve"> it was not open to the respondent to rely on the absence of such a finding. However</w:t>
      </w:r>
      <w:r w:rsidR="002D2B1C" w:rsidRPr="00DA616D">
        <w:rPr>
          <w:rFonts w:ascii="Book Antiqua" w:hAnsi="Book Antiqua" w:cs="Arial"/>
          <w:sz w:val="24"/>
          <w:szCs w:val="24"/>
        </w:rPr>
        <w:t>,</w:t>
      </w:r>
      <w:r w:rsidR="00B36637" w:rsidRPr="00DA616D">
        <w:rPr>
          <w:rFonts w:ascii="Book Antiqua" w:hAnsi="Book Antiqua" w:cs="Arial"/>
          <w:sz w:val="24"/>
          <w:szCs w:val="24"/>
        </w:rPr>
        <w:t xml:space="preserve"> that the judge </w:t>
      </w:r>
      <w:r w:rsidR="002D2B1C" w:rsidRPr="00DA616D">
        <w:rPr>
          <w:rFonts w:ascii="Book Antiqua" w:hAnsi="Book Antiqua" w:cs="Arial"/>
          <w:sz w:val="24"/>
          <w:szCs w:val="24"/>
        </w:rPr>
        <w:t xml:space="preserve">did </w:t>
      </w:r>
      <w:r w:rsidR="00B36637" w:rsidRPr="00DA616D">
        <w:rPr>
          <w:rFonts w:ascii="Book Antiqua" w:hAnsi="Book Antiqua" w:cs="Arial"/>
          <w:sz w:val="24"/>
          <w:szCs w:val="24"/>
        </w:rPr>
        <w:t>f</w:t>
      </w:r>
      <w:r w:rsidR="002D2B1C" w:rsidRPr="00DA616D">
        <w:rPr>
          <w:rFonts w:ascii="Book Antiqua" w:hAnsi="Book Antiqua" w:cs="Arial"/>
          <w:sz w:val="24"/>
          <w:szCs w:val="24"/>
        </w:rPr>
        <w:t>i</w:t>
      </w:r>
      <w:r w:rsidR="00B36637" w:rsidRPr="00DA616D">
        <w:rPr>
          <w:rFonts w:ascii="Book Antiqua" w:hAnsi="Book Antiqua" w:cs="Arial"/>
          <w:sz w:val="24"/>
          <w:szCs w:val="24"/>
        </w:rPr>
        <w:t xml:space="preserve">nd the appellant had been having sex and spending nights with his partner and had met him in a pub clearly constitutes living openly </w:t>
      </w:r>
      <w:r w:rsidR="001A6B48" w:rsidRPr="00DA616D">
        <w:rPr>
          <w:rFonts w:ascii="Book Antiqua" w:hAnsi="Book Antiqua" w:cs="Arial"/>
          <w:sz w:val="24"/>
          <w:szCs w:val="24"/>
        </w:rPr>
        <w:t>as a homosexual/bisexual.</w:t>
      </w:r>
      <w:r w:rsidR="007802C4" w:rsidRPr="00DA616D">
        <w:rPr>
          <w:rFonts w:ascii="Book Antiqua" w:hAnsi="Book Antiqua" w:cs="Arial"/>
          <w:sz w:val="24"/>
          <w:szCs w:val="24"/>
        </w:rPr>
        <w:t xml:space="preserve"> The submission was made at paragraph 67 that the appellant had a UK partner</w:t>
      </w:r>
      <w:r w:rsidR="00AE1499" w:rsidRPr="00DA616D">
        <w:rPr>
          <w:rFonts w:ascii="Book Antiqua" w:hAnsi="Book Antiqua" w:cs="Arial"/>
          <w:sz w:val="24"/>
          <w:szCs w:val="24"/>
        </w:rPr>
        <w:t>,</w:t>
      </w:r>
      <w:r w:rsidR="007802C4" w:rsidRPr="00DA616D">
        <w:rPr>
          <w:rFonts w:ascii="Book Antiqua" w:hAnsi="Book Antiqua" w:cs="Arial"/>
          <w:sz w:val="24"/>
          <w:szCs w:val="24"/>
        </w:rPr>
        <w:t xml:space="preserve"> was openly bisexual that</w:t>
      </w:r>
      <w:r w:rsidR="007E1521" w:rsidRPr="00DA616D">
        <w:rPr>
          <w:rFonts w:ascii="Book Antiqua" w:hAnsi="Book Antiqua" w:cs="Arial"/>
          <w:sz w:val="24"/>
          <w:szCs w:val="24"/>
        </w:rPr>
        <w:t xml:space="preserve"> he feared he would be killed on return.  That</w:t>
      </w:r>
      <w:r w:rsidR="007802C4" w:rsidRPr="00DA616D">
        <w:rPr>
          <w:rFonts w:ascii="Book Antiqua" w:hAnsi="Book Antiqua" w:cs="Arial"/>
          <w:sz w:val="24"/>
          <w:szCs w:val="24"/>
        </w:rPr>
        <w:t xml:space="preserve"> was supported by his witness statement</w:t>
      </w:r>
      <w:r w:rsidR="002B3028" w:rsidRPr="00DA616D">
        <w:rPr>
          <w:rFonts w:ascii="Book Antiqua" w:hAnsi="Book Antiqua" w:cs="Arial"/>
          <w:sz w:val="24"/>
          <w:szCs w:val="24"/>
        </w:rPr>
        <w:t xml:space="preserve"> and indeed the evidence given was that the appellant had met the partners family</w:t>
      </w:r>
      <w:r w:rsidR="007D0E94" w:rsidRPr="00DA616D">
        <w:rPr>
          <w:rFonts w:ascii="Book Antiqua" w:hAnsi="Book Antiqua" w:cs="Arial"/>
          <w:sz w:val="24"/>
          <w:szCs w:val="24"/>
        </w:rPr>
        <w:t xml:space="preserve"> and indeed Mark had met the appellant’s cousin</w:t>
      </w:r>
      <w:r w:rsidR="00BB3BC4" w:rsidRPr="00DA616D">
        <w:rPr>
          <w:rFonts w:ascii="Book Antiqua" w:hAnsi="Book Antiqua" w:cs="Arial"/>
          <w:sz w:val="24"/>
          <w:szCs w:val="24"/>
        </w:rPr>
        <w:t xml:space="preserve">.  </w:t>
      </w:r>
    </w:p>
    <w:p w14:paraId="2876C23D" w14:textId="6276D4EF" w:rsidR="00374811" w:rsidRPr="00DA616D" w:rsidRDefault="00144363" w:rsidP="00DA616D">
      <w:pPr>
        <w:numPr>
          <w:ilvl w:val="0"/>
          <w:numId w:val="1"/>
        </w:numPr>
        <w:tabs>
          <w:tab w:val="clear" w:pos="720"/>
        </w:tabs>
        <w:spacing w:before="240" w:after="0" w:line="240" w:lineRule="auto"/>
        <w:ind w:left="567" w:hanging="567"/>
        <w:jc w:val="both"/>
        <w:rPr>
          <w:rFonts w:ascii="Book Antiqua" w:hAnsi="Book Antiqua" w:cs="Arial"/>
          <w:sz w:val="24"/>
          <w:szCs w:val="24"/>
        </w:rPr>
      </w:pPr>
      <w:r w:rsidRPr="00DA616D">
        <w:rPr>
          <w:rFonts w:ascii="Book Antiqua" w:hAnsi="Book Antiqua" w:cs="Arial"/>
          <w:sz w:val="24"/>
          <w:szCs w:val="24"/>
        </w:rPr>
        <w:t xml:space="preserve">Despite the failure of the respondent to specifically take this point as to how the appellant would live </w:t>
      </w:r>
      <w:r w:rsidR="000B3AB6" w:rsidRPr="00DA616D">
        <w:rPr>
          <w:rFonts w:ascii="Book Antiqua" w:hAnsi="Book Antiqua" w:cs="Arial"/>
          <w:sz w:val="24"/>
          <w:szCs w:val="24"/>
        </w:rPr>
        <w:t>should he be returned to Senegal and even</w:t>
      </w:r>
      <w:r w:rsidRPr="00DA616D">
        <w:rPr>
          <w:rFonts w:ascii="Book Antiqua" w:hAnsi="Book Antiqua" w:cs="Arial"/>
          <w:sz w:val="24"/>
          <w:szCs w:val="24"/>
        </w:rPr>
        <w:t xml:space="preserve"> if the judge had not addressed this factor</w:t>
      </w:r>
      <w:r w:rsidR="000B3AB6" w:rsidRPr="00DA616D">
        <w:rPr>
          <w:rFonts w:ascii="Book Antiqua" w:hAnsi="Book Antiqua" w:cs="Arial"/>
          <w:sz w:val="24"/>
          <w:szCs w:val="24"/>
        </w:rPr>
        <w:t xml:space="preserve"> in error</w:t>
      </w:r>
      <w:r w:rsidR="0043174C" w:rsidRPr="00DA616D">
        <w:rPr>
          <w:rFonts w:ascii="Book Antiqua" w:hAnsi="Book Antiqua" w:cs="Arial"/>
          <w:sz w:val="24"/>
          <w:szCs w:val="24"/>
        </w:rPr>
        <w:t>,</w:t>
      </w:r>
      <w:r w:rsidR="000B3AB6" w:rsidRPr="00DA616D">
        <w:rPr>
          <w:rFonts w:ascii="Book Antiqua" w:hAnsi="Book Antiqua" w:cs="Arial"/>
          <w:sz w:val="24"/>
          <w:szCs w:val="24"/>
        </w:rPr>
        <w:t xml:space="preserve"> it is quite clear from the witness statement of the appellant that he </w:t>
      </w:r>
      <w:r w:rsidR="007A0FCE" w:rsidRPr="00DA616D">
        <w:rPr>
          <w:rFonts w:ascii="Book Antiqua" w:hAnsi="Book Antiqua" w:cs="Arial"/>
          <w:sz w:val="24"/>
          <w:szCs w:val="24"/>
        </w:rPr>
        <w:t xml:space="preserve">asserted he </w:t>
      </w:r>
      <w:r w:rsidR="000B3AB6" w:rsidRPr="00DA616D">
        <w:rPr>
          <w:rFonts w:ascii="Book Antiqua" w:hAnsi="Book Antiqua" w:cs="Arial"/>
          <w:sz w:val="24"/>
          <w:szCs w:val="24"/>
        </w:rPr>
        <w:t>had been bisexual for some time</w:t>
      </w:r>
      <w:r w:rsidR="000C55C0" w:rsidRPr="00DA616D">
        <w:rPr>
          <w:rFonts w:ascii="Book Antiqua" w:hAnsi="Book Antiqua" w:cs="Arial"/>
          <w:sz w:val="24"/>
          <w:szCs w:val="24"/>
        </w:rPr>
        <w:t xml:space="preserve"> and that he had been hiding his sexuality because of his religion as a Muslim and that he feared that he would be killed</w:t>
      </w:r>
      <w:r w:rsidR="00E9618E" w:rsidRPr="00DA616D">
        <w:rPr>
          <w:rFonts w:ascii="Book Antiqua" w:hAnsi="Book Antiqua" w:cs="Arial"/>
          <w:sz w:val="24"/>
          <w:szCs w:val="24"/>
        </w:rPr>
        <w:t xml:space="preserve"> </w:t>
      </w:r>
      <w:r w:rsidR="007D0E94" w:rsidRPr="00DA616D">
        <w:rPr>
          <w:rFonts w:ascii="Book Antiqua" w:hAnsi="Book Antiqua" w:cs="Arial"/>
          <w:sz w:val="24"/>
          <w:szCs w:val="24"/>
        </w:rPr>
        <w:t>on return.</w:t>
      </w:r>
      <w:r w:rsidR="00A24FFF" w:rsidRPr="00DA616D">
        <w:rPr>
          <w:rFonts w:ascii="Book Antiqua" w:hAnsi="Book Antiqua" w:cs="Arial"/>
          <w:sz w:val="24"/>
          <w:szCs w:val="24"/>
        </w:rPr>
        <w:t xml:space="preserve">  </w:t>
      </w:r>
      <w:r w:rsidR="00AB0BF0" w:rsidRPr="00DA616D">
        <w:rPr>
          <w:rFonts w:ascii="Book Antiqua" w:hAnsi="Book Antiqua" w:cs="Arial"/>
          <w:sz w:val="24"/>
          <w:szCs w:val="24"/>
        </w:rPr>
        <w:t>In his statement of additional grounds dated 28 December 2016 the appellant said “</w:t>
      </w:r>
      <w:r w:rsidR="00254F1D" w:rsidRPr="00DA616D">
        <w:rPr>
          <w:rFonts w:ascii="Book Antiqua" w:hAnsi="Book Antiqua" w:cs="Arial"/>
          <w:sz w:val="24"/>
          <w:szCs w:val="24"/>
        </w:rPr>
        <w:t>[</w:t>
      </w:r>
      <w:r w:rsidR="00AB0BF0" w:rsidRPr="00DA616D">
        <w:rPr>
          <w:rFonts w:ascii="Book Antiqua" w:hAnsi="Book Antiqua" w:cs="Arial"/>
          <w:sz w:val="24"/>
          <w:szCs w:val="24"/>
        </w:rPr>
        <w:t>t</w:t>
      </w:r>
      <w:r w:rsidR="00254F1D" w:rsidRPr="00DA616D">
        <w:rPr>
          <w:rFonts w:ascii="Book Antiqua" w:hAnsi="Book Antiqua" w:cs="Arial"/>
          <w:sz w:val="24"/>
          <w:szCs w:val="24"/>
        </w:rPr>
        <w:t>]</w:t>
      </w:r>
      <w:r w:rsidR="00AB0BF0" w:rsidRPr="00DA616D">
        <w:rPr>
          <w:rFonts w:ascii="Book Antiqua" w:hAnsi="Book Antiqua" w:cs="Arial"/>
          <w:sz w:val="24"/>
          <w:szCs w:val="24"/>
        </w:rPr>
        <w:t xml:space="preserve">he way </w:t>
      </w:r>
      <w:proofErr w:type="gramStart"/>
      <w:r w:rsidR="00AB0BF0" w:rsidRPr="00DA616D">
        <w:rPr>
          <w:rFonts w:ascii="Book Antiqua" w:hAnsi="Book Antiqua" w:cs="Arial"/>
          <w:sz w:val="24"/>
          <w:szCs w:val="24"/>
        </w:rPr>
        <w:t>a</w:t>
      </w:r>
      <w:r w:rsidR="00D5628D" w:rsidRPr="00DA616D">
        <w:rPr>
          <w:rFonts w:ascii="Book Antiqua" w:hAnsi="Book Antiqua" w:cs="Arial"/>
          <w:sz w:val="24"/>
          <w:szCs w:val="24"/>
        </w:rPr>
        <w:t>m</w:t>
      </w:r>
      <w:proofErr w:type="gramEnd"/>
      <w:r w:rsidR="00AB0BF0" w:rsidRPr="00DA616D">
        <w:rPr>
          <w:rFonts w:ascii="Book Antiqua" w:hAnsi="Book Antiqua" w:cs="Arial"/>
          <w:sz w:val="24"/>
          <w:szCs w:val="24"/>
        </w:rPr>
        <w:t xml:space="preserve"> so free to be who and what I am in this country, I can never be so free in my country </w:t>
      </w:r>
      <w:r w:rsidR="007A0FCE" w:rsidRPr="00DA616D">
        <w:rPr>
          <w:rFonts w:ascii="Book Antiqua" w:hAnsi="Book Antiqua" w:cs="Arial"/>
          <w:sz w:val="24"/>
          <w:szCs w:val="24"/>
        </w:rPr>
        <w:t>(</w:t>
      </w:r>
      <w:r w:rsidR="00AB0BF0" w:rsidRPr="00DA616D">
        <w:rPr>
          <w:rFonts w:ascii="Book Antiqua" w:hAnsi="Book Antiqua" w:cs="Arial"/>
          <w:sz w:val="24"/>
          <w:szCs w:val="24"/>
        </w:rPr>
        <w:t>Senegal</w:t>
      </w:r>
      <w:r w:rsidR="007A0FCE" w:rsidRPr="00DA616D">
        <w:rPr>
          <w:rFonts w:ascii="Book Antiqua" w:hAnsi="Book Antiqua" w:cs="Arial"/>
          <w:sz w:val="24"/>
          <w:szCs w:val="24"/>
        </w:rPr>
        <w:t>)</w:t>
      </w:r>
      <w:r w:rsidR="00AB0BF0" w:rsidRPr="00DA616D">
        <w:rPr>
          <w:rFonts w:ascii="Book Antiqua" w:hAnsi="Book Antiqua" w:cs="Arial"/>
          <w:sz w:val="24"/>
          <w:szCs w:val="24"/>
        </w:rPr>
        <w:t xml:space="preserve">. People with a different sexuality other than heterosexual </w:t>
      </w:r>
      <w:r w:rsidR="00CB31A3" w:rsidRPr="00DA616D">
        <w:rPr>
          <w:rFonts w:ascii="Book Antiqua" w:hAnsi="Book Antiqua" w:cs="Arial"/>
          <w:sz w:val="24"/>
          <w:szCs w:val="24"/>
        </w:rPr>
        <w:t xml:space="preserve">are </w:t>
      </w:r>
      <w:r w:rsidR="00AB0BF0" w:rsidRPr="00DA616D">
        <w:rPr>
          <w:rFonts w:ascii="Book Antiqua" w:hAnsi="Book Antiqua" w:cs="Arial"/>
          <w:sz w:val="24"/>
          <w:szCs w:val="24"/>
        </w:rPr>
        <w:t>given so much abused (sic) and sometimes killed</w:t>
      </w:r>
      <w:r w:rsidR="00254F1D" w:rsidRPr="00DA616D">
        <w:rPr>
          <w:rFonts w:ascii="Book Antiqua" w:hAnsi="Book Antiqua" w:cs="Arial"/>
          <w:sz w:val="24"/>
          <w:szCs w:val="24"/>
        </w:rPr>
        <w:t>”.</w:t>
      </w:r>
      <w:r w:rsidR="00BF26A3" w:rsidRPr="00DA616D">
        <w:rPr>
          <w:rFonts w:ascii="Book Antiqua" w:hAnsi="Book Antiqua" w:cs="Arial"/>
          <w:sz w:val="24"/>
          <w:szCs w:val="24"/>
        </w:rPr>
        <w:t xml:space="preserve">  I find no material error in the judge’s decision.  The appellant wished to openly express his sexuality as he had done so in the United and would be prevented from doing so in Senegal by the nature of the regime</w:t>
      </w:r>
      <w:r w:rsidR="00BF26A3" w:rsidRPr="00DA616D">
        <w:rPr>
          <w:rFonts w:ascii="Book Antiqua" w:hAnsi="Book Antiqua" w:cs="Arial"/>
          <w:b/>
          <w:sz w:val="24"/>
          <w:szCs w:val="24"/>
          <w:u w:val="single"/>
        </w:rPr>
        <w:t xml:space="preserve">. </w:t>
      </w:r>
    </w:p>
    <w:p w14:paraId="1CC15026" w14:textId="36E18FF0" w:rsidR="00AA5C72" w:rsidRPr="00DA616D" w:rsidRDefault="00254F1D" w:rsidP="00DA616D">
      <w:pPr>
        <w:numPr>
          <w:ilvl w:val="0"/>
          <w:numId w:val="1"/>
        </w:numPr>
        <w:tabs>
          <w:tab w:val="clear" w:pos="720"/>
        </w:tabs>
        <w:spacing w:before="240" w:after="0" w:line="240" w:lineRule="auto"/>
        <w:ind w:left="567" w:hanging="567"/>
        <w:jc w:val="both"/>
        <w:rPr>
          <w:rFonts w:ascii="Book Antiqua" w:hAnsi="Book Antiqua" w:cs="Arial"/>
          <w:sz w:val="24"/>
          <w:szCs w:val="24"/>
        </w:rPr>
      </w:pPr>
      <w:r w:rsidRPr="00DA616D">
        <w:rPr>
          <w:rFonts w:ascii="Book Antiqua" w:hAnsi="Book Antiqua" w:cs="Arial"/>
          <w:sz w:val="24"/>
          <w:szCs w:val="24"/>
        </w:rPr>
        <w:t xml:space="preserve">For the reasons given above I find that </w:t>
      </w:r>
      <w:r w:rsidR="0075223B" w:rsidRPr="00DA616D">
        <w:rPr>
          <w:rFonts w:ascii="Book Antiqua" w:hAnsi="Book Antiqua" w:cs="Arial"/>
          <w:sz w:val="24"/>
          <w:szCs w:val="24"/>
        </w:rPr>
        <w:t xml:space="preserve">there is no material error of law in the decision of the first-tier Tribunal, the grounds are first a disagreement with the decision and </w:t>
      </w:r>
      <w:r w:rsidR="00145B17" w:rsidRPr="00DA616D">
        <w:rPr>
          <w:rFonts w:ascii="Book Antiqua" w:hAnsi="Book Antiqua" w:cs="Arial"/>
          <w:sz w:val="24"/>
          <w:szCs w:val="24"/>
        </w:rPr>
        <w:t>secondly do not disclose a material error of law. The decision will stand</w:t>
      </w:r>
      <w:r w:rsidR="00AA5C72" w:rsidRPr="00DA616D">
        <w:rPr>
          <w:rFonts w:ascii="Book Antiqua" w:hAnsi="Book Antiqua" w:cs="Arial"/>
          <w:sz w:val="24"/>
          <w:szCs w:val="24"/>
        </w:rPr>
        <w:t xml:space="preserve">. </w:t>
      </w:r>
    </w:p>
    <w:p w14:paraId="298A8696" w14:textId="77777777" w:rsidR="00AA5C72" w:rsidRPr="00DA616D" w:rsidRDefault="00AA5C72" w:rsidP="00DA616D">
      <w:pPr>
        <w:spacing w:before="240" w:after="0" w:line="240" w:lineRule="auto"/>
        <w:jc w:val="both"/>
        <w:rPr>
          <w:rFonts w:ascii="Book Antiqua" w:hAnsi="Book Antiqua" w:cs="Arial"/>
          <w:sz w:val="24"/>
          <w:szCs w:val="24"/>
        </w:rPr>
      </w:pPr>
      <w:r w:rsidRPr="00DA616D">
        <w:rPr>
          <w:rFonts w:ascii="Book Antiqua" w:hAnsi="Book Antiqua" w:cs="Arial"/>
          <w:b/>
          <w:sz w:val="24"/>
          <w:szCs w:val="24"/>
          <w:u w:val="single"/>
        </w:rPr>
        <w:t>Direction Regarding Anonymity – Rule 14 of the Tribunal Procedure (Upper Tribunal) Rules 2008</w:t>
      </w:r>
    </w:p>
    <w:p w14:paraId="0F49A8E3" w14:textId="77777777" w:rsidR="00AA5C72" w:rsidRPr="00DA616D" w:rsidRDefault="00AA5C72" w:rsidP="00DA616D">
      <w:pPr>
        <w:spacing w:before="240" w:after="0" w:line="240" w:lineRule="auto"/>
        <w:jc w:val="both"/>
        <w:rPr>
          <w:rFonts w:ascii="Book Antiqua" w:hAnsi="Book Antiqua" w:cs="Arial"/>
          <w:sz w:val="24"/>
          <w:szCs w:val="24"/>
        </w:rPr>
      </w:pPr>
      <w:r w:rsidRPr="00DA616D">
        <w:rPr>
          <w:rFonts w:ascii="Book Antiqua" w:hAnsi="Book Antiqua" w:cs="Arial"/>
          <w:sz w:val="24"/>
          <w:szCs w:val="24"/>
        </w:rPr>
        <w:t xml:space="preserve">Unless and </w:t>
      </w:r>
      <w:r w:rsidRPr="00DA616D">
        <w:rPr>
          <w:rFonts w:ascii="Book Antiqua" w:hAnsi="Book Antiqua"/>
          <w:sz w:val="24"/>
          <w:szCs w:val="24"/>
        </w:rPr>
        <w:t>until a Tribunal or court directs otherwise, the appellant is granted anonymity.  No report of these proceedings shall directly or indirectly identify him or any member of his family.  This direction applies both to the appellant and to the respondent.  Failure to comply with this direction could lead to contempt of court proceedings.</w:t>
      </w:r>
    </w:p>
    <w:p w14:paraId="17E0B9F3" w14:textId="1E580270" w:rsidR="00AA5C72" w:rsidRDefault="00AA5C72" w:rsidP="00DA616D">
      <w:pPr>
        <w:spacing w:after="0" w:line="240" w:lineRule="auto"/>
        <w:jc w:val="both"/>
        <w:rPr>
          <w:rFonts w:ascii="Book Antiqua" w:hAnsi="Book Antiqua" w:cs="Arial"/>
          <w:sz w:val="24"/>
          <w:szCs w:val="24"/>
        </w:rPr>
      </w:pPr>
    </w:p>
    <w:p w14:paraId="316245AD" w14:textId="77777777" w:rsidR="00DA616D" w:rsidRPr="00DA616D" w:rsidRDefault="00DA616D" w:rsidP="00DA616D">
      <w:pPr>
        <w:spacing w:after="0" w:line="240" w:lineRule="auto"/>
        <w:jc w:val="both"/>
        <w:rPr>
          <w:rFonts w:ascii="Book Antiqua" w:hAnsi="Book Antiqua" w:cs="Arial"/>
          <w:sz w:val="24"/>
          <w:szCs w:val="24"/>
        </w:rPr>
      </w:pPr>
    </w:p>
    <w:p w14:paraId="0B8AFAE1" w14:textId="620712B2" w:rsidR="00AA5C72" w:rsidRPr="00DA616D" w:rsidRDefault="00AA5C72" w:rsidP="00DA616D">
      <w:pPr>
        <w:tabs>
          <w:tab w:val="left" w:pos="2127"/>
          <w:tab w:val="right" w:pos="9638"/>
        </w:tabs>
        <w:spacing w:after="0" w:line="240" w:lineRule="auto"/>
        <w:jc w:val="both"/>
        <w:rPr>
          <w:rFonts w:ascii="Book Antiqua" w:hAnsi="Book Antiqua" w:cs="Arial"/>
          <w:sz w:val="24"/>
          <w:szCs w:val="24"/>
        </w:rPr>
      </w:pPr>
      <w:r w:rsidRPr="00DA616D">
        <w:rPr>
          <w:rFonts w:ascii="Book Antiqua" w:hAnsi="Book Antiqua" w:cs="Arial"/>
          <w:sz w:val="24"/>
          <w:szCs w:val="24"/>
        </w:rPr>
        <w:t>Signed</w:t>
      </w:r>
      <w:r w:rsidRPr="00DA616D">
        <w:rPr>
          <w:rFonts w:ascii="Book Antiqua" w:hAnsi="Book Antiqua" w:cs="Arial"/>
          <w:sz w:val="24"/>
          <w:szCs w:val="24"/>
        </w:rPr>
        <w:tab/>
      </w:r>
      <w:r w:rsidR="001C20D7" w:rsidRPr="00DA616D">
        <w:rPr>
          <w:rFonts w:ascii="Blackadder ITC" w:hAnsi="Blackadder ITC" w:cs="Arial"/>
          <w:sz w:val="24"/>
          <w:szCs w:val="24"/>
        </w:rPr>
        <w:t>Helen</w:t>
      </w:r>
      <w:r w:rsidR="00DA616D">
        <w:rPr>
          <w:rFonts w:ascii="Blackadder ITC" w:hAnsi="Blackadder ITC" w:cs="Arial"/>
          <w:sz w:val="24"/>
          <w:szCs w:val="24"/>
        </w:rPr>
        <w:t xml:space="preserve"> </w:t>
      </w:r>
      <w:proofErr w:type="spellStart"/>
      <w:r w:rsidR="001C20D7" w:rsidRPr="00DA616D">
        <w:rPr>
          <w:rFonts w:ascii="Blackadder ITC" w:hAnsi="Blackadder ITC" w:cs="Arial"/>
          <w:sz w:val="24"/>
          <w:szCs w:val="24"/>
        </w:rPr>
        <w:t>Rimington</w:t>
      </w:r>
      <w:proofErr w:type="spellEnd"/>
      <w:r w:rsidRPr="00DA616D">
        <w:rPr>
          <w:rFonts w:ascii="Book Antiqua" w:hAnsi="Book Antiqua" w:cs="Arial"/>
          <w:sz w:val="24"/>
          <w:szCs w:val="24"/>
        </w:rPr>
        <w:tab/>
        <w:t>Date</w:t>
      </w:r>
      <w:r w:rsidR="00DA616D">
        <w:rPr>
          <w:rFonts w:ascii="Book Antiqua" w:hAnsi="Book Antiqua" w:cs="Arial"/>
          <w:sz w:val="24"/>
          <w:szCs w:val="24"/>
        </w:rPr>
        <w:t xml:space="preserve"> </w:t>
      </w:r>
      <w:r w:rsidR="001C20D7" w:rsidRPr="00DA616D">
        <w:rPr>
          <w:rFonts w:ascii="Book Antiqua" w:hAnsi="Book Antiqua" w:cs="Arial"/>
          <w:sz w:val="24"/>
          <w:szCs w:val="24"/>
        </w:rPr>
        <w:t>15</w:t>
      </w:r>
      <w:r w:rsidR="001C20D7" w:rsidRPr="00DA616D">
        <w:rPr>
          <w:rFonts w:ascii="Book Antiqua" w:hAnsi="Book Antiqua" w:cs="Arial"/>
          <w:sz w:val="24"/>
          <w:szCs w:val="24"/>
          <w:vertAlign w:val="superscript"/>
        </w:rPr>
        <w:t>th</w:t>
      </w:r>
      <w:r w:rsidR="001C20D7" w:rsidRPr="00DA616D">
        <w:rPr>
          <w:rFonts w:ascii="Book Antiqua" w:hAnsi="Book Antiqua" w:cs="Arial"/>
          <w:sz w:val="24"/>
          <w:szCs w:val="24"/>
        </w:rPr>
        <w:t xml:space="preserve"> August 2018</w:t>
      </w:r>
    </w:p>
    <w:p w14:paraId="1593D293" w14:textId="77777777" w:rsidR="00DA616D" w:rsidRDefault="00DA616D" w:rsidP="00DA616D">
      <w:pPr>
        <w:tabs>
          <w:tab w:val="left" w:pos="2520"/>
        </w:tabs>
        <w:spacing w:after="0" w:line="240" w:lineRule="auto"/>
        <w:jc w:val="both"/>
        <w:rPr>
          <w:rFonts w:ascii="Book Antiqua" w:hAnsi="Book Antiqua" w:cs="Arial"/>
          <w:color w:val="000000"/>
          <w:sz w:val="24"/>
          <w:szCs w:val="24"/>
        </w:rPr>
      </w:pPr>
    </w:p>
    <w:p w14:paraId="34D9EB38" w14:textId="786A0020" w:rsidR="00AA5C72" w:rsidRPr="00DA616D" w:rsidRDefault="00AA5C72" w:rsidP="00DA616D">
      <w:pPr>
        <w:tabs>
          <w:tab w:val="left" w:pos="2520"/>
        </w:tabs>
        <w:spacing w:after="0" w:line="240" w:lineRule="auto"/>
        <w:jc w:val="both"/>
        <w:rPr>
          <w:rFonts w:ascii="Book Antiqua" w:hAnsi="Book Antiqua" w:cs="Arial"/>
          <w:color w:val="000000"/>
          <w:sz w:val="24"/>
          <w:szCs w:val="24"/>
        </w:rPr>
      </w:pPr>
      <w:r w:rsidRPr="00DA616D">
        <w:rPr>
          <w:rFonts w:ascii="Book Antiqua" w:hAnsi="Book Antiqua" w:cs="Arial"/>
          <w:color w:val="000000"/>
          <w:sz w:val="24"/>
          <w:szCs w:val="24"/>
        </w:rPr>
        <w:t xml:space="preserve">Upper Tribunal Judge </w:t>
      </w:r>
      <w:proofErr w:type="spellStart"/>
      <w:r w:rsidRPr="00DA616D">
        <w:rPr>
          <w:rFonts w:ascii="Book Antiqua" w:hAnsi="Book Antiqua" w:cs="Arial"/>
          <w:color w:val="000000"/>
          <w:sz w:val="24"/>
          <w:szCs w:val="24"/>
        </w:rPr>
        <w:t>Rimington</w:t>
      </w:r>
      <w:proofErr w:type="spellEnd"/>
      <w:r w:rsidRPr="00DA616D">
        <w:rPr>
          <w:rFonts w:ascii="Book Antiqua" w:hAnsi="Book Antiqua" w:cs="Arial"/>
          <w:color w:val="000000"/>
          <w:sz w:val="24"/>
          <w:szCs w:val="24"/>
        </w:rPr>
        <w:t xml:space="preserve"> </w:t>
      </w:r>
    </w:p>
    <w:p w14:paraId="2721A4E7" w14:textId="4ADBACD5" w:rsidR="00AA5C72" w:rsidRPr="00DA616D" w:rsidRDefault="00AA5C72" w:rsidP="00DA616D">
      <w:pPr>
        <w:tabs>
          <w:tab w:val="left" w:pos="2520"/>
        </w:tabs>
        <w:spacing w:after="0" w:line="240" w:lineRule="auto"/>
        <w:jc w:val="both"/>
        <w:rPr>
          <w:rFonts w:ascii="Book Antiqua" w:hAnsi="Book Antiqua" w:cs="Arial"/>
          <w:sz w:val="24"/>
          <w:szCs w:val="24"/>
        </w:rPr>
      </w:pPr>
    </w:p>
    <w:sectPr w:rsidR="00AA5C72" w:rsidRPr="00DA616D" w:rsidSect="00DA616D">
      <w:headerReference w:type="default" r:id="rId8"/>
      <w:footerReference w:type="default" r:id="rId9"/>
      <w:headerReference w:type="first" r:id="rId10"/>
      <w:footerReference w:type="first" r:id="rId11"/>
      <w:type w:val="continuous"/>
      <w:pgSz w:w="11906" w:h="16838" w:code="9"/>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D22BDB" w14:textId="77777777" w:rsidR="00527707" w:rsidRDefault="00527707">
      <w:pPr>
        <w:spacing w:after="0" w:line="240" w:lineRule="auto"/>
      </w:pPr>
      <w:r>
        <w:separator/>
      </w:r>
    </w:p>
  </w:endnote>
  <w:endnote w:type="continuationSeparator" w:id="0">
    <w:p w14:paraId="68AD6132" w14:textId="77777777" w:rsidR="00527707" w:rsidRDefault="005277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Blackadder ITC">
    <w:panose1 w:val="04020505051007020D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C3012C" w14:textId="2DDB4F55" w:rsidR="003639B1" w:rsidRPr="00CE526A" w:rsidRDefault="002C5259" w:rsidP="003639B1">
    <w:pPr>
      <w:pStyle w:val="Footer"/>
      <w:jc w:val="center"/>
      <w:rPr>
        <w:rFonts w:ascii="Book Antiqua" w:hAnsi="Book Antiqua" w:cs="Arial"/>
        <w:sz w:val="20"/>
        <w:szCs w:val="20"/>
      </w:rPr>
    </w:pPr>
    <w:r w:rsidRPr="00CE526A">
      <w:rPr>
        <w:rStyle w:val="PageNumber"/>
        <w:rFonts w:ascii="Book Antiqua" w:hAnsi="Book Antiqua" w:cs="Arial"/>
        <w:sz w:val="20"/>
        <w:szCs w:val="20"/>
      </w:rPr>
      <w:fldChar w:fldCharType="begin"/>
    </w:r>
    <w:r w:rsidRPr="00CE526A">
      <w:rPr>
        <w:rStyle w:val="PageNumber"/>
        <w:rFonts w:ascii="Book Antiqua" w:hAnsi="Book Antiqua" w:cs="Arial"/>
        <w:sz w:val="20"/>
        <w:szCs w:val="20"/>
      </w:rPr>
      <w:instrText xml:space="preserve"> PAGE </w:instrText>
    </w:r>
    <w:r w:rsidRPr="00CE526A">
      <w:rPr>
        <w:rStyle w:val="PageNumber"/>
        <w:rFonts w:ascii="Book Antiqua" w:hAnsi="Book Antiqua" w:cs="Arial"/>
        <w:sz w:val="20"/>
        <w:szCs w:val="20"/>
      </w:rPr>
      <w:fldChar w:fldCharType="separate"/>
    </w:r>
    <w:r w:rsidR="00903545">
      <w:rPr>
        <w:rStyle w:val="PageNumber"/>
        <w:rFonts w:ascii="Book Antiqua" w:hAnsi="Book Antiqua" w:cs="Arial"/>
        <w:noProof/>
        <w:sz w:val="20"/>
        <w:szCs w:val="20"/>
      </w:rPr>
      <w:t>4</w:t>
    </w:r>
    <w:r w:rsidRPr="00CE526A">
      <w:rPr>
        <w:rStyle w:val="PageNumber"/>
        <w:rFonts w:ascii="Book Antiqua" w:hAnsi="Book Antiqua" w:cs="Arial"/>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AC6030" w14:textId="77777777" w:rsidR="003639B1" w:rsidRPr="00CE526A" w:rsidRDefault="002C5259" w:rsidP="003639B1">
    <w:pPr>
      <w:jc w:val="center"/>
      <w:rPr>
        <w:rFonts w:ascii="Book Antiqua" w:hAnsi="Book Antiqua" w:cs="Arial"/>
        <w:b/>
        <w:sz w:val="24"/>
        <w:szCs w:val="24"/>
      </w:rPr>
    </w:pPr>
    <w:r w:rsidRPr="00CE526A">
      <w:rPr>
        <w:rFonts w:ascii="Book Antiqua" w:hAnsi="Book Antiqua" w:cs="Arial"/>
        <w:b/>
        <w:spacing w:val="-6"/>
        <w:sz w:val="24"/>
        <w:szCs w:val="24"/>
      </w:rPr>
      <w:t>©</w:t>
    </w:r>
    <w:r w:rsidRPr="00CE526A">
      <w:rPr>
        <w:rFonts w:ascii="Book Antiqua" w:hAnsi="Book Antiqua" w:cs="Arial"/>
        <w:b/>
        <w:sz w:val="24"/>
        <w:szCs w:val="24"/>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D7DBC7" w14:textId="77777777" w:rsidR="00527707" w:rsidRDefault="00527707">
      <w:pPr>
        <w:spacing w:after="0" w:line="240" w:lineRule="auto"/>
      </w:pPr>
      <w:r>
        <w:separator/>
      </w:r>
    </w:p>
  </w:footnote>
  <w:footnote w:type="continuationSeparator" w:id="0">
    <w:p w14:paraId="2F8A5AFB" w14:textId="77777777" w:rsidR="00527707" w:rsidRDefault="005277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059F07" w14:textId="7D3124D1" w:rsidR="003639B1" w:rsidRPr="00CE526A" w:rsidRDefault="002C5259" w:rsidP="003639B1">
    <w:pPr>
      <w:pStyle w:val="Header"/>
      <w:jc w:val="right"/>
      <w:rPr>
        <w:rFonts w:ascii="Book Antiqua" w:hAnsi="Book Antiqua" w:cs="Arial"/>
        <w:sz w:val="20"/>
        <w:szCs w:val="20"/>
      </w:rPr>
    </w:pPr>
    <w:r w:rsidRPr="00CE526A">
      <w:rPr>
        <w:rFonts w:ascii="Book Antiqua" w:hAnsi="Book Antiqua" w:cs="Arial"/>
        <w:sz w:val="20"/>
        <w:szCs w:val="20"/>
      </w:rPr>
      <w:t xml:space="preserve">Appeal Number: </w:t>
    </w:r>
    <w:r w:rsidR="00BF1940" w:rsidRPr="00CE526A">
      <w:rPr>
        <w:rFonts w:ascii="Book Antiqua" w:hAnsi="Book Antiqua" w:cs="Arial"/>
        <w:sz w:val="20"/>
        <w:szCs w:val="20"/>
      </w:rPr>
      <w:t>PA/03991/2017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C3F056" w14:textId="77777777" w:rsidR="003639B1" w:rsidRPr="00C4371F" w:rsidRDefault="002C5259">
    <w:pPr>
      <w:pStyle w:val="Header"/>
      <w:rPr>
        <w:rFonts w:ascii="Book Antiqua" w:hAnsi="Book Antiqua"/>
      </w:rPr>
    </w:pPr>
    <w:r w:rsidRPr="00C4371F">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5C59CC"/>
    <w:multiLevelType w:val="hybridMultilevel"/>
    <w:tmpl w:val="F402856E"/>
    <w:lvl w:ilvl="0" w:tplc="0809000F">
      <w:start w:val="1"/>
      <w:numFmt w:val="decimal"/>
      <w:lvlText w:val="%1."/>
      <w:lvlJc w:val="left"/>
      <w:pPr>
        <w:tabs>
          <w:tab w:val="num" w:pos="720"/>
        </w:tabs>
        <w:ind w:left="720" w:hanging="360"/>
      </w:pPr>
    </w:lvl>
    <w:lvl w:ilvl="1" w:tplc="CAC8F7A0">
      <w:start w:val="1"/>
      <w:numFmt w:val="lowerLetter"/>
      <w:lvlText w:val="(%2)"/>
      <w:lvlJc w:val="left"/>
      <w:pPr>
        <w:tabs>
          <w:tab w:val="num" w:pos="1440"/>
        </w:tabs>
        <w:ind w:left="1440" w:hanging="360"/>
      </w:pPr>
      <w:rPr>
        <w:rFonts w:hint="default"/>
      </w:r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5E2AFFE8">
      <w:start w:val="1"/>
      <w:numFmt w:val="lowerRoman"/>
      <w:lvlText w:val="(%6)"/>
      <w:lvlJc w:val="left"/>
      <w:pPr>
        <w:tabs>
          <w:tab w:val="num" w:pos="6093"/>
        </w:tabs>
        <w:ind w:left="6093" w:hanging="1953"/>
      </w:pPr>
      <w:rPr>
        <w:rFonts w:hint="default"/>
      </w:r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332CC0D5-2370-40EB-BBA2-8F9711587D31}"/>
    <w:docVar w:name="dgnword-eventsink" w:val="714099384"/>
  </w:docVars>
  <w:rsids>
    <w:rsidRoot w:val="00AA5C72"/>
    <w:rsid w:val="00000695"/>
    <w:rsid w:val="00044281"/>
    <w:rsid w:val="00062D59"/>
    <w:rsid w:val="00075693"/>
    <w:rsid w:val="00077F9F"/>
    <w:rsid w:val="000919D6"/>
    <w:rsid w:val="000B3AB6"/>
    <w:rsid w:val="000B4D01"/>
    <w:rsid w:val="000C55C0"/>
    <w:rsid w:val="000C5F9E"/>
    <w:rsid w:val="000D54B1"/>
    <w:rsid w:val="000F35AE"/>
    <w:rsid w:val="0010198B"/>
    <w:rsid w:val="0011102B"/>
    <w:rsid w:val="00112878"/>
    <w:rsid w:val="0012524B"/>
    <w:rsid w:val="00127921"/>
    <w:rsid w:val="00131798"/>
    <w:rsid w:val="001328F2"/>
    <w:rsid w:val="00144363"/>
    <w:rsid w:val="00145B17"/>
    <w:rsid w:val="00153DFC"/>
    <w:rsid w:val="00154EF2"/>
    <w:rsid w:val="00170413"/>
    <w:rsid w:val="001A4E89"/>
    <w:rsid w:val="001A6B48"/>
    <w:rsid w:val="001B4F82"/>
    <w:rsid w:val="001C0E21"/>
    <w:rsid w:val="001C20D7"/>
    <w:rsid w:val="001E4956"/>
    <w:rsid w:val="0022677F"/>
    <w:rsid w:val="00254F1D"/>
    <w:rsid w:val="0027397D"/>
    <w:rsid w:val="002846C1"/>
    <w:rsid w:val="0028766E"/>
    <w:rsid w:val="0029490D"/>
    <w:rsid w:val="002A0811"/>
    <w:rsid w:val="002B3028"/>
    <w:rsid w:val="002C06A5"/>
    <w:rsid w:val="002C4238"/>
    <w:rsid w:val="002C5259"/>
    <w:rsid w:val="002D2B1C"/>
    <w:rsid w:val="003038E5"/>
    <w:rsid w:val="0030583E"/>
    <w:rsid w:val="00334208"/>
    <w:rsid w:val="00336750"/>
    <w:rsid w:val="00346DA3"/>
    <w:rsid w:val="0035378C"/>
    <w:rsid w:val="003572CA"/>
    <w:rsid w:val="00374811"/>
    <w:rsid w:val="003809B6"/>
    <w:rsid w:val="00382A99"/>
    <w:rsid w:val="00396E8F"/>
    <w:rsid w:val="003A227F"/>
    <w:rsid w:val="003A4323"/>
    <w:rsid w:val="003B6A97"/>
    <w:rsid w:val="003D2DAB"/>
    <w:rsid w:val="003E4595"/>
    <w:rsid w:val="00410315"/>
    <w:rsid w:val="004152A4"/>
    <w:rsid w:val="0043174C"/>
    <w:rsid w:val="00454C66"/>
    <w:rsid w:val="00461ED1"/>
    <w:rsid w:val="00471C2C"/>
    <w:rsid w:val="004761A2"/>
    <w:rsid w:val="00483B1A"/>
    <w:rsid w:val="00483B95"/>
    <w:rsid w:val="004A05CD"/>
    <w:rsid w:val="004A145F"/>
    <w:rsid w:val="004A3E13"/>
    <w:rsid w:val="004A513E"/>
    <w:rsid w:val="004A607E"/>
    <w:rsid w:val="004F1A04"/>
    <w:rsid w:val="005120F9"/>
    <w:rsid w:val="0052143B"/>
    <w:rsid w:val="00522E69"/>
    <w:rsid w:val="00527707"/>
    <w:rsid w:val="00530DD3"/>
    <w:rsid w:val="00543F27"/>
    <w:rsid w:val="005449C0"/>
    <w:rsid w:val="005533E6"/>
    <w:rsid w:val="005C00E6"/>
    <w:rsid w:val="005C2C14"/>
    <w:rsid w:val="005D1823"/>
    <w:rsid w:val="005E3FDB"/>
    <w:rsid w:val="00602870"/>
    <w:rsid w:val="00607382"/>
    <w:rsid w:val="00616AAA"/>
    <w:rsid w:val="00623913"/>
    <w:rsid w:val="00635708"/>
    <w:rsid w:val="00637990"/>
    <w:rsid w:val="00650526"/>
    <w:rsid w:val="00674653"/>
    <w:rsid w:val="006D2E45"/>
    <w:rsid w:val="006F2D66"/>
    <w:rsid w:val="007054E0"/>
    <w:rsid w:val="00716280"/>
    <w:rsid w:val="00725803"/>
    <w:rsid w:val="007416A7"/>
    <w:rsid w:val="0075223B"/>
    <w:rsid w:val="00754BAC"/>
    <w:rsid w:val="00756BD7"/>
    <w:rsid w:val="00761D9A"/>
    <w:rsid w:val="00761DAE"/>
    <w:rsid w:val="007717B9"/>
    <w:rsid w:val="007766B2"/>
    <w:rsid w:val="007802C4"/>
    <w:rsid w:val="007947BD"/>
    <w:rsid w:val="00795193"/>
    <w:rsid w:val="007A0FCE"/>
    <w:rsid w:val="007B57C6"/>
    <w:rsid w:val="007D0CC3"/>
    <w:rsid w:val="007D0E94"/>
    <w:rsid w:val="007D3620"/>
    <w:rsid w:val="007D5C3A"/>
    <w:rsid w:val="007D6528"/>
    <w:rsid w:val="007E1521"/>
    <w:rsid w:val="007F1398"/>
    <w:rsid w:val="008132F2"/>
    <w:rsid w:val="0083288C"/>
    <w:rsid w:val="00842157"/>
    <w:rsid w:val="00847249"/>
    <w:rsid w:val="008659CB"/>
    <w:rsid w:val="00892FFD"/>
    <w:rsid w:val="008E5032"/>
    <w:rsid w:val="009020DE"/>
    <w:rsid w:val="0090298F"/>
    <w:rsid w:val="00903545"/>
    <w:rsid w:val="009059A5"/>
    <w:rsid w:val="00912920"/>
    <w:rsid w:val="00914A8A"/>
    <w:rsid w:val="00930917"/>
    <w:rsid w:val="0094659D"/>
    <w:rsid w:val="0097317C"/>
    <w:rsid w:val="00981AF4"/>
    <w:rsid w:val="009A7444"/>
    <w:rsid w:val="009C2F75"/>
    <w:rsid w:val="009F485C"/>
    <w:rsid w:val="009F4F4A"/>
    <w:rsid w:val="009F7C9B"/>
    <w:rsid w:val="009F7D59"/>
    <w:rsid w:val="00A04B49"/>
    <w:rsid w:val="00A1587F"/>
    <w:rsid w:val="00A17B4F"/>
    <w:rsid w:val="00A2027C"/>
    <w:rsid w:val="00A24123"/>
    <w:rsid w:val="00A24FFF"/>
    <w:rsid w:val="00A90986"/>
    <w:rsid w:val="00A90CBE"/>
    <w:rsid w:val="00AA5C72"/>
    <w:rsid w:val="00AA741B"/>
    <w:rsid w:val="00AB0BF0"/>
    <w:rsid w:val="00AD0588"/>
    <w:rsid w:val="00AD7490"/>
    <w:rsid w:val="00AD7867"/>
    <w:rsid w:val="00AE1499"/>
    <w:rsid w:val="00AF7D59"/>
    <w:rsid w:val="00B031A5"/>
    <w:rsid w:val="00B0382E"/>
    <w:rsid w:val="00B17452"/>
    <w:rsid w:val="00B258B0"/>
    <w:rsid w:val="00B25E2D"/>
    <w:rsid w:val="00B36637"/>
    <w:rsid w:val="00B7130D"/>
    <w:rsid w:val="00B75986"/>
    <w:rsid w:val="00B75AEF"/>
    <w:rsid w:val="00B945A9"/>
    <w:rsid w:val="00BA2314"/>
    <w:rsid w:val="00BA76FA"/>
    <w:rsid w:val="00BB338A"/>
    <w:rsid w:val="00BB3BC4"/>
    <w:rsid w:val="00BF1940"/>
    <w:rsid w:val="00BF26A3"/>
    <w:rsid w:val="00BF444F"/>
    <w:rsid w:val="00C0543B"/>
    <w:rsid w:val="00C10897"/>
    <w:rsid w:val="00C123E0"/>
    <w:rsid w:val="00C129CF"/>
    <w:rsid w:val="00C15F15"/>
    <w:rsid w:val="00C21F3C"/>
    <w:rsid w:val="00C2273A"/>
    <w:rsid w:val="00C32711"/>
    <w:rsid w:val="00C35886"/>
    <w:rsid w:val="00C512B9"/>
    <w:rsid w:val="00C549F7"/>
    <w:rsid w:val="00C64BEC"/>
    <w:rsid w:val="00C67DBB"/>
    <w:rsid w:val="00C7038C"/>
    <w:rsid w:val="00C70AF1"/>
    <w:rsid w:val="00C71293"/>
    <w:rsid w:val="00C72A43"/>
    <w:rsid w:val="00C85696"/>
    <w:rsid w:val="00CB31A3"/>
    <w:rsid w:val="00CE526A"/>
    <w:rsid w:val="00D35EA3"/>
    <w:rsid w:val="00D5628D"/>
    <w:rsid w:val="00D81E3F"/>
    <w:rsid w:val="00DA616D"/>
    <w:rsid w:val="00DD1FF6"/>
    <w:rsid w:val="00DD6722"/>
    <w:rsid w:val="00DE6642"/>
    <w:rsid w:val="00E0001B"/>
    <w:rsid w:val="00E0500F"/>
    <w:rsid w:val="00E20A97"/>
    <w:rsid w:val="00E22D0E"/>
    <w:rsid w:val="00E733DA"/>
    <w:rsid w:val="00E7471B"/>
    <w:rsid w:val="00E76590"/>
    <w:rsid w:val="00E917FB"/>
    <w:rsid w:val="00E9618E"/>
    <w:rsid w:val="00EA1342"/>
    <w:rsid w:val="00EA2F13"/>
    <w:rsid w:val="00EA6972"/>
    <w:rsid w:val="00EA6E1D"/>
    <w:rsid w:val="00EB15AE"/>
    <w:rsid w:val="00EC183C"/>
    <w:rsid w:val="00ED492C"/>
    <w:rsid w:val="00EE3883"/>
    <w:rsid w:val="00EF57EF"/>
    <w:rsid w:val="00F15AB7"/>
    <w:rsid w:val="00F33344"/>
    <w:rsid w:val="00F378FB"/>
    <w:rsid w:val="00F5042E"/>
    <w:rsid w:val="00FA6785"/>
    <w:rsid w:val="00FB35C5"/>
    <w:rsid w:val="00FB396C"/>
    <w:rsid w:val="00FC6D0B"/>
    <w:rsid w:val="00FC7046"/>
    <w:rsid w:val="00FD234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0947C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A5C72"/>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AA5C72"/>
    <w:pPr>
      <w:tabs>
        <w:tab w:val="center" w:pos="4153"/>
        <w:tab w:val="right" w:pos="8306"/>
      </w:tabs>
      <w:spacing w:after="0" w:line="240" w:lineRule="auto"/>
    </w:pPr>
    <w:rPr>
      <w:rFonts w:ascii="Times New Roman" w:eastAsia="Times New Roman" w:hAnsi="Times New Roman"/>
      <w:sz w:val="24"/>
      <w:szCs w:val="24"/>
      <w:lang w:eastAsia="en-GB"/>
    </w:rPr>
  </w:style>
  <w:style w:type="character" w:customStyle="1" w:styleId="HeaderChar">
    <w:name w:val="Header Char"/>
    <w:basedOn w:val="DefaultParagraphFont"/>
    <w:link w:val="Header"/>
    <w:rsid w:val="00AA5C72"/>
    <w:rPr>
      <w:rFonts w:ascii="Times New Roman" w:eastAsia="Times New Roman" w:hAnsi="Times New Roman" w:cs="Times New Roman"/>
      <w:sz w:val="24"/>
      <w:szCs w:val="24"/>
      <w:lang w:eastAsia="en-GB"/>
    </w:rPr>
  </w:style>
  <w:style w:type="paragraph" w:styleId="Footer">
    <w:name w:val="footer"/>
    <w:basedOn w:val="Normal"/>
    <w:link w:val="FooterChar"/>
    <w:rsid w:val="00AA5C72"/>
    <w:pPr>
      <w:tabs>
        <w:tab w:val="center" w:pos="4153"/>
        <w:tab w:val="right" w:pos="8306"/>
      </w:tabs>
      <w:spacing w:after="0" w:line="240" w:lineRule="auto"/>
    </w:pPr>
    <w:rPr>
      <w:rFonts w:ascii="Times New Roman" w:eastAsia="Times New Roman" w:hAnsi="Times New Roman"/>
      <w:sz w:val="24"/>
      <w:szCs w:val="24"/>
      <w:lang w:eastAsia="en-GB"/>
    </w:rPr>
  </w:style>
  <w:style w:type="character" w:customStyle="1" w:styleId="FooterChar">
    <w:name w:val="Footer Char"/>
    <w:basedOn w:val="DefaultParagraphFont"/>
    <w:link w:val="Footer"/>
    <w:rsid w:val="00AA5C72"/>
    <w:rPr>
      <w:rFonts w:ascii="Times New Roman" w:eastAsia="Times New Roman" w:hAnsi="Times New Roman" w:cs="Times New Roman"/>
      <w:sz w:val="24"/>
      <w:szCs w:val="24"/>
      <w:lang w:eastAsia="en-GB"/>
    </w:rPr>
  </w:style>
  <w:style w:type="character" w:styleId="PageNumber">
    <w:name w:val="page number"/>
    <w:rsid w:val="00AA5C72"/>
  </w:style>
  <w:style w:type="paragraph" w:styleId="BalloonText">
    <w:name w:val="Balloon Text"/>
    <w:basedOn w:val="Normal"/>
    <w:link w:val="BalloonTextChar"/>
    <w:uiPriority w:val="99"/>
    <w:semiHidden/>
    <w:unhideWhenUsed/>
    <w:rsid w:val="00914A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4A8A"/>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2427</Words>
  <Characters>13836</Characters>
  <Application>Microsoft Office Word</Application>
  <DocSecurity>0</DocSecurity>
  <Lines>115</Lines>
  <Paragraphs>32</Paragraphs>
  <ScaleCrop>false</ScaleCrop>
  <Company/>
  <LinksUpToDate>false</LinksUpToDate>
  <CharactersWithSpaces>16231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2018-09-18T10:49:00Z</dcterms:created>
  <dcterms:modified xsi:type="dcterms:W3CDTF">2018-09-18T10:49:00Z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