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Default="00E733FB" w:rsidP="00041662">
      <w:pPr>
        <w:jc w:val="center"/>
        <w:rPr>
          <w:rFonts w:ascii="Book Antiqua" w:hAnsi="Book Antiqua" w:cs="Arial"/>
          <w:sz w:val="16"/>
          <w:szCs w:val="16"/>
        </w:rPr>
      </w:pPr>
      <w:r>
        <w:rPr>
          <w:noProof/>
        </w:rPr>
        <w:drawing>
          <wp:inline distT="0" distB="0" distL="0" distR="0" wp14:anchorId="6C7B374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F63A07" w:rsidRPr="00A56832" w:rsidRDefault="00F63A07" w:rsidP="00041662">
      <w:pPr>
        <w:jc w:val="center"/>
        <w:rPr>
          <w:rFonts w:ascii="Book Antiqua" w:hAnsi="Book Antiqua" w:cs="Arial"/>
          <w:sz w:val="16"/>
          <w:szCs w:val="16"/>
        </w:rPr>
      </w:pPr>
    </w:p>
    <w:p w:rsidR="00041662" w:rsidRPr="00A56832" w:rsidRDefault="000D44AB" w:rsidP="00B626FA">
      <w:pPr>
        <w:tabs>
          <w:tab w:val="right" w:pos="9639"/>
        </w:tabs>
        <w:rPr>
          <w:rFonts w:ascii="Book Antiqua" w:hAnsi="Book Antiqua" w:cs="Arial"/>
          <w:b/>
        </w:rPr>
      </w:pPr>
      <w:r>
        <w:rPr>
          <w:rFonts w:ascii="Book Antiqua" w:hAnsi="Book Antiqua" w:cs="Arial"/>
          <w:b/>
        </w:rPr>
        <w:t>Upper</w:t>
      </w:r>
      <w:r w:rsidR="00041662" w:rsidRPr="00A56832">
        <w:rPr>
          <w:rFonts w:ascii="Book Antiqua" w:hAnsi="Book Antiqua" w:cs="Arial"/>
          <w:b/>
        </w:rPr>
        <w:t xml:space="preserve"> Tribunal </w:t>
      </w:r>
    </w:p>
    <w:p w:rsidR="007B0824" w:rsidRPr="00A56832" w:rsidRDefault="00041662" w:rsidP="00B626FA">
      <w:pPr>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0D44AB">
        <w:rPr>
          <w:rFonts w:ascii="Book Antiqua" w:hAnsi="Book Antiqua" w:cs="Arial"/>
        </w:rPr>
        <w:t>PA/</w:t>
      </w:r>
      <w:r w:rsidR="00B17C0A">
        <w:rPr>
          <w:rFonts w:ascii="Book Antiqua" w:hAnsi="Book Antiqua" w:cs="Arial"/>
        </w:rPr>
        <w:t>04114</w:t>
      </w:r>
      <w:r w:rsidR="000D44AB">
        <w:rPr>
          <w:rFonts w:ascii="Book Antiqua" w:hAnsi="Book Antiqua" w:cs="Arial"/>
        </w:rPr>
        <w:t>/2017</w:t>
      </w:r>
      <w:bookmarkEnd w:id="0"/>
    </w:p>
    <w:p w:rsidR="00C345E1" w:rsidRPr="00A56832" w:rsidRDefault="00C345E1" w:rsidP="00C345E1">
      <w:pPr>
        <w:jc w:val="center"/>
        <w:rPr>
          <w:rFonts w:ascii="Book Antiqua" w:hAnsi="Book Antiqua" w:cs="Arial"/>
        </w:rPr>
      </w:pPr>
    </w:p>
    <w:p w:rsidR="00F63A07" w:rsidRDefault="00F63A07"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F63A07" w:rsidRPr="00A56832" w:rsidRDefault="00F63A07" w:rsidP="00C345E1">
      <w:pPr>
        <w:jc w:val="center"/>
        <w:rPr>
          <w:rFonts w:ascii="Book Antiqua" w:hAnsi="Book Antiqua" w:cs="Arial"/>
          <w:b/>
          <w:u w:val="single"/>
        </w:rPr>
      </w:pPr>
    </w:p>
    <w:p w:rsidR="00C345E1" w:rsidRPr="00A56832"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29"/>
        <w:gridCol w:w="3909"/>
      </w:tblGrid>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r w:rsidRPr="00021EA4">
              <w:rPr>
                <w:rFonts w:ascii="Book Antiqua" w:hAnsi="Book Antiqua" w:cs="Arial"/>
                <w:b/>
              </w:rPr>
              <w:t xml:space="preserve">Heard at </w:t>
            </w:r>
            <w:r w:rsidR="00D41536" w:rsidRPr="00021EA4">
              <w:rPr>
                <w:rFonts w:ascii="Book Antiqua" w:hAnsi="Book Antiqua" w:cs="Arial"/>
                <w:b/>
              </w:rPr>
              <w:t>Birmingham</w:t>
            </w:r>
          </w:p>
        </w:tc>
        <w:tc>
          <w:tcPr>
            <w:tcW w:w="3986" w:type="dxa"/>
            <w:shd w:val="clear" w:color="auto" w:fill="auto"/>
          </w:tcPr>
          <w:p w:rsidR="00D22636" w:rsidRPr="00021EA4" w:rsidRDefault="00B63045" w:rsidP="00021EA4">
            <w:pPr>
              <w:jc w:val="center"/>
              <w:rPr>
                <w:rFonts w:ascii="Book Antiqua" w:hAnsi="Book Antiqua" w:cs="Arial"/>
                <w:b/>
              </w:rPr>
            </w:pPr>
            <w:r w:rsidRPr="00021EA4">
              <w:rPr>
                <w:rFonts w:ascii="Book Antiqua" w:hAnsi="Book Antiqua" w:cs="Arial"/>
                <w:b/>
              </w:rPr>
              <w:t xml:space="preserve">Decision &amp; Reasons </w:t>
            </w:r>
            <w:r w:rsidR="00283659" w:rsidRPr="00021EA4">
              <w:rPr>
                <w:rFonts w:ascii="Book Antiqua" w:hAnsi="Book Antiqua" w:cs="Arial"/>
                <w:b/>
              </w:rPr>
              <w:t>Promulgated</w:t>
            </w:r>
          </w:p>
        </w:tc>
      </w:tr>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r w:rsidRPr="00021EA4">
              <w:rPr>
                <w:rFonts w:ascii="Book Antiqua" w:hAnsi="Book Antiqua" w:cs="Arial"/>
                <w:b/>
              </w:rPr>
              <w:t xml:space="preserve">On </w:t>
            </w:r>
            <w:r w:rsidR="000D44AB">
              <w:rPr>
                <w:rFonts w:ascii="Book Antiqua" w:hAnsi="Book Antiqua" w:cs="Arial"/>
                <w:b/>
              </w:rPr>
              <w:t>10 July 2018</w:t>
            </w:r>
          </w:p>
        </w:tc>
        <w:tc>
          <w:tcPr>
            <w:tcW w:w="3986" w:type="dxa"/>
            <w:shd w:val="clear" w:color="auto" w:fill="auto"/>
          </w:tcPr>
          <w:p w:rsidR="00D22636" w:rsidRPr="00021EA4" w:rsidRDefault="00E733FB" w:rsidP="00021EA4">
            <w:pPr>
              <w:jc w:val="both"/>
              <w:rPr>
                <w:rFonts w:ascii="Book Antiqua" w:hAnsi="Book Antiqua" w:cs="Arial"/>
                <w:b/>
              </w:rPr>
            </w:pPr>
            <w:r>
              <w:rPr>
                <w:rFonts w:ascii="Book Antiqua" w:hAnsi="Book Antiqua" w:cs="Arial"/>
                <w:b/>
              </w:rPr>
              <w:t>On 10 August 2018</w:t>
            </w:r>
          </w:p>
        </w:tc>
      </w:tr>
      <w:tr w:rsidR="00D22636" w:rsidRPr="00021EA4" w:rsidTr="00021EA4">
        <w:tc>
          <w:tcPr>
            <w:tcW w:w="5868" w:type="dxa"/>
            <w:shd w:val="clear" w:color="auto" w:fill="auto"/>
          </w:tcPr>
          <w:p w:rsidR="00D22636" w:rsidRDefault="00D22636" w:rsidP="00021EA4">
            <w:pPr>
              <w:jc w:val="both"/>
              <w:rPr>
                <w:rFonts w:ascii="Book Antiqua" w:hAnsi="Book Antiqua" w:cs="Arial"/>
                <w:b/>
              </w:rPr>
            </w:pPr>
          </w:p>
          <w:p w:rsidR="00AF512D" w:rsidRPr="00021EA4" w:rsidRDefault="00AF512D" w:rsidP="00021EA4">
            <w:pPr>
              <w:jc w:val="both"/>
              <w:rPr>
                <w:rFonts w:ascii="Book Antiqua" w:hAnsi="Book Antiqua" w:cs="Arial"/>
                <w:b/>
              </w:rPr>
            </w:pPr>
          </w:p>
        </w:tc>
        <w:tc>
          <w:tcPr>
            <w:tcW w:w="3986" w:type="dxa"/>
            <w:shd w:val="clear" w:color="auto" w:fill="auto"/>
          </w:tcPr>
          <w:p w:rsidR="00D22636" w:rsidRPr="00021EA4" w:rsidRDefault="00D22636" w:rsidP="00021EA4">
            <w:pPr>
              <w:jc w:val="both"/>
              <w:rPr>
                <w:rFonts w:ascii="Book Antiqua" w:hAnsi="Book Antiqua" w:cs="Arial"/>
                <w:b/>
              </w:rPr>
            </w:pPr>
          </w:p>
        </w:tc>
      </w:tr>
    </w:tbl>
    <w:p w:rsidR="00A15234" w:rsidRPr="00A56832" w:rsidRDefault="00C51FDE" w:rsidP="00A15234">
      <w:pPr>
        <w:jc w:val="center"/>
        <w:rPr>
          <w:rFonts w:ascii="Book Antiqua" w:hAnsi="Book Antiqua" w:cs="Arial"/>
          <w:b/>
        </w:rPr>
      </w:pPr>
      <w:r>
        <w:rPr>
          <w:rFonts w:ascii="Book Antiqua" w:hAnsi="Book Antiqua" w:cs="Arial"/>
        </w:rPr>
        <w:t>B</w:t>
      </w:r>
      <w:r w:rsidR="00207617" w:rsidRPr="00A56832">
        <w:rPr>
          <w:rFonts w:ascii="Book Antiqua" w:hAnsi="Book Antiqua" w:cs="Arial"/>
          <w:b/>
        </w:rPr>
        <w:t>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5E542E" w:rsidP="00A15234">
      <w:pPr>
        <w:jc w:val="center"/>
        <w:rPr>
          <w:rFonts w:ascii="Book Antiqua" w:hAnsi="Book Antiqua" w:cs="Arial"/>
          <w:b/>
        </w:rPr>
      </w:pPr>
      <w:r>
        <w:rPr>
          <w:rFonts w:ascii="Book Antiqua" w:hAnsi="Book Antiqua" w:cs="Arial"/>
          <w:b/>
        </w:rPr>
        <w:t>DEPUTY UPPER</w:t>
      </w:r>
      <w:r w:rsidR="008F07F8">
        <w:rPr>
          <w:rFonts w:ascii="Book Antiqua" w:hAnsi="Book Antiqua" w:cs="Arial"/>
          <w:b/>
        </w:rPr>
        <w:t xml:space="preserve"> TRIBUNAL </w:t>
      </w:r>
      <w:r>
        <w:rPr>
          <w:rFonts w:ascii="Book Antiqua" w:hAnsi="Book Antiqua" w:cs="Arial"/>
          <w:b/>
        </w:rPr>
        <w:t xml:space="preserve">JUDGE </w:t>
      </w:r>
      <w:r w:rsidR="00D41536">
        <w:rPr>
          <w:rFonts w:ascii="Book Antiqua" w:hAnsi="Book Antiqua" w:cs="Arial"/>
          <w:b/>
        </w:rPr>
        <w:t>McCARTHY</w:t>
      </w:r>
    </w:p>
    <w:p w:rsidR="0064629B" w:rsidRPr="00A56832" w:rsidRDefault="0064629B" w:rsidP="00A15234">
      <w:pPr>
        <w:jc w:val="center"/>
        <w:rPr>
          <w:rFonts w:ascii="Book Antiqua" w:hAnsi="Book Antiqua" w:cs="Arial"/>
          <w:b/>
        </w:rPr>
      </w:pPr>
    </w:p>
    <w:p w:rsidR="00F63A07" w:rsidRDefault="00F63A07" w:rsidP="00A15234">
      <w:pPr>
        <w:jc w:val="center"/>
        <w:rPr>
          <w:rFonts w:ascii="Book Antiqua" w:hAnsi="Book Antiqua" w:cs="Arial"/>
          <w:b/>
        </w:rPr>
      </w:pPr>
    </w:p>
    <w:p w:rsidR="00A845DC" w:rsidRPr="00A56832" w:rsidRDefault="00A845DC" w:rsidP="00A15234">
      <w:pPr>
        <w:jc w:val="center"/>
        <w:rPr>
          <w:rFonts w:ascii="Book Antiqua" w:hAnsi="Book Antiqua" w:cs="Arial"/>
          <w:b/>
        </w:rPr>
      </w:pPr>
      <w:r w:rsidRPr="00A56832">
        <w:rPr>
          <w:rFonts w:ascii="Book Antiqua" w:hAnsi="Book Antiqua" w:cs="Arial"/>
          <w:b/>
        </w:rPr>
        <w:t>Between</w:t>
      </w:r>
    </w:p>
    <w:p w:rsidR="00A845DC" w:rsidRPr="00A56832" w:rsidRDefault="00A845DC" w:rsidP="00A15234">
      <w:pPr>
        <w:jc w:val="center"/>
        <w:rPr>
          <w:rFonts w:ascii="Book Antiqua" w:hAnsi="Book Antiqua" w:cs="Arial"/>
          <w:b/>
        </w:rPr>
      </w:pPr>
    </w:p>
    <w:p w:rsidR="00742A8D" w:rsidRDefault="00B17C0A" w:rsidP="00742A8D">
      <w:pPr>
        <w:jc w:val="center"/>
        <w:rPr>
          <w:rFonts w:ascii="Book Antiqua" w:hAnsi="Book Antiqua" w:cs="Arial"/>
          <w:b/>
          <w:caps/>
        </w:rPr>
      </w:pPr>
      <w:r>
        <w:rPr>
          <w:rFonts w:ascii="Book Antiqua" w:hAnsi="Book Antiqua" w:cs="Arial"/>
          <w:b/>
          <w:caps/>
        </w:rPr>
        <w:t>abdulaahi mohamed hassan</w:t>
      </w:r>
    </w:p>
    <w:p w:rsidR="00E80E94" w:rsidRPr="00437422" w:rsidRDefault="00E80E94" w:rsidP="00742A8D">
      <w:pPr>
        <w:jc w:val="center"/>
        <w:rPr>
          <w:rFonts w:ascii="Book Antiqua" w:hAnsi="Book Antiqua" w:cs="Arial"/>
          <w:b/>
          <w:caps/>
          <w:sz w:val="22"/>
        </w:rPr>
      </w:pPr>
      <w:r w:rsidRPr="00437422">
        <w:rPr>
          <w:rFonts w:ascii="Book Antiqua" w:hAnsi="Book Antiqua" w:cs="Arial"/>
          <w:b/>
          <w:caps/>
          <w:sz w:val="22"/>
        </w:rPr>
        <w:t xml:space="preserve">(anonymity direction </w:t>
      </w:r>
      <w:r w:rsidR="00511BE5" w:rsidRPr="00437422">
        <w:rPr>
          <w:rFonts w:ascii="Book Antiqua" w:hAnsi="Book Antiqua" w:cs="Arial"/>
          <w:b/>
          <w:caps/>
          <w:sz w:val="22"/>
        </w:rPr>
        <w:t xml:space="preserve">NOT </w:t>
      </w:r>
      <w:r w:rsidR="00D41536" w:rsidRPr="00437422">
        <w:rPr>
          <w:rFonts w:ascii="Book Antiqua" w:hAnsi="Book Antiqua" w:cs="Arial"/>
          <w:b/>
          <w:caps/>
          <w:sz w:val="22"/>
        </w:rPr>
        <w:t>MADE</w:t>
      </w:r>
      <w:r w:rsidRPr="00437422">
        <w:rPr>
          <w:rFonts w:ascii="Book Antiqua" w:hAnsi="Book Antiqua" w:cs="Arial"/>
          <w:b/>
          <w:caps/>
          <w:sz w:val="22"/>
        </w:rPr>
        <w:t>)</w:t>
      </w:r>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Pr="00A56832" w:rsidRDefault="00DD5071" w:rsidP="00704B61">
      <w:pPr>
        <w:jc w:val="center"/>
        <w:rPr>
          <w:rFonts w:ascii="Book Antiqua" w:hAnsi="Book Antiqua" w:cs="Arial"/>
          <w:b/>
        </w:rPr>
      </w:pPr>
      <w:r w:rsidRPr="00A56832">
        <w:rPr>
          <w:rFonts w:ascii="Book Antiqua" w:hAnsi="Book Antiqua" w:cs="Arial"/>
          <w:b/>
        </w:rPr>
        <w:t>and</w:t>
      </w:r>
    </w:p>
    <w:p w:rsidR="00DD5071" w:rsidRPr="00A56832" w:rsidRDefault="00DD5071" w:rsidP="00704B61">
      <w:pPr>
        <w:jc w:val="center"/>
        <w:rPr>
          <w:rFonts w:ascii="Book Antiqua" w:hAnsi="Book Antiqua" w:cs="Arial"/>
          <w:b/>
        </w:rPr>
      </w:pPr>
    </w:p>
    <w:p w:rsidR="00DD5071" w:rsidRPr="00A56832" w:rsidRDefault="00DD5071" w:rsidP="00704B61">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1"/>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Default="00DD5071" w:rsidP="00DD5071">
      <w:pPr>
        <w:rPr>
          <w:rFonts w:ascii="Book Antiqua" w:hAnsi="Book Antiqua" w:cs="Arial"/>
          <w:u w:val="single"/>
        </w:rPr>
      </w:pPr>
    </w:p>
    <w:p w:rsidR="00437422" w:rsidRPr="00A56832" w:rsidRDefault="00437422" w:rsidP="00DD5071">
      <w:pPr>
        <w:rPr>
          <w:rFonts w:ascii="Book Antiqua" w:hAnsi="Book Antiqua" w:cs="Arial"/>
          <w:u w:val="single"/>
        </w:rPr>
      </w:pPr>
    </w:p>
    <w:p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437422">
      <w:pPr>
        <w:tabs>
          <w:tab w:val="left" w:pos="2552"/>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B17C0A">
        <w:rPr>
          <w:rFonts w:ascii="Book Antiqua" w:hAnsi="Book Antiqua" w:cs="Arial"/>
        </w:rPr>
        <w:t xml:space="preserve">Ms U </w:t>
      </w:r>
      <w:proofErr w:type="spellStart"/>
      <w:r w:rsidR="00B17C0A">
        <w:rPr>
          <w:rFonts w:ascii="Book Antiqua" w:hAnsi="Book Antiqua" w:cs="Arial"/>
        </w:rPr>
        <w:t>Sood</w:t>
      </w:r>
      <w:proofErr w:type="spellEnd"/>
      <w:r w:rsidR="00B17C0A">
        <w:rPr>
          <w:rFonts w:ascii="Book Antiqua" w:hAnsi="Book Antiqua" w:cs="Arial"/>
        </w:rPr>
        <w:t>, Counsel, direct access</w:t>
      </w:r>
    </w:p>
    <w:p w:rsidR="00DE7DB7" w:rsidRPr="00A56832" w:rsidRDefault="00DE7DB7" w:rsidP="00437422">
      <w:pPr>
        <w:tabs>
          <w:tab w:val="left" w:pos="2552"/>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0D44AB">
        <w:rPr>
          <w:rFonts w:ascii="Book Antiqua" w:hAnsi="Book Antiqua" w:cs="Arial"/>
        </w:rPr>
        <w:t>Mr D Mills, Senior Home Office Presenting Officer</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0D44AB" w:rsidP="00402B9E">
      <w:pPr>
        <w:tabs>
          <w:tab w:val="left" w:pos="2520"/>
        </w:tabs>
        <w:jc w:val="center"/>
        <w:rPr>
          <w:rFonts w:ascii="Book Antiqua" w:hAnsi="Book Antiqua" w:cs="Arial"/>
        </w:rPr>
      </w:pPr>
      <w:r>
        <w:rPr>
          <w:rFonts w:ascii="Book Antiqua" w:hAnsi="Book Antiqua" w:cs="Arial"/>
          <w:b/>
          <w:u w:val="single"/>
        </w:rPr>
        <w:t>DECISION</w:t>
      </w:r>
      <w:r w:rsidR="00B17C0A">
        <w:rPr>
          <w:rFonts w:ascii="Book Antiqua" w:hAnsi="Book Antiqua" w:cs="Arial"/>
          <w:b/>
          <w:u w:val="single"/>
        </w:rPr>
        <w:t xml:space="preserve"> AND REASONS</w:t>
      </w:r>
    </w:p>
    <w:p w:rsidR="00742A8D" w:rsidRDefault="000D44AB" w:rsidP="006E3C90">
      <w:pPr>
        <w:numPr>
          <w:ilvl w:val="0"/>
          <w:numId w:val="3"/>
        </w:numPr>
        <w:spacing w:before="240"/>
        <w:jc w:val="both"/>
        <w:rPr>
          <w:rFonts w:ascii="Book Antiqua" w:hAnsi="Book Antiqua" w:cs="Arial"/>
        </w:rPr>
      </w:pPr>
      <w:r>
        <w:rPr>
          <w:rFonts w:ascii="Book Antiqua" w:hAnsi="Book Antiqua" w:cs="Arial"/>
        </w:rPr>
        <w:t xml:space="preserve">The appellant was born on </w:t>
      </w:r>
      <w:r w:rsidR="008F1F5A">
        <w:rPr>
          <w:rFonts w:ascii="Book Antiqua" w:hAnsi="Book Antiqua" w:cs="Arial"/>
        </w:rPr>
        <w:t>25 December 1992</w:t>
      </w:r>
      <w:r>
        <w:rPr>
          <w:rFonts w:ascii="Book Antiqua" w:hAnsi="Book Antiqua" w:cs="Arial"/>
        </w:rPr>
        <w:t xml:space="preserve"> and is a citizen of </w:t>
      </w:r>
      <w:r w:rsidR="008F1F5A">
        <w:rPr>
          <w:rFonts w:ascii="Book Antiqua" w:hAnsi="Book Antiqua" w:cs="Arial"/>
        </w:rPr>
        <w:t>Somalia</w:t>
      </w:r>
      <w:r>
        <w:rPr>
          <w:rFonts w:ascii="Book Antiqua" w:hAnsi="Book Antiqua" w:cs="Arial"/>
        </w:rPr>
        <w:t>.</w:t>
      </w:r>
    </w:p>
    <w:p w:rsidR="008F1F5A" w:rsidRDefault="008F1F5A" w:rsidP="006E3C90">
      <w:pPr>
        <w:numPr>
          <w:ilvl w:val="0"/>
          <w:numId w:val="3"/>
        </w:numPr>
        <w:spacing w:before="240"/>
        <w:jc w:val="both"/>
        <w:rPr>
          <w:rFonts w:ascii="Book Antiqua" w:hAnsi="Book Antiqua" w:cs="Arial"/>
        </w:rPr>
      </w:pPr>
      <w:r>
        <w:rPr>
          <w:rFonts w:ascii="Book Antiqua" w:hAnsi="Book Antiqua" w:cs="Arial"/>
        </w:rPr>
        <w:t>On 6 July 2017, First-tier Tribunal Judge P J Holmes decided the appellant is not a refugee from Somalia, or that his is otherwise in need of international protection.  Judge Holmes also decided the appellant removal from the UK was not unlawful under s.6 of the Human Rights Act 1998.</w:t>
      </w:r>
    </w:p>
    <w:p w:rsidR="008F1F5A" w:rsidRDefault="008F1F5A" w:rsidP="006E3C90">
      <w:pPr>
        <w:numPr>
          <w:ilvl w:val="0"/>
          <w:numId w:val="3"/>
        </w:numPr>
        <w:spacing w:before="240"/>
        <w:jc w:val="both"/>
        <w:rPr>
          <w:rFonts w:ascii="Book Antiqua" w:hAnsi="Book Antiqua" w:cs="Arial"/>
        </w:rPr>
      </w:pPr>
      <w:r>
        <w:rPr>
          <w:rFonts w:ascii="Book Antiqua" w:hAnsi="Book Antiqua" w:cs="Arial"/>
        </w:rPr>
        <w:lastRenderedPageBreak/>
        <w:t>On 17 October 2017, permission to appeal to the Upper Tribunal was granted by Deputy Upper Tribunal Judge Chapman, acting as a Judge of the First-tier Tribunal.  She granted permission to appeal on the basis that both grounds were arguable, namely: (i) there had been procedural unfairness in expecting the appellant to represent himself rather than granting him an adjournment to find a lawyer (</w:t>
      </w:r>
      <w:proofErr w:type="spellStart"/>
      <w:r>
        <w:rPr>
          <w:rFonts w:ascii="Book Antiqua" w:hAnsi="Book Antiqua" w:cs="Arial"/>
          <w:i/>
        </w:rPr>
        <w:t>Nwaigwe</w:t>
      </w:r>
      <w:proofErr w:type="spellEnd"/>
      <w:r>
        <w:rPr>
          <w:rFonts w:ascii="Book Antiqua" w:hAnsi="Book Antiqua" w:cs="Arial"/>
          <w:i/>
        </w:rPr>
        <w:t xml:space="preserve"> (adjournment: fairness)</w:t>
      </w:r>
      <w:r>
        <w:rPr>
          <w:rFonts w:ascii="Book Antiqua" w:hAnsi="Book Antiqua" w:cs="Arial"/>
        </w:rPr>
        <w:t xml:space="preserve"> [2014] UKUT 418 applied), and (ii) there was a failure to consider the article 3 ECHR issues in light of </w:t>
      </w:r>
      <w:proofErr w:type="spellStart"/>
      <w:r>
        <w:rPr>
          <w:rFonts w:ascii="Book Antiqua" w:hAnsi="Book Antiqua" w:cs="Arial"/>
          <w:i/>
        </w:rPr>
        <w:t>Paposhvili</w:t>
      </w:r>
      <w:proofErr w:type="spellEnd"/>
      <w:r>
        <w:rPr>
          <w:rFonts w:ascii="Book Antiqua" w:hAnsi="Book Antiqua" w:cs="Arial"/>
          <w:i/>
        </w:rPr>
        <w:t xml:space="preserve"> v Belgium</w:t>
      </w:r>
      <w:r>
        <w:rPr>
          <w:rFonts w:ascii="Book Antiqua" w:hAnsi="Book Antiqua" w:cs="Arial"/>
        </w:rPr>
        <w:t>.</w:t>
      </w:r>
    </w:p>
    <w:p w:rsidR="008F1F5A" w:rsidRDefault="008F1F5A" w:rsidP="006E3C90">
      <w:pPr>
        <w:numPr>
          <w:ilvl w:val="0"/>
          <w:numId w:val="3"/>
        </w:numPr>
        <w:spacing w:before="240"/>
        <w:jc w:val="both"/>
        <w:rPr>
          <w:rFonts w:ascii="Book Antiqua" w:hAnsi="Book Antiqua" w:cs="Arial"/>
        </w:rPr>
      </w:pPr>
      <w:r>
        <w:rPr>
          <w:rFonts w:ascii="Book Antiqua" w:hAnsi="Book Antiqua" w:cs="Arial"/>
        </w:rPr>
        <w:t xml:space="preserve">The application for permission to appeal had included </w:t>
      </w:r>
      <w:r w:rsidR="00F443B9">
        <w:rPr>
          <w:rFonts w:ascii="Book Antiqua" w:hAnsi="Book Antiqua" w:cs="Arial"/>
        </w:rPr>
        <w:t>a witness statement from the appellant about what had happened during the hearing and a medical letter from Dr Rubina Karim dated 19 July 2018.  An administrative failing by the Tribunal meant these documents had not been sent to the respondent prior to the hearing.  I arranged for copies to be provided to Mr Mills, who after studying them said he was content to proceed.</w:t>
      </w:r>
    </w:p>
    <w:p w:rsidR="00F443B9" w:rsidRDefault="00F443B9" w:rsidP="006E3C90">
      <w:pPr>
        <w:numPr>
          <w:ilvl w:val="0"/>
          <w:numId w:val="3"/>
        </w:numPr>
        <w:spacing w:before="240"/>
        <w:jc w:val="both"/>
        <w:rPr>
          <w:rFonts w:ascii="Book Antiqua" w:hAnsi="Book Antiqua" w:cs="Arial"/>
        </w:rPr>
      </w:pPr>
      <w:r>
        <w:rPr>
          <w:rFonts w:ascii="Book Antiqua" w:hAnsi="Book Antiqua" w:cs="Arial"/>
        </w:rPr>
        <w:t>Neither representative was aware that the appellant had made an adjournment application prior to the hearing.  It was appropriate for me to disclose the application and decision so that what happened at the hearing could be seen in context.</w:t>
      </w:r>
    </w:p>
    <w:p w:rsidR="00F443B9" w:rsidRDefault="00F443B9" w:rsidP="006E3C90">
      <w:pPr>
        <w:numPr>
          <w:ilvl w:val="0"/>
          <w:numId w:val="3"/>
        </w:numPr>
        <w:spacing w:before="240"/>
        <w:jc w:val="both"/>
        <w:rPr>
          <w:rFonts w:ascii="Book Antiqua" w:hAnsi="Book Antiqua" w:cs="Arial"/>
        </w:rPr>
      </w:pPr>
      <w:r>
        <w:rPr>
          <w:rFonts w:ascii="Book Antiqua" w:hAnsi="Book Antiqua" w:cs="Arial"/>
        </w:rPr>
        <w:t>On 6 May 2017, in response to case management directions, the appellant notified the Tribunal he had been advised by his then solicitors that they would not represent him at the substantive hearing listed and he was looking for another solicitor.  A fax from Nottingham and Nottinghamshire Refugee Forum dated 16 May 2017 confirms that the appellant requested an adjournment of the final hearing listed on 31 May 2017 to locate and instruct new legal representatives.  The Refugee Forum is not a legal representative.  On 17 May 2018, the Tribunal responded, refusing the request because the appellant has had and will have sufficient time to obtain representation.</w:t>
      </w:r>
    </w:p>
    <w:p w:rsidR="00DD3E53" w:rsidRDefault="00C9243D" w:rsidP="006E3C90">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Sood</w:t>
      </w:r>
      <w:proofErr w:type="spellEnd"/>
      <w:r>
        <w:rPr>
          <w:rFonts w:ascii="Book Antiqua" w:hAnsi="Book Antiqua" w:cs="Arial"/>
        </w:rPr>
        <w:t xml:space="preserve"> reminded me that the appellant not only represented himself but his health condition meant he was an unusually vulnerable person.  His statement indicates he was distressed at the hearing, which would mean it was likely he would have difficulty retaining complex information.  The appellant was not given the documentary material held by the judge and </w:t>
      </w:r>
      <w:r w:rsidR="00840944">
        <w:rPr>
          <w:rFonts w:ascii="Book Antiqua" w:hAnsi="Book Antiqua" w:cs="Arial"/>
        </w:rPr>
        <w:t xml:space="preserve">was not given an opportunity of going through the documents with an advocate so that he understood the case against him and the issues he had to deal with.  The judge’s recitation and summarising of the reasons for refusal letter, the grounds of appeal and the interview records was no substitute given the appellant’s emotional state.  </w:t>
      </w:r>
    </w:p>
    <w:p w:rsidR="00F443B9" w:rsidRDefault="00385961" w:rsidP="006E3C90">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Sood</w:t>
      </w:r>
      <w:proofErr w:type="spellEnd"/>
      <w:r>
        <w:rPr>
          <w:rFonts w:ascii="Book Antiqua" w:hAnsi="Book Antiqua" w:cs="Arial"/>
        </w:rPr>
        <w:t xml:space="preserve"> said that a</w:t>
      </w:r>
      <w:r w:rsidR="00DD3E53">
        <w:rPr>
          <w:rFonts w:ascii="Book Antiqua" w:hAnsi="Book Antiqua" w:cs="Arial"/>
        </w:rPr>
        <w:t>lthough the judge recorded the appellant’s allegation that his previous lawyers had done little to help him prepare for the appeal, t</w:t>
      </w:r>
      <w:r w:rsidR="00840944">
        <w:rPr>
          <w:rFonts w:ascii="Book Antiqua" w:hAnsi="Book Antiqua" w:cs="Arial"/>
        </w:rPr>
        <w:t xml:space="preserve">he judge did not </w:t>
      </w:r>
      <w:r w:rsidR="00DD3E53">
        <w:rPr>
          <w:rFonts w:ascii="Book Antiqua" w:hAnsi="Book Antiqua" w:cs="Arial"/>
        </w:rPr>
        <w:t xml:space="preserve">engage with that is issue or </w:t>
      </w:r>
      <w:r w:rsidR="00840944">
        <w:rPr>
          <w:rFonts w:ascii="Book Antiqua" w:hAnsi="Book Antiqua" w:cs="Arial"/>
        </w:rPr>
        <w:t>ask the appellant what steps he had taken to secure legal representation for the</w:t>
      </w:r>
      <w:r w:rsidR="00245617">
        <w:rPr>
          <w:rFonts w:ascii="Book Antiqua" w:hAnsi="Book Antiqua" w:cs="Arial"/>
        </w:rPr>
        <w:t xml:space="preserve"> appeal hearing.  The failure to engage with this issue means it is unclear on what basis the judge recorded the appellant was ready to proceed.</w:t>
      </w:r>
      <w:r w:rsidR="00DD3E53">
        <w:rPr>
          <w:rFonts w:ascii="Book Antiqua" w:hAnsi="Book Antiqua" w:cs="Arial"/>
        </w:rPr>
        <w:t xml:space="preserve">  This was of particular concern in this appeal because it was unrealistic to expect the appellant to address the medical and country information because of his vulnerabilities and lack of ability in English.  </w:t>
      </w:r>
    </w:p>
    <w:p w:rsidR="00F030CF" w:rsidRDefault="00DD3E53" w:rsidP="006E3C90">
      <w:pPr>
        <w:numPr>
          <w:ilvl w:val="0"/>
          <w:numId w:val="3"/>
        </w:numPr>
        <w:spacing w:before="240"/>
        <w:jc w:val="both"/>
        <w:rPr>
          <w:rFonts w:ascii="Book Antiqua" w:hAnsi="Book Antiqua" w:cs="Arial"/>
        </w:rPr>
      </w:pPr>
      <w:r>
        <w:rPr>
          <w:rFonts w:ascii="Book Antiqua" w:hAnsi="Book Antiqua" w:cs="Arial"/>
        </w:rPr>
        <w:lastRenderedPageBreak/>
        <w:t xml:space="preserve">Mr Mills argued that it was open to Judge Holmes to proceed.  The appellant had not been left at the door of the hearing room without legal representation.  He had been notified three weeks before the hearing that his former solicitors would not represent him.  The implication </w:t>
      </w:r>
      <w:r w:rsidR="00F030CF">
        <w:rPr>
          <w:rFonts w:ascii="Book Antiqua" w:hAnsi="Book Antiqua" w:cs="Arial"/>
        </w:rPr>
        <w:t xml:space="preserve">from what the appellant has said in his statement </w:t>
      </w:r>
      <w:r>
        <w:rPr>
          <w:rFonts w:ascii="Book Antiqua" w:hAnsi="Book Antiqua" w:cs="Arial"/>
        </w:rPr>
        <w:t xml:space="preserve">is that they would not represent the appellant because he could not pay them.  </w:t>
      </w:r>
    </w:p>
    <w:p w:rsidR="00840944" w:rsidRDefault="00F030CF" w:rsidP="006E3C90">
      <w:pPr>
        <w:numPr>
          <w:ilvl w:val="0"/>
          <w:numId w:val="3"/>
        </w:numPr>
        <w:spacing w:before="240"/>
        <w:jc w:val="both"/>
        <w:rPr>
          <w:rFonts w:ascii="Book Antiqua" w:hAnsi="Book Antiqua" w:cs="Arial"/>
        </w:rPr>
      </w:pPr>
      <w:r>
        <w:rPr>
          <w:rFonts w:ascii="Book Antiqua" w:hAnsi="Book Antiqua" w:cs="Arial"/>
        </w:rPr>
        <w:t>Mr Mills pointed out t</w:t>
      </w:r>
      <w:r w:rsidR="00DD3E53">
        <w:rPr>
          <w:rFonts w:ascii="Book Antiqua" w:hAnsi="Book Antiqua" w:cs="Arial"/>
        </w:rPr>
        <w:t xml:space="preserve">here is no indication whether the Refugee Forum signposted the appellant to a different lawyer or what steps the appellant took himself.  The situation in this case is different from that discussed in </w:t>
      </w:r>
      <w:proofErr w:type="spellStart"/>
      <w:r w:rsidR="00DD3E53">
        <w:rPr>
          <w:rFonts w:ascii="Book Antiqua" w:hAnsi="Book Antiqua" w:cs="Arial"/>
          <w:i/>
        </w:rPr>
        <w:t>Nwaigwe</w:t>
      </w:r>
      <w:proofErr w:type="spellEnd"/>
      <w:r w:rsidR="00DD3E53">
        <w:rPr>
          <w:rFonts w:ascii="Book Antiqua" w:hAnsi="Book Antiqua" w:cs="Arial"/>
        </w:rPr>
        <w:t xml:space="preserve">.  It has to be remembered that the First-tier Tribunal often has to deal with unrepresented appellants and there is appropriate guidance, which it is clear Judge Holmes followed.  He treated the appellant as a vulnerable person and was aware of his medical condition.  </w:t>
      </w:r>
    </w:p>
    <w:p w:rsidR="00DD3E53" w:rsidRDefault="00DD3E53" w:rsidP="006E3C90">
      <w:pPr>
        <w:numPr>
          <w:ilvl w:val="0"/>
          <w:numId w:val="3"/>
        </w:numPr>
        <w:spacing w:before="240"/>
        <w:jc w:val="both"/>
        <w:rPr>
          <w:rFonts w:ascii="Book Antiqua" w:hAnsi="Book Antiqua" w:cs="Arial"/>
        </w:rPr>
      </w:pPr>
      <w:r>
        <w:rPr>
          <w:rFonts w:ascii="Book Antiqua" w:hAnsi="Book Antiqua" w:cs="Arial"/>
        </w:rPr>
        <w:t xml:space="preserve">Mr Mills also reminded (as did Ms </w:t>
      </w:r>
      <w:proofErr w:type="spellStart"/>
      <w:r>
        <w:rPr>
          <w:rFonts w:ascii="Book Antiqua" w:hAnsi="Book Antiqua" w:cs="Arial"/>
        </w:rPr>
        <w:t>Sood</w:t>
      </w:r>
      <w:proofErr w:type="spellEnd"/>
      <w:r>
        <w:rPr>
          <w:rFonts w:ascii="Book Antiqua" w:hAnsi="Book Antiqua" w:cs="Arial"/>
        </w:rPr>
        <w:t xml:space="preserve"> in her skeleton argument) that the issues in </w:t>
      </w:r>
      <w:proofErr w:type="spellStart"/>
      <w:r>
        <w:rPr>
          <w:rFonts w:ascii="Book Antiqua" w:hAnsi="Book Antiqua" w:cs="Arial"/>
          <w:i/>
        </w:rPr>
        <w:t>Paposhvili</w:t>
      </w:r>
      <w:proofErr w:type="spellEnd"/>
      <w:r>
        <w:rPr>
          <w:rFonts w:ascii="Book Antiqua" w:hAnsi="Book Antiqua" w:cs="Arial"/>
        </w:rPr>
        <w:t xml:space="preserve"> had been considered by the Court of Appeal in </w:t>
      </w:r>
      <w:r>
        <w:rPr>
          <w:rFonts w:ascii="Book Antiqua" w:hAnsi="Book Antiqua" w:cs="Arial"/>
          <w:i/>
        </w:rPr>
        <w:t>AM (Zimbabwe v SSHD</w:t>
      </w:r>
      <w:r>
        <w:rPr>
          <w:rFonts w:ascii="Book Antiqua" w:hAnsi="Book Antiqua" w:cs="Arial"/>
        </w:rPr>
        <w:t xml:space="preserve"> [2018] EWCA </w:t>
      </w:r>
      <w:proofErr w:type="spellStart"/>
      <w:r>
        <w:rPr>
          <w:rFonts w:ascii="Book Antiqua" w:hAnsi="Book Antiqua" w:cs="Arial"/>
        </w:rPr>
        <w:t>Civ</w:t>
      </w:r>
      <w:proofErr w:type="spellEnd"/>
      <w:r>
        <w:rPr>
          <w:rFonts w:ascii="Book Antiqua" w:hAnsi="Book Antiqua" w:cs="Arial"/>
        </w:rPr>
        <w:t xml:space="preserve"> 64.  The Court of Appeal found the European Court of Human Rights had not significantly moved the test.</w:t>
      </w:r>
    </w:p>
    <w:p w:rsidR="00DD3E53" w:rsidRDefault="00DD3E53" w:rsidP="006E3C90">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Sood</w:t>
      </w:r>
      <w:proofErr w:type="spellEnd"/>
      <w:r>
        <w:rPr>
          <w:rFonts w:ascii="Book Antiqua" w:hAnsi="Book Antiqua" w:cs="Arial"/>
        </w:rPr>
        <w:t xml:space="preserve"> responded by reminding me of her skeleton argument and the fact Judge Holmes had failed to consider the questions identified by the Court of Appeal in </w:t>
      </w:r>
      <w:r>
        <w:rPr>
          <w:rFonts w:ascii="Book Antiqua" w:hAnsi="Book Antiqua" w:cs="Arial"/>
          <w:i/>
        </w:rPr>
        <w:t>AM (Zimbabwe)</w:t>
      </w:r>
      <w:r>
        <w:rPr>
          <w:rFonts w:ascii="Book Antiqua" w:hAnsi="Book Antiqua" w:cs="Arial"/>
        </w:rPr>
        <w:t>.</w:t>
      </w:r>
    </w:p>
    <w:p w:rsidR="00DD3E53" w:rsidRDefault="00DD3E53" w:rsidP="006E3C90">
      <w:pPr>
        <w:numPr>
          <w:ilvl w:val="0"/>
          <w:numId w:val="3"/>
        </w:numPr>
        <w:spacing w:before="240"/>
        <w:jc w:val="both"/>
        <w:rPr>
          <w:rFonts w:ascii="Book Antiqua" w:hAnsi="Book Antiqua" w:cs="Arial"/>
        </w:rPr>
      </w:pPr>
      <w:r>
        <w:rPr>
          <w:rFonts w:ascii="Book Antiqua" w:hAnsi="Book Antiqua" w:cs="Arial"/>
        </w:rPr>
        <w:t>I reserved my decision and reasons, which I now give.</w:t>
      </w:r>
    </w:p>
    <w:p w:rsidR="00385961" w:rsidRDefault="00385961" w:rsidP="006E3C90">
      <w:pPr>
        <w:numPr>
          <w:ilvl w:val="0"/>
          <w:numId w:val="3"/>
        </w:numPr>
        <w:spacing w:before="240"/>
        <w:jc w:val="both"/>
        <w:rPr>
          <w:rFonts w:ascii="Book Antiqua" w:hAnsi="Book Antiqua" w:cs="Arial"/>
        </w:rPr>
      </w:pPr>
      <w:r>
        <w:rPr>
          <w:rFonts w:ascii="Book Antiqua" w:hAnsi="Book Antiqua" w:cs="Arial"/>
        </w:rPr>
        <w:t xml:space="preserve">I agree with Mr Mills that the situation in this appeal is not one where the appellant was left without legal representation at the door of the hearing.  He had over three weeks to obtain further legal representation and to prepare for the appeal hearing.  </w:t>
      </w:r>
      <w:r w:rsidR="00315C3B">
        <w:rPr>
          <w:rFonts w:ascii="Book Antiqua" w:hAnsi="Book Antiqua" w:cs="Arial"/>
        </w:rPr>
        <w:t xml:space="preserve">I also agree that there is no evidence about what steps the appellant took to secure a lawyer.  There is no indication that he sought a legal aid lawyer or that he found means to pay the fees of a lawyer privately.  </w:t>
      </w:r>
    </w:p>
    <w:p w:rsidR="00315C3B" w:rsidRDefault="00315C3B" w:rsidP="006E3C90">
      <w:pPr>
        <w:numPr>
          <w:ilvl w:val="0"/>
          <w:numId w:val="3"/>
        </w:numPr>
        <w:spacing w:before="240"/>
        <w:jc w:val="both"/>
        <w:rPr>
          <w:rFonts w:ascii="Book Antiqua" w:hAnsi="Book Antiqua" w:cs="Arial"/>
        </w:rPr>
      </w:pPr>
      <w:r>
        <w:rPr>
          <w:rFonts w:ascii="Book Antiqua" w:hAnsi="Book Antiqua" w:cs="Arial"/>
        </w:rPr>
        <w:t>I recognise that the Tribunal has specific guidance regarding how unrepresented appellants should he assisted in an appeal hearing and what special provisions should be in place to enable vulnerable appellants to participate in the appeal process.  First-tier Tribunal judges have special expertise in dealing with unrepresented appellants.  Judge Holmes demonstrates his knowledge of the guidance and the proper approach to ensure fairness when at [13] he explains the steps he took to enable the appellant to participate.</w:t>
      </w:r>
    </w:p>
    <w:p w:rsidR="00493E6E" w:rsidRDefault="00493E6E" w:rsidP="006E3C90">
      <w:pPr>
        <w:numPr>
          <w:ilvl w:val="0"/>
          <w:numId w:val="3"/>
        </w:numPr>
        <w:spacing w:before="240"/>
        <w:jc w:val="both"/>
        <w:rPr>
          <w:rFonts w:ascii="Book Antiqua" w:hAnsi="Book Antiqua" w:cs="Arial"/>
        </w:rPr>
      </w:pPr>
      <w:r>
        <w:rPr>
          <w:rFonts w:ascii="Book Antiqua" w:hAnsi="Book Antiqua" w:cs="Arial"/>
        </w:rPr>
        <w:t>I conclude that there was no need for Judge Holmes to have asked the appellant why he did not have a lawyer or whether he wanted one.</w:t>
      </w:r>
    </w:p>
    <w:p w:rsidR="00315C3B" w:rsidRDefault="00315C3B" w:rsidP="006E3C90">
      <w:pPr>
        <w:numPr>
          <w:ilvl w:val="0"/>
          <w:numId w:val="3"/>
        </w:numPr>
        <w:spacing w:before="240"/>
        <w:jc w:val="both"/>
        <w:rPr>
          <w:rFonts w:ascii="Book Antiqua" w:hAnsi="Book Antiqua" w:cs="Arial"/>
        </w:rPr>
      </w:pPr>
      <w:r>
        <w:rPr>
          <w:rFonts w:ascii="Book Antiqua" w:hAnsi="Book Antiqua" w:cs="Arial"/>
        </w:rPr>
        <w:t xml:space="preserve">I have considered the findings made and reasons given by Judge Holmes from [15] to [22].  There is nothing to suggest the judge formed any adverse opinion about </w:t>
      </w:r>
      <w:r w:rsidR="00000EDF">
        <w:rPr>
          <w:rFonts w:ascii="Book Antiqua" w:hAnsi="Book Antiqua" w:cs="Arial"/>
        </w:rPr>
        <w:t>the</w:t>
      </w:r>
      <w:r>
        <w:rPr>
          <w:rFonts w:ascii="Book Antiqua" w:hAnsi="Book Antiqua" w:cs="Arial"/>
        </w:rPr>
        <w:t xml:space="preserve"> appellant because he was unrepresented.  </w:t>
      </w:r>
    </w:p>
    <w:p w:rsidR="00315C3B" w:rsidRDefault="00315C3B" w:rsidP="006E3C90">
      <w:pPr>
        <w:numPr>
          <w:ilvl w:val="0"/>
          <w:numId w:val="3"/>
        </w:numPr>
        <w:spacing w:before="240"/>
        <w:jc w:val="both"/>
        <w:rPr>
          <w:rFonts w:ascii="Book Antiqua" w:hAnsi="Book Antiqua" w:cs="Arial"/>
        </w:rPr>
      </w:pPr>
      <w:r>
        <w:rPr>
          <w:rFonts w:ascii="Book Antiqua" w:hAnsi="Book Antiqua" w:cs="Arial"/>
        </w:rPr>
        <w:t xml:space="preserve">For example, at [15] Judge Holmes made a positive finding in relation to the appellant.  He found the appellant had a well-founded fear of persecution in </w:t>
      </w:r>
      <w:proofErr w:type="spellStart"/>
      <w:r>
        <w:rPr>
          <w:rFonts w:ascii="Book Antiqua" w:hAnsi="Book Antiqua" w:cs="Arial"/>
        </w:rPr>
        <w:t>Buurweeyn</w:t>
      </w:r>
      <w:proofErr w:type="spellEnd"/>
      <w:r>
        <w:rPr>
          <w:rFonts w:ascii="Book Antiqua" w:hAnsi="Book Antiqua" w:cs="Arial"/>
        </w:rPr>
        <w:t xml:space="preserve"> from the </w:t>
      </w:r>
      <w:r>
        <w:rPr>
          <w:rFonts w:ascii="Book Antiqua" w:hAnsi="Book Antiqua" w:cs="Arial"/>
        </w:rPr>
        <w:lastRenderedPageBreak/>
        <w:t xml:space="preserve">Hawiye clan militia because he and his family were members of the </w:t>
      </w:r>
      <w:proofErr w:type="spellStart"/>
      <w:r>
        <w:rPr>
          <w:rFonts w:ascii="Book Antiqua" w:hAnsi="Book Antiqua" w:cs="Arial"/>
        </w:rPr>
        <w:t>Jareer</w:t>
      </w:r>
      <w:proofErr w:type="spellEnd"/>
      <w:r>
        <w:rPr>
          <w:rFonts w:ascii="Book Antiqua" w:hAnsi="Book Antiqua" w:cs="Arial"/>
        </w:rPr>
        <w:t>/Bantu people.</w:t>
      </w:r>
      <w:r w:rsidR="00493E6E">
        <w:rPr>
          <w:rFonts w:ascii="Book Antiqua" w:hAnsi="Book Antiqua" w:cs="Arial"/>
        </w:rPr>
        <w:t xml:space="preserve">  This indicates the judge took a balanced view of the evidence</w:t>
      </w:r>
      <w:r>
        <w:rPr>
          <w:rFonts w:ascii="Book Antiqua" w:hAnsi="Book Antiqua" w:cs="Arial"/>
        </w:rPr>
        <w:t xml:space="preserve">   At [16], </w:t>
      </w:r>
      <w:r w:rsidR="00493E6E">
        <w:rPr>
          <w:rFonts w:ascii="Book Antiqua" w:hAnsi="Book Antiqua" w:cs="Arial"/>
        </w:rPr>
        <w:t xml:space="preserve">Judge Holmes found the appellant had not misunderstood the question about detention put to him during the screening interview.  In so doing, Judge Holmes identifies the difficulties an asylum seeker might face when undergoing a screening interview and the judge explained in that context why he concluded as he did.  This indicates the judge looked at the arguments a legal representative might raise.  </w:t>
      </w:r>
    </w:p>
    <w:p w:rsidR="00493E6E" w:rsidRDefault="00493E6E" w:rsidP="00493E6E">
      <w:pPr>
        <w:numPr>
          <w:ilvl w:val="0"/>
          <w:numId w:val="3"/>
        </w:numPr>
        <w:spacing w:before="240"/>
        <w:jc w:val="both"/>
        <w:rPr>
          <w:rFonts w:ascii="Book Antiqua" w:hAnsi="Book Antiqua" w:cs="Arial"/>
        </w:rPr>
      </w:pPr>
      <w:r>
        <w:rPr>
          <w:rFonts w:ascii="Book Antiqua" w:hAnsi="Book Antiqua" w:cs="Arial"/>
        </w:rPr>
        <w:t xml:space="preserve">Throughout [17], it is clear the appellant was given the opportunity to reply to the respondent’s allegations about the credibility of his accounts.  Judge Holmes finds a number of the explanations provided at the hearing to be plausible on their face but he rejects them because there is no reasonable explanation why they were not given during the substantive asylum interview.  The fact the appellant was engaged and the judge found some of the explanations potentially plausible indicates the appellant was not disadvantaged by being unrepresented at the hearing.  It was open to Judge Holmes to find against the appellant given the actual discrepancy identified in [16].  </w:t>
      </w:r>
    </w:p>
    <w:p w:rsidR="00493E6E" w:rsidRDefault="00493E6E" w:rsidP="00493E6E">
      <w:pPr>
        <w:numPr>
          <w:ilvl w:val="0"/>
          <w:numId w:val="3"/>
        </w:numPr>
        <w:spacing w:before="240"/>
        <w:jc w:val="both"/>
        <w:rPr>
          <w:rFonts w:ascii="Book Antiqua" w:hAnsi="Book Antiqua" w:cs="Arial"/>
        </w:rPr>
      </w:pPr>
      <w:r>
        <w:rPr>
          <w:rFonts w:ascii="Book Antiqua" w:hAnsi="Book Antiqua" w:cs="Arial"/>
        </w:rPr>
        <w:t>Jumping ahead to [21], Judge Holmes records the appellant’s detailed comments made in response to the Presenting Officer’s submissions.  It is evident the appellant was able to articulate his case and he not only was aware of the issues he had to answer but also the general country background situation.  Judge Holmes noted that the appellant’s evidence about Somalia was out of date and did not reflect the more recent country guidance issued by the Upper Tribunal, which the judge discussed in [22].</w:t>
      </w:r>
    </w:p>
    <w:p w:rsidR="00493E6E" w:rsidRDefault="00493E6E" w:rsidP="006E3C90">
      <w:pPr>
        <w:numPr>
          <w:ilvl w:val="0"/>
          <w:numId w:val="3"/>
        </w:numPr>
        <w:spacing w:before="240"/>
        <w:jc w:val="both"/>
        <w:rPr>
          <w:rFonts w:ascii="Book Antiqua" w:hAnsi="Book Antiqua" w:cs="Arial"/>
        </w:rPr>
      </w:pPr>
      <w:r>
        <w:rPr>
          <w:rFonts w:ascii="Book Antiqua" w:hAnsi="Book Antiqua" w:cs="Arial"/>
        </w:rPr>
        <w:t xml:space="preserve">Having examined the findings made by Judge Holmes and his reasoning, I do not see how the appellant’s position would be </w:t>
      </w:r>
      <w:r w:rsidR="00000EDF">
        <w:rPr>
          <w:rFonts w:ascii="Book Antiqua" w:hAnsi="Book Antiqua" w:cs="Arial"/>
        </w:rPr>
        <w:t xml:space="preserve">have been </w:t>
      </w:r>
      <w:r>
        <w:rPr>
          <w:rFonts w:ascii="Book Antiqua" w:hAnsi="Book Antiqua" w:cs="Arial"/>
        </w:rPr>
        <w:t xml:space="preserve">changed had </w:t>
      </w:r>
      <w:r w:rsidR="00000EDF">
        <w:rPr>
          <w:rFonts w:ascii="Book Antiqua" w:hAnsi="Book Antiqua" w:cs="Arial"/>
        </w:rPr>
        <w:t xml:space="preserve">he </w:t>
      </w:r>
      <w:r>
        <w:rPr>
          <w:rFonts w:ascii="Book Antiqua" w:hAnsi="Book Antiqua" w:cs="Arial"/>
        </w:rPr>
        <w:t>been legally represented at the hearing since any lawyer would not know what findings would be made.  An advocate would have been required to ensure the appellant could present his best evidence and would have made submissions in relation to the plausibility of the appellant’s explanations</w:t>
      </w:r>
      <w:r w:rsidR="00000EDF">
        <w:rPr>
          <w:rFonts w:ascii="Book Antiqua" w:hAnsi="Book Antiqua" w:cs="Arial"/>
        </w:rPr>
        <w:t xml:space="preserve"> and suggested to the Judge what findings might be made</w:t>
      </w:r>
      <w:r>
        <w:rPr>
          <w:rFonts w:ascii="Book Antiqua" w:hAnsi="Book Antiqua" w:cs="Arial"/>
        </w:rPr>
        <w:t>.</w:t>
      </w:r>
    </w:p>
    <w:p w:rsidR="00493E6E" w:rsidRDefault="00493E6E" w:rsidP="006E3C90">
      <w:pPr>
        <w:numPr>
          <w:ilvl w:val="0"/>
          <w:numId w:val="3"/>
        </w:numPr>
        <w:spacing w:before="240"/>
        <w:jc w:val="both"/>
        <w:rPr>
          <w:rFonts w:ascii="Book Antiqua" w:hAnsi="Book Antiqua" w:cs="Arial"/>
        </w:rPr>
      </w:pPr>
      <w:r>
        <w:rPr>
          <w:rFonts w:ascii="Book Antiqua" w:hAnsi="Book Antiqua" w:cs="Arial"/>
        </w:rPr>
        <w:t>The evidence of how the appellant participate</w:t>
      </w:r>
      <w:r w:rsidR="00000EDF">
        <w:rPr>
          <w:rFonts w:ascii="Book Antiqua" w:hAnsi="Book Antiqua" w:cs="Arial"/>
        </w:rPr>
        <w:t>d</w:t>
      </w:r>
      <w:r>
        <w:rPr>
          <w:rFonts w:ascii="Book Antiqua" w:hAnsi="Book Antiqua" w:cs="Arial"/>
        </w:rPr>
        <w:t xml:space="preserve"> in the appeal hearing does not identify </w:t>
      </w:r>
      <w:r w:rsidR="00000EDF">
        <w:rPr>
          <w:rFonts w:ascii="Book Antiqua" w:hAnsi="Book Antiqua" w:cs="Arial"/>
        </w:rPr>
        <w:t>that he</w:t>
      </w:r>
      <w:r>
        <w:rPr>
          <w:rFonts w:ascii="Book Antiqua" w:hAnsi="Book Antiqua" w:cs="Arial"/>
        </w:rPr>
        <w:t xml:space="preserve"> was so anxious or nervous that </w:t>
      </w:r>
      <w:r w:rsidR="00000EDF">
        <w:rPr>
          <w:rFonts w:ascii="Book Antiqua" w:hAnsi="Book Antiqua" w:cs="Arial"/>
        </w:rPr>
        <w:t>he was</w:t>
      </w:r>
      <w:r>
        <w:rPr>
          <w:rFonts w:ascii="Book Antiqua" w:hAnsi="Book Antiqua" w:cs="Arial"/>
        </w:rPr>
        <w:t xml:space="preserve"> unable to engage with the issues that had to be addressed.  </w:t>
      </w:r>
      <w:r w:rsidR="00551923">
        <w:rPr>
          <w:rFonts w:ascii="Book Antiqua" w:hAnsi="Book Antiqua" w:cs="Arial"/>
        </w:rPr>
        <w:t xml:space="preserve">The appellant’s statement </w:t>
      </w:r>
      <w:r w:rsidR="00000EDF">
        <w:rPr>
          <w:rFonts w:ascii="Book Antiqua" w:hAnsi="Book Antiqua" w:cs="Arial"/>
        </w:rPr>
        <w:t xml:space="preserve">that accompanied the application for permission to appeal </w:t>
      </w:r>
      <w:r w:rsidR="00551923">
        <w:rPr>
          <w:rFonts w:ascii="Book Antiqua" w:hAnsi="Book Antiqua" w:cs="Arial"/>
        </w:rPr>
        <w:t xml:space="preserve">confirms Judge Holmes dealt with a difficult situation with appropriate concern for the wellbeing of the appellant, ensuring pauses </w:t>
      </w:r>
      <w:r w:rsidR="00000EDF">
        <w:rPr>
          <w:rFonts w:ascii="Book Antiqua" w:hAnsi="Book Antiqua" w:cs="Arial"/>
        </w:rPr>
        <w:t xml:space="preserve">to the proceedings </w:t>
      </w:r>
      <w:r w:rsidR="00551923">
        <w:rPr>
          <w:rFonts w:ascii="Book Antiqua" w:hAnsi="Book Antiqua" w:cs="Arial"/>
        </w:rPr>
        <w:t>were given when necessary for the appellant to compose himself.</w:t>
      </w:r>
    </w:p>
    <w:p w:rsidR="00493E6E" w:rsidRDefault="00493E6E" w:rsidP="006E3C90">
      <w:pPr>
        <w:numPr>
          <w:ilvl w:val="0"/>
          <w:numId w:val="3"/>
        </w:numPr>
        <w:spacing w:before="240"/>
        <w:jc w:val="both"/>
        <w:rPr>
          <w:rFonts w:ascii="Book Antiqua" w:hAnsi="Book Antiqua" w:cs="Arial"/>
        </w:rPr>
      </w:pPr>
      <w:r>
        <w:rPr>
          <w:rFonts w:ascii="Book Antiqua" w:hAnsi="Book Antiqua" w:cs="Arial"/>
        </w:rPr>
        <w:t xml:space="preserve">I conclude that on the evidence </w:t>
      </w:r>
      <w:r w:rsidR="00551923">
        <w:rPr>
          <w:rFonts w:ascii="Book Antiqua" w:hAnsi="Book Antiqua" w:cs="Arial"/>
        </w:rPr>
        <w:t>provided the hearing was fair and effective.  Therefore, I find there is no legal error in Judge Holmes not considering adjourning.</w:t>
      </w:r>
    </w:p>
    <w:p w:rsidR="00551923" w:rsidRDefault="00551923" w:rsidP="006E3C90">
      <w:pPr>
        <w:numPr>
          <w:ilvl w:val="0"/>
          <w:numId w:val="3"/>
        </w:numPr>
        <w:spacing w:before="240"/>
        <w:jc w:val="both"/>
        <w:rPr>
          <w:rFonts w:ascii="Book Antiqua" w:hAnsi="Book Antiqua" w:cs="Arial"/>
        </w:rPr>
      </w:pPr>
      <w:r>
        <w:rPr>
          <w:rFonts w:ascii="Book Antiqua" w:hAnsi="Book Antiqua" w:cs="Arial"/>
        </w:rPr>
        <w:t>As to the second ground, I mention that no error can rest in the post-decision medical evidence.  It was not available to Judge Holmes and he cannot be faulted for not considering it.</w:t>
      </w:r>
    </w:p>
    <w:p w:rsidR="00315C3B" w:rsidRDefault="00551923" w:rsidP="006E3C90">
      <w:pPr>
        <w:numPr>
          <w:ilvl w:val="0"/>
          <w:numId w:val="3"/>
        </w:numPr>
        <w:spacing w:before="240"/>
        <w:jc w:val="both"/>
        <w:rPr>
          <w:rFonts w:ascii="Book Antiqua" w:hAnsi="Book Antiqua" w:cs="Arial"/>
        </w:rPr>
      </w:pPr>
      <w:r>
        <w:rPr>
          <w:rFonts w:ascii="Book Antiqua" w:hAnsi="Book Antiqua" w:cs="Arial"/>
        </w:rPr>
        <w:t xml:space="preserve">I turn to the second ground, which I must consider in the context of the Court of Appeal’s judgment in </w:t>
      </w:r>
      <w:r>
        <w:rPr>
          <w:rFonts w:ascii="Book Antiqua" w:hAnsi="Book Antiqua" w:cs="Arial"/>
          <w:i/>
        </w:rPr>
        <w:t>AM (Zimbabwe)</w:t>
      </w:r>
      <w:r>
        <w:rPr>
          <w:rFonts w:ascii="Book Antiqua" w:hAnsi="Book Antiqua" w:cs="Arial"/>
        </w:rPr>
        <w:t xml:space="preserve">.  The Court of Appeal identified that the high threshold in </w:t>
      </w:r>
      <w:r>
        <w:rPr>
          <w:rFonts w:ascii="Book Antiqua" w:hAnsi="Book Antiqua" w:cs="Arial"/>
          <w:i/>
        </w:rPr>
        <w:t>N v SSHD</w:t>
      </w:r>
      <w:r>
        <w:rPr>
          <w:rFonts w:ascii="Book Antiqua" w:hAnsi="Book Antiqua" w:cs="Arial"/>
        </w:rPr>
        <w:t xml:space="preserve"> [2005] UKHL 31 remained although the ambit of article 3 </w:t>
      </w:r>
      <w:r>
        <w:rPr>
          <w:rFonts w:ascii="Book Antiqua" w:hAnsi="Book Antiqua" w:cs="Arial"/>
        </w:rPr>
        <w:lastRenderedPageBreak/>
        <w:t>medical cases was no longer limited to deathbed cases.  The Court of Appeal recognised the same test applied to cases where the absence of appropriate treatment on return</w:t>
      </w:r>
      <w:r w:rsidR="000E6F62">
        <w:rPr>
          <w:rFonts w:ascii="Book Antiqua" w:hAnsi="Book Antiqua" w:cs="Arial"/>
        </w:rPr>
        <w:t xml:space="preserve"> would lead to a serious, rapid and irreversible decline in a person’s state of health resulting in intense suffering or to significant reduction in life expectancy.  The evidence provided by the appellant did not engage this extension to the case of </w:t>
      </w:r>
      <w:r w:rsidR="000E6F62">
        <w:rPr>
          <w:rFonts w:ascii="Book Antiqua" w:hAnsi="Book Antiqua" w:cs="Arial"/>
          <w:i/>
        </w:rPr>
        <w:t>N v SSHD</w:t>
      </w:r>
      <w:r w:rsidR="000E6F62">
        <w:rPr>
          <w:rFonts w:ascii="Book Antiqua" w:hAnsi="Book Antiqua" w:cs="Arial"/>
        </w:rPr>
        <w:t xml:space="preserve"> and therefore I find there is no legal error.  In other </w:t>
      </w:r>
      <w:r w:rsidR="006D1061">
        <w:rPr>
          <w:rFonts w:ascii="Book Antiqua" w:hAnsi="Book Antiqua" w:cs="Arial"/>
        </w:rPr>
        <w:t>words,</w:t>
      </w:r>
      <w:r w:rsidR="000E6F62">
        <w:rPr>
          <w:rFonts w:ascii="Book Antiqua" w:hAnsi="Book Antiqua" w:cs="Arial"/>
        </w:rPr>
        <w:t xml:space="preserve"> I am satisfied the findings of Judge Holmes at [26] are sound, even when read in light of </w:t>
      </w:r>
      <w:r w:rsidR="000E6F62">
        <w:rPr>
          <w:rFonts w:ascii="Book Antiqua" w:hAnsi="Book Antiqua" w:cs="Arial"/>
          <w:i/>
        </w:rPr>
        <w:t>AM (Zimbabwe)</w:t>
      </w:r>
      <w:r w:rsidR="000E6F62">
        <w:rPr>
          <w:rFonts w:ascii="Book Antiqua" w:hAnsi="Book Antiqua" w:cs="Arial"/>
        </w:rPr>
        <w:t xml:space="preserve">.  </w:t>
      </w:r>
    </w:p>
    <w:p w:rsidR="00F030CF" w:rsidRDefault="000E6F62" w:rsidP="006E3C90">
      <w:pPr>
        <w:numPr>
          <w:ilvl w:val="0"/>
          <w:numId w:val="3"/>
        </w:numPr>
        <w:spacing w:before="240"/>
        <w:jc w:val="both"/>
        <w:rPr>
          <w:rFonts w:ascii="Book Antiqua" w:hAnsi="Book Antiqua" w:cs="Arial"/>
        </w:rPr>
      </w:pPr>
      <w:r>
        <w:rPr>
          <w:rFonts w:ascii="Book Antiqua" w:hAnsi="Book Antiqua" w:cs="Arial"/>
        </w:rPr>
        <w:t>As neither ground is made out, I find there is no legal error in the decision and reasons of Judge Holmes and the appeal to the Upper Tribunal is dismissed.</w:t>
      </w:r>
    </w:p>
    <w:p w:rsidR="003A6504" w:rsidRDefault="00511BE5" w:rsidP="000D44AB">
      <w:pPr>
        <w:numPr>
          <w:ilvl w:val="0"/>
          <w:numId w:val="3"/>
        </w:numPr>
        <w:spacing w:before="240"/>
        <w:jc w:val="both"/>
        <w:rPr>
          <w:rFonts w:ascii="Book Antiqua" w:hAnsi="Book Antiqua" w:cs="Arial"/>
        </w:rPr>
      </w:pPr>
      <w:r>
        <w:rPr>
          <w:rFonts w:ascii="Book Antiqua" w:hAnsi="Book Antiqua" w:cs="Arial"/>
        </w:rPr>
        <w:t>I have reviewed whether anonymity should be ordered but recognising the decision and proceedings in the First-tier Tribunal were not anonymised, there is no reason to make such an order in the Upper Tribunal.</w:t>
      </w:r>
    </w:p>
    <w:p w:rsidR="00E76309" w:rsidRDefault="00E76309" w:rsidP="00E80E94">
      <w:pPr>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511BE5" w:rsidRDefault="000E6F62" w:rsidP="00E80E94">
      <w:pPr>
        <w:jc w:val="both"/>
        <w:rPr>
          <w:rFonts w:ascii="Book Antiqua" w:hAnsi="Book Antiqua"/>
        </w:rPr>
      </w:pPr>
      <w:r>
        <w:rPr>
          <w:rFonts w:ascii="Book Antiqua" w:hAnsi="Book Antiqua"/>
        </w:rPr>
        <w:t>The appeal to the Upper Tribunal is dismissed.</w:t>
      </w:r>
    </w:p>
    <w:p w:rsidR="00437422" w:rsidRDefault="00437422" w:rsidP="00E80E94">
      <w:pPr>
        <w:jc w:val="both"/>
        <w:rPr>
          <w:rFonts w:ascii="Book Antiqua" w:hAnsi="Book Antiqua"/>
        </w:rPr>
      </w:pPr>
    </w:p>
    <w:p w:rsidR="000E6F62" w:rsidRPr="00A56832" w:rsidRDefault="000E6F62" w:rsidP="00E80E94">
      <w:pPr>
        <w:jc w:val="both"/>
        <w:rPr>
          <w:rFonts w:ascii="Book Antiqua" w:hAnsi="Book Antiqua" w:cs="Arial"/>
        </w:rPr>
      </w:pPr>
      <w:r>
        <w:rPr>
          <w:rFonts w:ascii="Book Antiqua" w:hAnsi="Book Antiqua"/>
        </w:rPr>
        <w:t>There is no legal error in the decision and reasons of FtT Judge Holmes and his decision is upheld.</w:t>
      </w:r>
    </w:p>
    <w:p w:rsidR="00E76309" w:rsidRPr="00A56832" w:rsidRDefault="00E733FB" w:rsidP="00E80E94">
      <w:pPr>
        <w:jc w:val="both"/>
        <w:rPr>
          <w:rFonts w:ascii="Book Antiqua" w:hAnsi="Book Antiqua" w:cs="Arial"/>
        </w:rPr>
      </w:pPr>
      <w:r>
        <w:rPr>
          <w:noProof/>
        </w:rPr>
        <w:drawing>
          <wp:anchor distT="0" distB="0" distL="114300" distR="114300" simplePos="0" relativeHeight="251657728" behindDoc="1" locked="0" layoutInCell="0" allowOverlap="0" wp14:anchorId="4E0431AD">
            <wp:simplePos x="0" y="0"/>
            <wp:positionH relativeFrom="page">
              <wp:posOffset>1078230</wp:posOffset>
            </wp:positionH>
            <wp:positionV relativeFrom="paragraph">
              <wp:posOffset>43815</wp:posOffset>
            </wp:positionV>
            <wp:extent cx="2342515" cy="127952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rsidR="000369F5" w:rsidRPr="00A56832"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511BE5">
        <w:rPr>
          <w:rFonts w:ascii="Book Antiqua" w:hAnsi="Book Antiqua" w:cs="Arial"/>
        </w:rPr>
        <w:tab/>
      </w:r>
      <w:r w:rsidR="000E6F62">
        <w:rPr>
          <w:rFonts w:ascii="Book Antiqua" w:hAnsi="Book Antiqua" w:cs="Arial"/>
        </w:rPr>
        <w:t>7</w:t>
      </w:r>
      <w:r w:rsidR="00511BE5">
        <w:rPr>
          <w:rFonts w:ascii="Book Antiqua" w:hAnsi="Book Antiqua" w:cs="Arial"/>
        </w:rPr>
        <w:t xml:space="preserve"> August 2018</w:t>
      </w:r>
    </w:p>
    <w:p w:rsidR="001F2716" w:rsidRPr="00A56832" w:rsidRDefault="001F2716" w:rsidP="00E80E94">
      <w:pPr>
        <w:jc w:val="both"/>
        <w:rPr>
          <w:rFonts w:ascii="Book Antiqua" w:hAnsi="Book Antiqua" w:cs="Arial"/>
        </w:rPr>
      </w:pPr>
    </w:p>
    <w:p w:rsidR="001F2716" w:rsidRPr="00A56832" w:rsidRDefault="001F2716" w:rsidP="00E80E94">
      <w:pPr>
        <w:jc w:val="both"/>
        <w:rPr>
          <w:rFonts w:ascii="Book Antiqua" w:hAnsi="Book Antiqua" w:cs="Arial"/>
        </w:rPr>
      </w:pPr>
    </w:p>
    <w:p w:rsidR="005B7789" w:rsidRDefault="00AC5CF6" w:rsidP="00D41536">
      <w:pPr>
        <w:ind w:left="1134"/>
        <w:jc w:val="both"/>
        <w:rPr>
          <w:rFonts w:ascii="Book Antiqua" w:hAnsi="Book Antiqua" w:cs="Arial"/>
        </w:rPr>
      </w:pPr>
      <w:r w:rsidRPr="00A56832">
        <w:rPr>
          <w:rFonts w:ascii="Book Antiqua" w:hAnsi="Book Antiqua" w:cs="Arial"/>
        </w:rPr>
        <w:t>Judge</w:t>
      </w:r>
      <w:r w:rsidR="00F301DB">
        <w:rPr>
          <w:rFonts w:ascii="Book Antiqua" w:hAnsi="Book Antiqua" w:cs="Arial"/>
        </w:rPr>
        <w:t xml:space="preserve"> </w:t>
      </w:r>
      <w:r w:rsidR="00D41536">
        <w:rPr>
          <w:rFonts w:ascii="Book Antiqua" w:hAnsi="Book Antiqua" w:cs="Arial"/>
        </w:rPr>
        <w:t>McCarthy</w:t>
      </w:r>
    </w:p>
    <w:p w:rsidR="00041662" w:rsidRDefault="005E542E" w:rsidP="00D41536">
      <w:pPr>
        <w:ind w:left="1134"/>
        <w:jc w:val="both"/>
        <w:rPr>
          <w:rFonts w:ascii="Book Antiqua" w:hAnsi="Book Antiqua" w:cs="Arial"/>
        </w:rPr>
      </w:pPr>
      <w:r>
        <w:rPr>
          <w:rFonts w:ascii="Book Antiqua" w:hAnsi="Book Antiqua" w:cs="Arial"/>
        </w:rPr>
        <w:t>A 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A1D" w:rsidRDefault="00110A1D">
      <w:r>
        <w:separator/>
      </w:r>
    </w:p>
  </w:endnote>
  <w:endnote w:type="continuationSeparator" w:id="0">
    <w:p w:rsidR="00110A1D" w:rsidRDefault="0011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474CF0">
      <w:rPr>
        <w:rStyle w:val="PageNumber"/>
        <w:rFonts w:ascii="Book Antiqua" w:hAnsi="Book Antiqua" w:cs="Arial"/>
        <w:noProof/>
        <w:sz w:val="16"/>
        <w:szCs w:val="16"/>
      </w:rPr>
      <w:t>5</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D4153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A1D" w:rsidRDefault="00110A1D">
      <w:r>
        <w:separator/>
      </w:r>
    </w:p>
  </w:footnote>
  <w:footnote w:type="continuationSeparator" w:id="0">
    <w:p w:rsidR="00110A1D" w:rsidRDefault="0011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511BE5">
      <w:rPr>
        <w:rFonts w:ascii="Book Antiqua" w:hAnsi="Book Antiqua" w:cs="Arial"/>
        <w:sz w:val="16"/>
        <w:szCs w:val="16"/>
      </w:rPr>
      <w:t>PA/</w:t>
    </w:r>
    <w:r w:rsidR="00B17C0A">
      <w:rPr>
        <w:rFonts w:ascii="Book Antiqua" w:hAnsi="Book Antiqua" w:cs="Arial"/>
        <w:sz w:val="16"/>
        <w:szCs w:val="16"/>
      </w:rPr>
      <w:t>04114</w:t>
    </w:r>
    <w:r w:rsidR="00511BE5">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style="mso-position-horizontal-relative:page;mso-position-vertical-relative:page;mso-width-relative:margin;mso-height-relative:margin" o:allowincell="f"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0EDF"/>
    <w:rsid w:val="000036C2"/>
    <w:rsid w:val="00014318"/>
    <w:rsid w:val="00021EA4"/>
    <w:rsid w:val="00033D3D"/>
    <w:rsid w:val="000369F5"/>
    <w:rsid w:val="00041662"/>
    <w:rsid w:val="00071A7E"/>
    <w:rsid w:val="000746C0"/>
    <w:rsid w:val="00074D1D"/>
    <w:rsid w:val="00092580"/>
    <w:rsid w:val="000D44AB"/>
    <w:rsid w:val="000D5D94"/>
    <w:rsid w:val="000D6B41"/>
    <w:rsid w:val="000D76B2"/>
    <w:rsid w:val="000E6F62"/>
    <w:rsid w:val="00110A1D"/>
    <w:rsid w:val="001165A7"/>
    <w:rsid w:val="001241F2"/>
    <w:rsid w:val="00151BB7"/>
    <w:rsid w:val="001537D6"/>
    <w:rsid w:val="00167D3A"/>
    <w:rsid w:val="0018559A"/>
    <w:rsid w:val="001D4C5D"/>
    <w:rsid w:val="001F2716"/>
    <w:rsid w:val="001F3809"/>
    <w:rsid w:val="0020133A"/>
    <w:rsid w:val="00207617"/>
    <w:rsid w:val="00233774"/>
    <w:rsid w:val="00245617"/>
    <w:rsid w:val="00261911"/>
    <w:rsid w:val="00266859"/>
    <w:rsid w:val="00283659"/>
    <w:rsid w:val="00295EDF"/>
    <w:rsid w:val="002C4E73"/>
    <w:rsid w:val="002D68BF"/>
    <w:rsid w:val="002E1B91"/>
    <w:rsid w:val="00315C3B"/>
    <w:rsid w:val="00336CBF"/>
    <w:rsid w:val="003546C8"/>
    <w:rsid w:val="0037374F"/>
    <w:rsid w:val="00385961"/>
    <w:rsid w:val="003A6504"/>
    <w:rsid w:val="003A7CF2"/>
    <w:rsid w:val="003C5CE5"/>
    <w:rsid w:val="003E267B"/>
    <w:rsid w:val="003E3150"/>
    <w:rsid w:val="003E7604"/>
    <w:rsid w:val="003E7CD1"/>
    <w:rsid w:val="003F05AB"/>
    <w:rsid w:val="00402B9E"/>
    <w:rsid w:val="004229C0"/>
    <w:rsid w:val="00423932"/>
    <w:rsid w:val="004249CB"/>
    <w:rsid w:val="00437422"/>
    <w:rsid w:val="0044127D"/>
    <w:rsid w:val="004448DB"/>
    <w:rsid w:val="00446C9A"/>
    <w:rsid w:val="00474CF0"/>
    <w:rsid w:val="00477193"/>
    <w:rsid w:val="00493E6E"/>
    <w:rsid w:val="004A1848"/>
    <w:rsid w:val="00507FEC"/>
    <w:rsid w:val="00510F0E"/>
    <w:rsid w:val="00511BE5"/>
    <w:rsid w:val="00517F14"/>
    <w:rsid w:val="005479E1"/>
    <w:rsid w:val="005515D0"/>
    <w:rsid w:val="00551923"/>
    <w:rsid w:val="005570FD"/>
    <w:rsid w:val="005575EA"/>
    <w:rsid w:val="0057790C"/>
    <w:rsid w:val="00593795"/>
    <w:rsid w:val="005A75FF"/>
    <w:rsid w:val="005B7789"/>
    <w:rsid w:val="005E542E"/>
    <w:rsid w:val="0064629B"/>
    <w:rsid w:val="0065791C"/>
    <w:rsid w:val="0068706C"/>
    <w:rsid w:val="00690B8A"/>
    <w:rsid w:val="006D1061"/>
    <w:rsid w:val="006D1DFA"/>
    <w:rsid w:val="006D506B"/>
    <w:rsid w:val="006E3C90"/>
    <w:rsid w:val="006F253C"/>
    <w:rsid w:val="00704B61"/>
    <w:rsid w:val="00742A8D"/>
    <w:rsid w:val="007552A9"/>
    <w:rsid w:val="00761858"/>
    <w:rsid w:val="00767D59"/>
    <w:rsid w:val="00776E97"/>
    <w:rsid w:val="00780FD7"/>
    <w:rsid w:val="007912AD"/>
    <w:rsid w:val="007B0824"/>
    <w:rsid w:val="007B18C8"/>
    <w:rsid w:val="007E28E1"/>
    <w:rsid w:val="007F431E"/>
    <w:rsid w:val="008303B8"/>
    <w:rsid w:val="00833DCE"/>
    <w:rsid w:val="00840944"/>
    <w:rsid w:val="008456B2"/>
    <w:rsid w:val="00854BB5"/>
    <w:rsid w:val="00871D34"/>
    <w:rsid w:val="008A3106"/>
    <w:rsid w:val="008B270C"/>
    <w:rsid w:val="008C3D3D"/>
    <w:rsid w:val="008D4131"/>
    <w:rsid w:val="008E5D45"/>
    <w:rsid w:val="008F07F8"/>
    <w:rsid w:val="008F1932"/>
    <w:rsid w:val="008F1F5A"/>
    <w:rsid w:val="008F294D"/>
    <w:rsid w:val="00902241"/>
    <w:rsid w:val="00921062"/>
    <w:rsid w:val="00966ECF"/>
    <w:rsid w:val="009727A3"/>
    <w:rsid w:val="009753BD"/>
    <w:rsid w:val="00987774"/>
    <w:rsid w:val="009A11E8"/>
    <w:rsid w:val="009F5220"/>
    <w:rsid w:val="009F7C4D"/>
    <w:rsid w:val="00A10290"/>
    <w:rsid w:val="00A15234"/>
    <w:rsid w:val="00A201AB"/>
    <w:rsid w:val="00A31C8B"/>
    <w:rsid w:val="00A46984"/>
    <w:rsid w:val="00A56832"/>
    <w:rsid w:val="00A6195B"/>
    <w:rsid w:val="00A845DC"/>
    <w:rsid w:val="00A97AEE"/>
    <w:rsid w:val="00AC5CF6"/>
    <w:rsid w:val="00AD6D2B"/>
    <w:rsid w:val="00AF512D"/>
    <w:rsid w:val="00B144FA"/>
    <w:rsid w:val="00B17C0A"/>
    <w:rsid w:val="00B30648"/>
    <w:rsid w:val="00B3524D"/>
    <w:rsid w:val="00B40F69"/>
    <w:rsid w:val="00B46616"/>
    <w:rsid w:val="00B61205"/>
    <w:rsid w:val="00B617C4"/>
    <w:rsid w:val="00B626FA"/>
    <w:rsid w:val="00B63045"/>
    <w:rsid w:val="00B7040A"/>
    <w:rsid w:val="00B772EB"/>
    <w:rsid w:val="00BD4196"/>
    <w:rsid w:val="00BE0CED"/>
    <w:rsid w:val="00BF22CA"/>
    <w:rsid w:val="00BF7085"/>
    <w:rsid w:val="00C26032"/>
    <w:rsid w:val="00C265B0"/>
    <w:rsid w:val="00C345E1"/>
    <w:rsid w:val="00C51FDE"/>
    <w:rsid w:val="00C9243D"/>
    <w:rsid w:val="00CB6E35"/>
    <w:rsid w:val="00CC2B71"/>
    <w:rsid w:val="00CE1A46"/>
    <w:rsid w:val="00CF253F"/>
    <w:rsid w:val="00CF56B4"/>
    <w:rsid w:val="00D01E15"/>
    <w:rsid w:val="00D20F09"/>
    <w:rsid w:val="00D22636"/>
    <w:rsid w:val="00D40FD9"/>
    <w:rsid w:val="00D41536"/>
    <w:rsid w:val="00D53769"/>
    <w:rsid w:val="00D63A24"/>
    <w:rsid w:val="00D823AD"/>
    <w:rsid w:val="00D85C13"/>
    <w:rsid w:val="00D91BE3"/>
    <w:rsid w:val="00D94AFC"/>
    <w:rsid w:val="00D950A8"/>
    <w:rsid w:val="00DB664F"/>
    <w:rsid w:val="00DB70AE"/>
    <w:rsid w:val="00DB7231"/>
    <w:rsid w:val="00DD3E53"/>
    <w:rsid w:val="00DD5071"/>
    <w:rsid w:val="00DD5C39"/>
    <w:rsid w:val="00DE26AF"/>
    <w:rsid w:val="00DE7DB7"/>
    <w:rsid w:val="00E00A0A"/>
    <w:rsid w:val="00E07F57"/>
    <w:rsid w:val="00E50BCE"/>
    <w:rsid w:val="00E61292"/>
    <w:rsid w:val="00E733FB"/>
    <w:rsid w:val="00E76309"/>
    <w:rsid w:val="00E77C4D"/>
    <w:rsid w:val="00E80E94"/>
    <w:rsid w:val="00E81D01"/>
    <w:rsid w:val="00EE45D8"/>
    <w:rsid w:val="00F004CD"/>
    <w:rsid w:val="00F030CF"/>
    <w:rsid w:val="00F22EDA"/>
    <w:rsid w:val="00F26AD0"/>
    <w:rsid w:val="00F301DB"/>
    <w:rsid w:val="00F33E0E"/>
    <w:rsid w:val="00F443B9"/>
    <w:rsid w:val="00F63A07"/>
    <w:rsid w:val="00FB7E80"/>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relative:page;mso-position-vertical-relative:page;mso-width-relative:margin;mso-height-relative:margin" o:allowincell="f" o:allowoverlap="f" fill="f" fillcolor="white" stroke="f">
      <v:fill color="white" on="f"/>
      <v:stroke on="f"/>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1950</Words>
  <Characters>9665</Characters>
  <Application>Microsoft Office Word</Application>
  <DocSecurity>0</DocSecurity>
  <Lines>80</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2018-08-24T14:51:00Z</dcterms:created>
  <dcterms:modified xsi:type="dcterms:W3CDTF">2018-08-24T14:52:00Z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