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Default="00FE0046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A4" w:rsidRPr="00F97703" w:rsidRDefault="001F5EA4" w:rsidP="001F5EA4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1042A8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>Appeal N</w:t>
      </w:r>
      <w:r w:rsidR="003418A0">
        <w:rPr>
          <w:rFonts w:ascii="Book Antiqua" w:hAnsi="Book Antiqua" w:cs="Arial"/>
          <w:color w:val="000000"/>
        </w:rPr>
        <w:t>o</w:t>
      </w:r>
      <w:r w:rsidRPr="00F97703">
        <w:rPr>
          <w:rFonts w:ascii="Book Antiqua" w:hAnsi="Book Antiqua" w:cs="Arial"/>
          <w:color w:val="000000"/>
        </w:rPr>
        <w:t xml:space="preserve">: </w:t>
      </w:r>
      <w:r w:rsidR="003418A0">
        <w:rPr>
          <w:rFonts w:ascii="Book Antiqua" w:hAnsi="Book Antiqua" w:cs="Arial"/>
          <w:caps/>
          <w:color w:val="000000"/>
        </w:rPr>
        <w:t>PA/04172/</w:t>
      </w:r>
      <w:r w:rsidR="001042A8">
        <w:rPr>
          <w:rFonts w:ascii="Book Antiqua" w:hAnsi="Book Antiqua" w:cs="Arial"/>
          <w:caps/>
          <w:color w:val="000000"/>
        </w:rPr>
        <w:t>20</w:t>
      </w:r>
      <w:r w:rsidR="003418A0">
        <w:rPr>
          <w:rFonts w:ascii="Book Antiqua" w:hAnsi="Book Antiqua" w:cs="Arial"/>
          <w:caps/>
          <w:color w:val="000000"/>
        </w:rPr>
        <w:t>15</w:t>
      </w:r>
      <w:r w:rsidR="001042A8">
        <w:rPr>
          <w:rFonts w:ascii="Book Antiqua" w:hAnsi="Book Antiqua" w:cs="Arial"/>
          <w:caps/>
          <w:color w:val="000000"/>
        </w:rPr>
        <w:t xml:space="preserve"> </w:t>
      </w:r>
    </w:p>
    <w:p w:rsidR="00933B65" w:rsidRDefault="001042A8" w:rsidP="008A64A7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>
        <w:rPr>
          <w:rFonts w:ascii="Book Antiqua" w:hAnsi="Book Antiqua" w:cs="Arial"/>
          <w:caps/>
          <w:color w:val="000000"/>
        </w:rPr>
        <w:tab/>
      </w:r>
      <w:r w:rsidR="003418A0">
        <w:rPr>
          <w:rFonts w:ascii="Book Antiqua" w:hAnsi="Book Antiqua" w:cs="Arial"/>
          <w:caps/>
          <w:color w:val="000000"/>
        </w:rPr>
        <w:t>PA/05031/</w:t>
      </w:r>
      <w:r>
        <w:rPr>
          <w:rFonts w:ascii="Book Antiqua" w:hAnsi="Book Antiqua" w:cs="Arial"/>
          <w:caps/>
          <w:color w:val="000000"/>
        </w:rPr>
        <w:t>20</w:t>
      </w:r>
      <w:r w:rsidR="003418A0">
        <w:rPr>
          <w:rFonts w:ascii="Book Antiqua" w:hAnsi="Book Antiqua" w:cs="Arial"/>
          <w:caps/>
          <w:color w:val="000000"/>
        </w:rPr>
        <w:t>16</w:t>
      </w:r>
    </w:p>
    <w:p w:rsidR="0021065F" w:rsidRPr="00F97703" w:rsidRDefault="0021065F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21065F" w:rsidRPr="00F97703" w:rsidRDefault="0021065F" w:rsidP="00933B65">
      <w:pPr>
        <w:jc w:val="center"/>
        <w:rPr>
          <w:rFonts w:ascii="Book Antiqua" w:hAnsi="Book Antiqua" w:cs="Arial"/>
          <w:b/>
          <w:u w:val="single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9913" w:type="dxa"/>
        <w:tblLook w:val="01E0" w:firstRow="1" w:lastRow="1" w:firstColumn="1" w:lastColumn="1" w:noHBand="0" w:noVBand="0"/>
      </w:tblPr>
      <w:tblGrid>
        <w:gridCol w:w="6042"/>
        <w:gridCol w:w="3871"/>
      </w:tblGrid>
      <w:tr w:rsidR="00933B65" w:rsidRPr="002154EF" w:rsidTr="005F06B2">
        <w:trPr>
          <w:trHeight w:val="315"/>
        </w:trPr>
        <w:tc>
          <w:tcPr>
            <w:tcW w:w="6042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3871" w:type="dxa"/>
            <w:shd w:val="clear" w:color="auto" w:fill="auto"/>
          </w:tcPr>
          <w:p w:rsidR="00933B65" w:rsidRPr="002154EF" w:rsidRDefault="005F06B2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933B65" w:rsidRPr="002154EF" w:rsidTr="005F06B2">
        <w:trPr>
          <w:trHeight w:val="315"/>
        </w:trPr>
        <w:tc>
          <w:tcPr>
            <w:tcW w:w="6042" w:type="dxa"/>
            <w:shd w:val="clear" w:color="auto" w:fill="auto"/>
          </w:tcPr>
          <w:p w:rsidR="00933B65" w:rsidRPr="002154EF" w:rsidRDefault="005F06B2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4F3F81">
              <w:rPr>
                <w:rFonts w:ascii="Book Antiqua" w:hAnsi="Book Antiqua" w:cs="Arial"/>
                <w:b/>
              </w:rPr>
              <w:t>9 May 2018</w:t>
            </w:r>
          </w:p>
        </w:tc>
        <w:tc>
          <w:tcPr>
            <w:tcW w:w="3871" w:type="dxa"/>
            <w:shd w:val="clear" w:color="auto" w:fill="auto"/>
          </w:tcPr>
          <w:p w:rsidR="00933B65" w:rsidRPr="002154EF" w:rsidRDefault="005F06B2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16 May 2018</w:t>
            </w:r>
          </w:p>
        </w:tc>
      </w:tr>
      <w:tr w:rsidR="00933B65" w:rsidRPr="002154EF" w:rsidTr="005F06B2">
        <w:trPr>
          <w:trHeight w:val="329"/>
        </w:trPr>
        <w:tc>
          <w:tcPr>
            <w:tcW w:w="6042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871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21065F" w:rsidRDefault="0021065F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1F5EA4" w:rsidRDefault="001F5EA4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BA0BBB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ANTHONY </w:t>
      </w:r>
      <w:r w:rsidR="004028C0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T</w:t>
      </w:r>
      <w:r w:rsidR="004028C0">
        <w:rPr>
          <w:rFonts w:ascii="Book Antiqua" w:hAnsi="Book Antiqua" w:cs="Arial"/>
          <w:b/>
        </w:rPr>
        <w:t xml:space="preserve">] </w:t>
      </w:r>
      <w:r>
        <w:rPr>
          <w:rFonts w:ascii="Book Antiqua" w:hAnsi="Book Antiqua" w:cs="Arial"/>
          <w:b/>
        </w:rPr>
        <w:t xml:space="preserve">&amp; </w:t>
      </w:r>
      <w:r w:rsidR="00746434">
        <w:rPr>
          <w:rFonts w:ascii="Book Antiqua" w:hAnsi="Book Antiqua" w:cs="Arial"/>
          <w:b/>
        </w:rPr>
        <w:t xml:space="preserve">MARION </w:t>
      </w:r>
      <w:r w:rsidR="004028C0">
        <w:rPr>
          <w:rFonts w:ascii="Book Antiqua" w:hAnsi="Book Antiqua" w:cs="Arial"/>
          <w:b/>
        </w:rPr>
        <w:t>[</w:t>
      </w:r>
      <w:r w:rsidR="00746434">
        <w:rPr>
          <w:rFonts w:ascii="Book Antiqua" w:hAnsi="Book Antiqua" w:cs="Arial"/>
          <w:b/>
        </w:rPr>
        <w:t>W</w:t>
      </w:r>
      <w:r w:rsidR="004028C0">
        <w:rPr>
          <w:rFonts w:ascii="Book Antiqua" w:hAnsi="Book Antiqua" w:cs="Arial"/>
          <w:b/>
        </w:rPr>
        <w:t>]</w:t>
      </w:r>
      <w:bookmarkStart w:id="0" w:name="_GoBack"/>
      <w:bookmarkEnd w:id="0"/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  <w:r w:rsidR="00BA0BBB">
        <w:rPr>
          <w:rFonts w:ascii="Book Antiqua" w:hAnsi="Book Antiqua" w:cs="Arial"/>
          <w:u w:val="single"/>
        </w:rPr>
        <w:t>s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Default="00933B65" w:rsidP="00933B65">
      <w:pPr>
        <w:rPr>
          <w:rFonts w:ascii="Book Antiqua" w:hAnsi="Book Antiqua" w:cs="Arial"/>
        </w:rPr>
      </w:pPr>
    </w:p>
    <w:p w:rsidR="001F5EA4" w:rsidRDefault="001F5EA4" w:rsidP="00933B65">
      <w:pPr>
        <w:rPr>
          <w:rFonts w:ascii="Book Antiqua" w:hAnsi="Book Antiqua" w:cs="Arial"/>
        </w:rPr>
      </w:pPr>
    </w:p>
    <w:p w:rsidR="001F5EA4" w:rsidRPr="001F5EA4" w:rsidRDefault="001F5EA4" w:rsidP="00933B65">
      <w:pPr>
        <w:rPr>
          <w:rFonts w:ascii="Book Antiqua" w:hAnsi="Book Antiqua" w:cs="Arial"/>
          <w:u w:val="single"/>
        </w:rPr>
      </w:pPr>
      <w:r w:rsidRPr="001F5EA4">
        <w:rPr>
          <w:rFonts w:ascii="Book Antiqua" w:hAnsi="Book Antiqua" w:cs="Arial"/>
          <w:u w:val="single"/>
        </w:rPr>
        <w:t>Representation:</w:t>
      </w:r>
    </w:p>
    <w:p w:rsidR="00933B65" w:rsidRDefault="00933B65" w:rsidP="001F5EA4">
      <w:pPr>
        <w:ind w:left="2552" w:hanging="2552"/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</w:t>
      </w:r>
      <w:r w:rsidR="00E570AD">
        <w:rPr>
          <w:rFonts w:ascii="Book Antiqua" w:hAnsi="Book Antiqua" w:cs="Arial"/>
        </w:rPr>
        <w:t>s</w:t>
      </w:r>
      <w:r w:rsidRPr="00F97703">
        <w:rPr>
          <w:rFonts w:ascii="Book Antiqua" w:hAnsi="Book Antiqua" w:cs="Arial"/>
        </w:rPr>
        <w:t>:</w:t>
      </w:r>
      <w:r w:rsidRPr="00F97703">
        <w:rPr>
          <w:rFonts w:ascii="Book Antiqua" w:hAnsi="Book Antiqua" w:cs="Arial"/>
        </w:rPr>
        <w:tab/>
      </w:r>
      <w:r w:rsidR="00F040B7">
        <w:rPr>
          <w:rFonts w:ascii="Book Antiqua" w:hAnsi="Book Antiqua" w:cs="Arial"/>
        </w:rPr>
        <w:t xml:space="preserve">Mr S Winter, Advocate, instructed by </w:t>
      </w:r>
      <w:r w:rsidR="00746434">
        <w:rPr>
          <w:rFonts w:ascii="Book Antiqua" w:hAnsi="Book Antiqua" w:cs="Arial"/>
        </w:rPr>
        <w:t>Maguire</w:t>
      </w:r>
      <w:r w:rsidR="00563A8B">
        <w:rPr>
          <w:rFonts w:ascii="Book Antiqua" w:hAnsi="Book Antiqua" w:cs="Arial"/>
        </w:rPr>
        <w:t>, S</w:t>
      </w:r>
      <w:r w:rsidR="003D7D3D">
        <w:rPr>
          <w:rFonts w:ascii="Book Antiqua" w:hAnsi="Book Antiqua" w:cs="Arial"/>
        </w:rPr>
        <w:t>olicitors</w:t>
      </w:r>
      <w:r w:rsidR="00EF1E4D">
        <w:rPr>
          <w:rFonts w:ascii="Book Antiqua" w:hAnsi="Book Antiqua" w:cs="Arial"/>
        </w:rPr>
        <w:t>, for the first appellant, and by Katani &amp; Co, Solicitors</w:t>
      </w:r>
      <w:r w:rsidR="00E570AD">
        <w:rPr>
          <w:rFonts w:ascii="Book Antiqua" w:hAnsi="Book Antiqua" w:cs="Arial"/>
        </w:rPr>
        <w:t>, for the second appellant</w:t>
      </w:r>
    </w:p>
    <w:p w:rsidR="00933B65" w:rsidRDefault="00933B65" w:rsidP="001F5EA4">
      <w:pPr>
        <w:tabs>
          <w:tab w:val="left" w:pos="2552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="00922EF1">
        <w:rPr>
          <w:rFonts w:ascii="Book Antiqua" w:hAnsi="Book Antiqua" w:cs="Arial"/>
        </w:rPr>
        <w:t xml:space="preserve"> </w:t>
      </w:r>
      <w:r w:rsidR="001F5EA4">
        <w:rPr>
          <w:rFonts w:ascii="Book Antiqua" w:hAnsi="Book Antiqua" w:cs="Arial"/>
        </w:rPr>
        <w:tab/>
      </w:r>
      <w:r w:rsidR="00F040B7">
        <w:rPr>
          <w:rFonts w:ascii="Book Antiqua" w:hAnsi="Book Antiqua" w:cs="Arial"/>
        </w:rPr>
        <w:t xml:space="preserve">Mr A Govan,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6B528A" w:rsidRPr="00F97703" w:rsidRDefault="006B528A" w:rsidP="008A64A7">
      <w:pPr>
        <w:tabs>
          <w:tab w:val="left" w:pos="2520"/>
        </w:tabs>
        <w:rPr>
          <w:rFonts w:ascii="Book Antiqua" w:hAnsi="Book Antiqua" w:cs="Arial"/>
        </w:rPr>
      </w:pPr>
    </w:p>
    <w:p w:rsidR="00933B65" w:rsidRPr="00F97703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C502D9" w:rsidRPr="00C502D9" w:rsidRDefault="00A620D4" w:rsidP="00C502D9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First-tier Tribunal Judge Porter dismissed the </w:t>
      </w:r>
      <w:r w:rsidR="00C502D9">
        <w:rPr>
          <w:rFonts w:ascii="Book Antiqua" w:hAnsi="Book Antiqua" w:cs="Arial"/>
        </w:rPr>
        <w:t>appellants’ appeals by her decision promulgated on 26 April 2017.</w:t>
      </w:r>
    </w:p>
    <w:p w:rsidR="006B528A" w:rsidRPr="006B528A" w:rsidRDefault="00C502D9" w:rsidP="0061609A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344081">
        <w:rPr>
          <w:rFonts w:ascii="Book Antiqua" w:hAnsi="Book Antiqua" w:cs="Arial"/>
        </w:rPr>
        <w:lastRenderedPageBreak/>
        <w:t xml:space="preserve">The appellants have permission to appeal to the UT on </w:t>
      </w:r>
      <w:r w:rsidR="00F72641" w:rsidRPr="00344081">
        <w:rPr>
          <w:rFonts w:ascii="Book Antiqua" w:hAnsi="Book Antiqua" w:cs="Arial"/>
        </w:rPr>
        <w:t>grounds s</w:t>
      </w:r>
      <w:r w:rsidR="00F923A9" w:rsidRPr="00344081">
        <w:rPr>
          <w:rFonts w:ascii="Book Antiqua" w:hAnsi="Book Antiqua" w:cs="Arial"/>
        </w:rPr>
        <w:t>t</w:t>
      </w:r>
      <w:r w:rsidR="00F72641" w:rsidRPr="00344081">
        <w:rPr>
          <w:rFonts w:ascii="Book Antiqua" w:hAnsi="Book Antiqua" w:cs="Arial"/>
        </w:rPr>
        <w:t>ated in their</w:t>
      </w:r>
      <w:r w:rsidR="00F923A9" w:rsidRPr="00344081">
        <w:rPr>
          <w:rFonts w:ascii="Book Antiqua" w:hAnsi="Book Antiqua" w:cs="Arial"/>
        </w:rPr>
        <w:t xml:space="preserve"> application </w:t>
      </w:r>
      <w:r w:rsidR="00634A28" w:rsidRPr="00344081">
        <w:rPr>
          <w:rFonts w:ascii="Book Antiqua" w:hAnsi="Book Antiqua" w:cs="Arial"/>
        </w:rPr>
        <w:t>dated 2 October 2017</w:t>
      </w:r>
      <w:r w:rsidR="006B528A">
        <w:rPr>
          <w:rFonts w:ascii="Book Antiqua" w:hAnsi="Book Antiqua" w:cs="Arial"/>
        </w:rPr>
        <w:t>.</w:t>
      </w:r>
    </w:p>
    <w:p w:rsidR="00404EF5" w:rsidRPr="00404EF5" w:rsidRDefault="006B528A" w:rsidP="0061609A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The grounds are</w:t>
      </w:r>
      <w:r w:rsidR="0061609A" w:rsidRPr="00344081">
        <w:rPr>
          <w:rFonts w:ascii="Book Antiqua" w:hAnsi="Book Antiqua" w:cs="Arial"/>
        </w:rPr>
        <w:t xml:space="preserve"> headed</w:t>
      </w:r>
      <w:r w:rsidR="00404EF5">
        <w:rPr>
          <w:rFonts w:ascii="Book Antiqua" w:hAnsi="Book Antiqua" w:cs="Arial"/>
        </w:rPr>
        <w:t>:</w:t>
      </w:r>
    </w:p>
    <w:p w:rsidR="00404EF5" w:rsidRPr="00404EF5" w:rsidRDefault="0061609A" w:rsidP="001F5EA4">
      <w:pPr>
        <w:tabs>
          <w:tab w:val="left" w:pos="1134"/>
        </w:tabs>
        <w:spacing w:before="120"/>
        <w:ind w:left="567"/>
        <w:jc w:val="both"/>
        <w:rPr>
          <w:rFonts w:ascii="Book Antiqua" w:hAnsi="Book Antiqua"/>
        </w:rPr>
      </w:pPr>
      <w:r w:rsidRPr="00344081">
        <w:rPr>
          <w:rFonts w:ascii="Book Antiqua" w:hAnsi="Book Antiqua" w:cs="Arial"/>
        </w:rPr>
        <w:t xml:space="preserve">(1) </w:t>
      </w:r>
      <w:r w:rsidR="001F5EA4">
        <w:rPr>
          <w:rFonts w:ascii="Book Antiqua" w:hAnsi="Book Antiqua" w:cs="Arial"/>
        </w:rPr>
        <w:tab/>
      </w:r>
      <w:r w:rsidRPr="00344081">
        <w:rPr>
          <w:rFonts w:ascii="Book Antiqua" w:hAnsi="Book Antiqua" w:cs="Arial"/>
        </w:rPr>
        <w:t>errors of law when finding that the first appellant is not homosexual</w:t>
      </w:r>
      <w:r w:rsidR="00404EF5">
        <w:rPr>
          <w:rFonts w:ascii="Book Antiqua" w:hAnsi="Book Antiqua" w:cs="Arial"/>
        </w:rPr>
        <w:t>;</w:t>
      </w:r>
    </w:p>
    <w:p w:rsidR="00404EF5" w:rsidRPr="00404EF5" w:rsidRDefault="006930C1" w:rsidP="001F5EA4">
      <w:pPr>
        <w:tabs>
          <w:tab w:val="left" w:pos="1134"/>
        </w:tabs>
        <w:spacing w:before="120"/>
        <w:ind w:left="567"/>
        <w:jc w:val="both"/>
        <w:rPr>
          <w:rFonts w:ascii="Book Antiqua" w:hAnsi="Book Antiqua"/>
        </w:rPr>
      </w:pPr>
      <w:r w:rsidRPr="00344081">
        <w:rPr>
          <w:rFonts w:ascii="Book Antiqua" w:hAnsi="Book Antiqua" w:cs="Arial"/>
        </w:rPr>
        <w:t xml:space="preserve">(2) </w:t>
      </w:r>
      <w:r w:rsidR="001F5EA4">
        <w:rPr>
          <w:rFonts w:ascii="Book Antiqua" w:hAnsi="Book Antiqua" w:cs="Arial"/>
        </w:rPr>
        <w:tab/>
      </w:r>
      <w:r w:rsidRPr="00344081">
        <w:rPr>
          <w:rFonts w:ascii="Book Antiqua" w:hAnsi="Book Antiqua" w:cs="Arial"/>
        </w:rPr>
        <w:t>alleged actions by the first appellant’s stepbrothers</w:t>
      </w:r>
      <w:r w:rsidR="00404EF5">
        <w:rPr>
          <w:rFonts w:ascii="Book Antiqua" w:hAnsi="Book Antiqua" w:cs="Arial"/>
        </w:rPr>
        <w:t>;</w:t>
      </w:r>
    </w:p>
    <w:p w:rsidR="00404EF5" w:rsidRPr="00404EF5" w:rsidRDefault="009C7EFB" w:rsidP="001F5EA4">
      <w:pPr>
        <w:tabs>
          <w:tab w:val="left" w:pos="1134"/>
        </w:tabs>
        <w:spacing w:before="120"/>
        <w:ind w:left="567"/>
        <w:jc w:val="both"/>
        <w:rPr>
          <w:rFonts w:ascii="Book Antiqua" w:hAnsi="Book Antiqua"/>
        </w:rPr>
      </w:pPr>
      <w:r w:rsidRPr="00344081">
        <w:rPr>
          <w:rFonts w:ascii="Book Antiqua" w:hAnsi="Book Antiqua" w:cs="Arial"/>
        </w:rPr>
        <w:t xml:space="preserve">(3) </w:t>
      </w:r>
      <w:r w:rsidR="001F5EA4">
        <w:rPr>
          <w:rFonts w:ascii="Book Antiqua" w:hAnsi="Book Antiqua" w:cs="Arial"/>
        </w:rPr>
        <w:tab/>
      </w:r>
      <w:r w:rsidRPr="00344081">
        <w:rPr>
          <w:rFonts w:ascii="Book Antiqua" w:hAnsi="Book Antiqua" w:cs="Arial"/>
        </w:rPr>
        <w:t>error of law in criticising the appellants for not claiming asylum on arrival</w:t>
      </w:r>
      <w:r w:rsidR="00404EF5">
        <w:rPr>
          <w:rFonts w:ascii="Book Antiqua" w:hAnsi="Book Antiqua" w:cs="Arial"/>
        </w:rPr>
        <w:t>; and</w:t>
      </w:r>
    </w:p>
    <w:p w:rsidR="00F125AD" w:rsidRPr="00344081" w:rsidRDefault="00344081" w:rsidP="001F5EA4">
      <w:pPr>
        <w:tabs>
          <w:tab w:val="left" w:pos="1134"/>
        </w:tabs>
        <w:spacing w:before="120"/>
        <w:ind w:left="567"/>
        <w:jc w:val="both"/>
        <w:rPr>
          <w:rFonts w:ascii="Book Antiqua" w:hAnsi="Book Antiqua"/>
        </w:rPr>
      </w:pPr>
      <w:r w:rsidRPr="00344081">
        <w:rPr>
          <w:rFonts w:ascii="Book Antiqua" w:hAnsi="Book Antiqua" w:cs="Arial"/>
        </w:rPr>
        <w:t xml:space="preserve">(4) </w:t>
      </w:r>
      <w:r w:rsidR="001F5EA4">
        <w:rPr>
          <w:rFonts w:ascii="Book Antiqua" w:hAnsi="Book Antiqua" w:cs="Arial"/>
        </w:rPr>
        <w:tab/>
      </w:r>
      <w:r w:rsidRPr="00344081">
        <w:rPr>
          <w:rFonts w:ascii="Book Antiqua" w:hAnsi="Book Antiqua" w:cs="Arial"/>
        </w:rPr>
        <w:t>errors of law when assessing the second appellant’s PTSD.</w:t>
      </w:r>
    </w:p>
    <w:p w:rsidR="00D679A3" w:rsidRPr="00D679A3" w:rsidRDefault="00EA24BB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5E2CFF">
        <w:rPr>
          <w:rFonts w:ascii="Book Antiqua" w:hAnsi="Book Antiqua" w:cs="Arial"/>
        </w:rPr>
        <w:t xml:space="preserve">In course of submissions </w:t>
      </w:r>
      <w:r w:rsidR="005E2CFF" w:rsidRPr="005E2CFF">
        <w:rPr>
          <w:rFonts w:ascii="Book Antiqua" w:hAnsi="Book Antiqua" w:cs="Arial"/>
        </w:rPr>
        <w:t>the following matters were agreed</w:t>
      </w:r>
      <w:r w:rsidR="00D679A3">
        <w:rPr>
          <w:rFonts w:ascii="Book Antiqua" w:hAnsi="Book Antiqua" w:cs="Arial"/>
        </w:rPr>
        <w:t>:</w:t>
      </w:r>
    </w:p>
    <w:p w:rsidR="00D679A3" w:rsidRPr="00D679A3" w:rsidRDefault="005E2CFF" w:rsidP="001F5EA4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 w:rsidRPr="005E2CFF">
        <w:rPr>
          <w:rFonts w:ascii="Book Antiqua" w:hAnsi="Book Antiqua" w:cs="Arial"/>
        </w:rPr>
        <w:t>G</w:t>
      </w:r>
      <w:r w:rsidR="00367E19" w:rsidRPr="005E2CFF">
        <w:rPr>
          <w:rFonts w:ascii="Book Antiqua" w:hAnsi="Book Antiqua" w:cs="Arial"/>
        </w:rPr>
        <w:t>round 1 is critical.</w:t>
      </w:r>
    </w:p>
    <w:p w:rsidR="00CF7C69" w:rsidRPr="00CF7C69" w:rsidRDefault="00367E19" w:rsidP="001F5EA4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 w:rsidRPr="005E2CFF">
        <w:rPr>
          <w:rFonts w:ascii="Book Antiqua" w:hAnsi="Book Antiqua" w:cs="Arial"/>
        </w:rPr>
        <w:t xml:space="preserve">Grounds </w:t>
      </w:r>
      <w:r w:rsidR="00E15763" w:rsidRPr="005E2CFF">
        <w:rPr>
          <w:rFonts w:ascii="Book Antiqua" w:hAnsi="Book Antiqua" w:cs="Arial"/>
        </w:rPr>
        <w:t>2 and 4</w:t>
      </w:r>
      <w:r w:rsidR="00027311">
        <w:rPr>
          <w:rFonts w:ascii="Book Antiqua" w:hAnsi="Book Antiqua" w:cs="Arial"/>
        </w:rPr>
        <w:t xml:space="preserve"> </w:t>
      </w:r>
      <w:r w:rsidR="00E15763" w:rsidRPr="005E2CFF">
        <w:rPr>
          <w:rFonts w:ascii="Book Antiqua" w:hAnsi="Book Antiqua" w:cs="Arial"/>
        </w:rPr>
        <w:t>depend upon ground 1.</w:t>
      </w:r>
    </w:p>
    <w:p w:rsidR="00CF7C69" w:rsidRPr="00CF7C69" w:rsidRDefault="00E15763" w:rsidP="001F5EA4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 w:rsidRPr="005E2CFF">
        <w:rPr>
          <w:rFonts w:ascii="Book Antiqua" w:hAnsi="Book Antiqua" w:cs="Arial"/>
        </w:rPr>
        <w:t xml:space="preserve">Ground 3 </w:t>
      </w:r>
      <w:r w:rsidR="00FB57D6" w:rsidRPr="005E2CFF">
        <w:rPr>
          <w:rFonts w:ascii="Book Antiqua" w:hAnsi="Book Antiqua" w:cs="Arial"/>
        </w:rPr>
        <w:t>could not succeed on its own.</w:t>
      </w:r>
    </w:p>
    <w:p w:rsidR="002A7DEF" w:rsidRPr="002A7DEF" w:rsidRDefault="003B4721" w:rsidP="001F5EA4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respondent’s decision </w:t>
      </w:r>
      <w:r w:rsidR="00CF7C69">
        <w:rPr>
          <w:rFonts w:ascii="Book Antiqua" w:hAnsi="Book Antiqua" w:cs="Arial"/>
        </w:rPr>
        <w:t>found that</w:t>
      </w:r>
      <w:r>
        <w:rPr>
          <w:rFonts w:ascii="Book Antiqua" w:hAnsi="Book Antiqua" w:cs="Arial"/>
        </w:rPr>
        <w:t xml:space="preserve"> the case “taken at highest”</w:t>
      </w:r>
      <w:r w:rsidR="00CF7C69">
        <w:rPr>
          <w:rFonts w:ascii="Book Antiqua" w:hAnsi="Book Antiqua" w:cs="Arial"/>
        </w:rPr>
        <w:t xml:space="preserve"> failed</w:t>
      </w:r>
      <w:r>
        <w:rPr>
          <w:rFonts w:ascii="Book Antiqua" w:hAnsi="Book Antiqua" w:cs="Arial"/>
        </w:rPr>
        <w:t xml:space="preserve"> </w:t>
      </w:r>
      <w:r w:rsidR="00621FDD">
        <w:rPr>
          <w:rFonts w:ascii="Book Antiqua" w:hAnsi="Book Antiqua" w:cs="Arial"/>
        </w:rPr>
        <w:t>on grounds of sufficiency of protection and internal relocation.  Th</w:t>
      </w:r>
      <w:r w:rsidR="005F3650">
        <w:rPr>
          <w:rFonts w:ascii="Book Antiqua" w:hAnsi="Book Antiqua" w:cs="Arial"/>
        </w:rPr>
        <w:t>os</w:t>
      </w:r>
      <w:r w:rsidR="00621FDD">
        <w:rPr>
          <w:rFonts w:ascii="Book Antiqua" w:hAnsi="Book Antiqua" w:cs="Arial"/>
        </w:rPr>
        <w:t xml:space="preserve">e </w:t>
      </w:r>
      <w:r w:rsidR="005F3650">
        <w:rPr>
          <w:rFonts w:ascii="Book Antiqua" w:hAnsi="Book Antiqua" w:cs="Arial"/>
        </w:rPr>
        <w:t xml:space="preserve">issues were contested in the </w:t>
      </w:r>
      <w:r w:rsidR="00621FDD">
        <w:rPr>
          <w:rFonts w:ascii="Book Antiqua" w:hAnsi="Book Antiqua" w:cs="Arial"/>
        </w:rPr>
        <w:t>FtT</w:t>
      </w:r>
      <w:r w:rsidR="005F3650">
        <w:rPr>
          <w:rFonts w:ascii="Book Antiqua" w:hAnsi="Book Antiqua" w:cs="Arial"/>
        </w:rPr>
        <w:t xml:space="preserve">, with submissions from both sides, </w:t>
      </w:r>
      <w:r w:rsidR="007F2C55">
        <w:rPr>
          <w:rFonts w:ascii="Book Antiqua" w:hAnsi="Book Antiqua" w:cs="Arial"/>
        </w:rPr>
        <w:t>which</w:t>
      </w:r>
      <w:r w:rsidR="005F3650">
        <w:rPr>
          <w:rFonts w:ascii="Book Antiqua" w:hAnsi="Book Antiqua" w:cs="Arial"/>
        </w:rPr>
        <w:t xml:space="preserve"> the judge </w:t>
      </w:r>
      <w:r w:rsidR="00362268">
        <w:rPr>
          <w:rFonts w:ascii="Book Antiqua" w:hAnsi="Book Antiqua" w:cs="Arial"/>
        </w:rPr>
        <w:t>did not</w:t>
      </w:r>
      <w:r w:rsidR="005F3650">
        <w:rPr>
          <w:rFonts w:ascii="Book Antiqua" w:hAnsi="Book Antiqua" w:cs="Arial"/>
        </w:rPr>
        <w:t xml:space="preserve"> </w:t>
      </w:r>
      <w:r w:rsidR="00A31234">
        <w:rPr>
          <w:rFonts w:ascii="Book Antiqua" w:hAnsi="Book Antiqua" w:cs="Arial"/>
        </w:rPr>
        <w:t>resolve.</w:t>
      </w:r>
      <w:r w:rsidR="007F2C55">
        <w:rPr>
          <w:rFonts w:ascii="Book Antiqua" w:hAnsi="Book Antiqua" w:cs="Arial"/>
        </w:rPr>
        <w:t xml:space="preserve">  </w:t>
      </w:r>
      <w:r w:rsidR="004413B9">
        <w:rPr>
          <w:rFonts w:ascii="Book Antiqua" w:hAnsi="Book Antiqua" w:cs="Arial"/>
        </w:rPr>
        <w:t>There was</w:t>
      </w:r>
      <w:r w:rsidR="00362268">
        <w:rPr>
          <w:rFonts w:ascii="Book Antiqua" w:hAnsi="Book Antiqua" w:cs="Arial"/>
        </w:rPr>
        <w:t>,</w:t>
      </w:r>
      <w:r w:rsidR="004413B9">
        <w:rPr>
          <w:rFonts w:ascii="Book Antiqua" w:hAnsi="Book Antiqua" w:cs="Arial"/>
        </w:rPr>
        <w:t xml:space="preserve"> therefore</w:t>
      </w:r>
      <w:r w:rsidR="00362268">
        <w:rPr>
          <w:rFonts w:ascii="Book Antiqua" w:hAnsi="Book Antiqua" w:cs="Arial"/>
        </w:rPr>
        <w:t>,</w:t>
      </w:r>
      <w:r w:rsidR="004413B9">
        <w:rPr>
          <w:rFonts w:ascii="Book Antiqua" w:hAnsi="Book Antiqua" w:cs="Arial"/>
        </w:rPr>
        <w:t xml:space="preserve"> no alternative basis on which the outcome might stand.</w:t>
      </w:r>
    </w:p>
    <w:p w:rsidR="00827F39" w:rsidRPr="005E2CFF" w:rsidRDefault="005E2CFF" w:rsidP="001F5EA4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 w:rsidRPr="005E2CFF">
        <w:rPr>
          <w:rFonts w:ascii="Book Antiqua" w:hAnsi="Book Antiqua" w:cs="Arial"/>
        </w:rPr>
        <w:t>I</w:t>
      </w:r>
      <w:r w:rsidR="00FB57D6" w:rsidRPr="005E2CFF">
        <w:rPr>
          <w:rFonts w:ascii="Book Antiqua" w:hAnsi="Book Antiqua" w:cs="Arial"/>
        </w:rPr>
        <w:t xml:space="preserve">f ground 1 showed such error as to require the decision to be set aside, the appropriate outcome would </w:t>
      </w:r>
      <w:r w:rsidR="00922EF1" w:rsidRPr="005E2CFF">
        <w:rPr>
          <w:rFonts w:ascii="Book Antiqua" w:hAnsi="Book Antiqua" w:cs="Arial"/>
        </w:rPr>
        <w:t>be</w:t>
      </w:r>
      <w:r w:rsidR="00FB57D6" w:rsidRPr="005E2CFF">
        <w:rPr>
          <w:rFonts w:ascii="Book Antiqua" w:hAnsi="Book Antiqua" w:cs="Arial"/>
        </w:rPr>
        <w:t xml:space="preserve"> a remit to the FtT for a fresh hearing.</w:t>
      </w:r>
      <w:r w:rsidR="003B4721">
        <w:rPr>
          <w:rFonts w:ascii="Book Antiqua" w:hAnsi="Book Antiqua" w:cs="Arial"/>
        </w:rPr>
        <w:t xml:space="preserve">  </w:t>
      </w:r>
    </w:p>
    <w:p w:rsidR="00027311" w:rsidRPr="00027311" w:rsidRDefault="00FC138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Having heard the submissions, I indicated that </w:t>
      </w:r>
      <w:r w:rsidR="00F15EA8">
        <w:rPr>
          <w:rFonts w:ascii="Book Antiqua" w:hAnsi="Book Antiqua" w:cs="Arial"/>
        </w:rPr>
        <w:t>ground 1 was made out.</w:t>
      </w:r>
    </w:p>
    <w:p w:rsidR="00A40DD1" w:rsidRPr="00A40DD1" w:rsidRDefault="00F15EA8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At paragraph 53 the judge correctly </w:t>
      </w:r>
      <w:r w:rsidR="00B93467">
        <w:rPr>
          <w:rFonts w:ascii="Book Antiqua" w:hAnsi="Book Antiqua" w:cs="Arial"/>
        </w:rPr>
        <w:t xml:space="preserve">identifies the principal issue </w:t>
      </w:r>
      <w:r w:rsidR="008846F4">
        <w:rPr>
          <w:rFonts w:ascii="Book Antiqua" w:hAnsi="Book Antiqua" w:cs="Arial"/>
        </w:rPr>
        <w:t>a</w:t>
      </w:r>
      <w:r w:rsidR="00B93467">
        <w:rPr>
          <w:rFonts w:ascii="Book Antiqua" w:hAnsi="Book Antiqua" w:cs="Arial"/>
        </w:rPr>
        <w:t>s whether the first appellant is gay</w:t>
      </w:r>
      <w:r w:rsidR="00DC45A4">
        <w:rPr>
          <w:rFonts w:ascii="Book Antiqua" w:hAnsi="Book Antiqua" w:cs="Arial"/>
        </w:rPr>
        <w:t>.  She</w:t>
      </w:r>
      <w:r w:rsidR="00B93467">
        <w:rPr>
          <w:rFonts w:ascii="Book Antiqua" w:hAnsi="Book Antiqua" w:cs="Arial"/>
        </w:rPr>
        <w:t xml:space="preserve"> gives three reasons for finding that not established: (1)</w:t>
      </w:r>
      <w:r w:rsidR="00EE7AE9">
        <w:rPr>
          <w:rFonts w:ascii="Book Antiqua" w:hAnsi="Book Antiqua" w:cs="Arial"/>
        </w:rPr>
        <w:t xml:space="preserve"> his 14 year heterosexual marriage, with two children; (2)</w:t>
      </w:r>
      <w:r w:rsidR="00A97C22">
        <w:rPr>
          <w:rFonts w:ascii="Book Antiqua" w:hAnsi="Book Antiqua" w:cs="Arial"/>
        </w:rPr>
        <w:t xml:space="preserve"> lack of corroboration of his sexual </w:t>
      </w:r>
      <w:r w:rsidR="00230F7F">
        <w:rPr>
          <w:rFonts w:ascii="Book Antiqua" w:hAnsi="Book Antiqua" w:cs="Arial"/>
        </w:rPr>
        <w:t xml:space="preserve">experiences and gay </w:t>
      </w:r>
      <w:r w:rsidR="00A97C22">
        <w:rPr>
          <w:rFonts w:ascii="Book Antiqua" w:hAnsi="Book Antiqua" w:cs="Arial"/>
        </w:rPr>
        <w:t>relationships</w:t>
      </w:r>
      <w:r w:rsidR="00230F7F">
        <w:rPr>
          <w:rFonts w:ascii="Book Antiqua" w:hAnsi="Book Antiqua" w:cs="Arial"/>
        </w:rPr>
        <w:t xml:space="preserve"> in Kenya</w:t>
      </w:r>
      <w:r w:rsidR="00FE7FA7">
        <w:rPr>
          <w:rFonts w:ascii="Book Antiqua" w:hAnsi="Book Antiqua" w:cs="Arial"/>
        </w:rPr>
        <w:t>, and the accounts of the ending of those relationships being “extremely problematic and unpersuasive</w:t>
      </w:r>
      <w:r w:rsidR="00A40DD1">
        <w:rPr>
          <w:rFonts w:ascii="Book Antiqua" w:hAnsi="Book Antiqua" w:cs="Arial"/>
        </w:rPr>
        <w:t xml:space="preserve"> for the reasons outlined on behalf of the respondent”; and (3) very difficult to accept that the appellant could have been in a gay relationship between 2008 and 2013 with</w:t>
      </w:r>
      <w:r w:rsidR="00622BE5">
        <w:rPr>
          <w:rFonts w:ascii="Book Antiqua" w:hAnsi="Book Antiqua" w:cs="Arial"/>
        </w:rPr>
        <w:t>out</w:t>
      </w:r>
      <w:r w:rsidR="00A40DD1">
        <w:rPr>
          <w:rFonts w:ascii="Book Antiqua" w:hAnsi="Book Antiqua" w:cs="Arial"/>
        </w:rPr>
        <w:t xml:space="preserve"> the second appellant being aware.</w:t>
      </w:r>
    </w:p>
    <w:p w:rsidR="008824F7" w:rsidRPr="008824F7" w:rsidRDefault="00855D5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The grounds of challenge are based partly on failure to consider the cultural anti-homosexual context</w:t>
      </w:r>
      <w:r w:rsidR="006A7C37">
        <w:rPr>
          <w:rFonts w:ascii="Book Antiqua" w:hAnsi="Book Antiqua" w:cs="Arial"/>
        </w:rPr>
        <w:t>.  That has some merit.  Further, examples of gay men “coming out”</w:t>
      </w:r>
      <w:r w:rsidR="00316F41">
        <w:rPr>
          <w:rFonts w:ascii="Book Antiqua" w:hAnsi="Book Antiqua" w:cs="Arial"/>
        </w:rPr>
        <w:t xml:space="preserve"> after long heterosexual marriages, with children</w:t>
      </w:r>
      <w:r w:rsidR="00865C1F">
        <w:rPr>
          <w:rFonts w:ascii="Book Antiqua" w:hAnsi="Book Antiqua" w:cs="Arial"/>
        </w:rPr>
        <w:t>, whose wi</w:t>
      </w:r>
      <w:r w:rsidR="00E64C72">
        <w:rPr>
          <w:rFonts w:ascii="Book Antiqua" w:hAnsi="Book Antiqua" w:cs="Arial"/>
        </w:rPr>
        <w:t>v</w:t>
      </w:r>
      <w:r w:rsidR="00865C1F">
        <w:rPr>
          <w:rFonts w:ascii="Book Antiqua" w:hAnsi="Book Antiqua" w:cs="Arial"/>
        </w:rPr>
        <w:t>es were in ignorance, are</w:t>
      </w:r>
      <w:r>
        <w:rPr>
          <w:rFonts w:ascii="Book Antiqua" w:hAnsi="Book Antiqua" w:cs="Arial"/>
        </w:rPr>
        <w:t xml:space="preserve"> known to occur even in countries</w:t>
      </w:r>
      <w:r w:rsidR="009874D1">
        <w:rPr>
          <w:rFonts w:ascii="Book Antiqua" w:hAnsi="Book Antiqua" w:cs="Arial"/>
        </w:rPr>
        <w:t xml:space="preserve"> where </w:t>
      </w:r>
      <w:r w:rsidR="00977113">
        <w:rPr>
          <w:rFonts w:ascii="Book Antiqua" w:hAnsi="Book Antiqua" w:cs="Arial"/>
        </w:rPr>
        <w:t xml:space="preserve">homosexuality is not </w:t>
      </w:r>
      <w:r w:rsidR="003709EE">
        <w:rPr>
          <w:rFonts w:ascii="Book Antiqua" w:hAnsi="Book Antiqua" w:cs="Arial"/>
        </w:rPr>
        <w:t xml:space="preserve">highly </w:t>
      </w:r>
      <w:r w:rsidR="00977113">
        <w:rPr>
          <w:rFonts w:ascii="Book Antiqua" w:hAnsi="Book Antiqua" w:cs="Arial"/>
        </w:rPr>
        <w:t>stigmatised.</w:t>
      </w:r>
    </w:p>
    <w:p w:rsidR="00A43DFD" w:rsidRPr="00A43DFD" w:rsidRDefault="00775BF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While it </w:t>
      </w:r>
      <w:r w:rsidR="00622BE5">
        <w:rPr>
          <w:rFonts w:ascii="Book Antiqua" w:hAnsi="Book Antiqua" w:cs="Arial"/>
        </w:rPr>
        <w:t>is not absurd to take a long marriage without a wife being aware her husband is gay as some indication that he may not be gay</w:t>
      </w:r>
      <w:r>
        <w:rPr>
          <w:rFonts w:ascii="Book Antiqua" w:hAnsi="Book Antiqua" w:cs="Arial"/>
        </w:rPr>
        <w:t xml:space="preserve">, </w:t>
      </w:r>
      <w:r w:rsidR="00B768F9">
        <w:rPr>
          <w:rFonts w:ascii="Book Antiqua" w:hAnsi="Book Antiqua" w:cs="Arial"/>
        </w:rPr>
        <w:t xml:space="preserve">the overlapping reasons </w:t>
      </w:r>
      <w:r>
        <w:rPr>
          <w:rFonts w:ascii="Book Antiqua" w:hAnsi="Book Antiqua" w:cs="Arial"/>
        </w:rPr>
        <w:t>(1) and (3) are not strong</w:t>
      </w:r>
      <w:r w:rsidR="00622BE5">
        <w:rPr>
          <w:rFonts w:ascii="Book Antiqua" w:hAnsi="Book Antiqua" w:cs="Arial"/>
        </w:rPr>
        <w:t xml:space="preserve">.  </w:t>
      </w:r>
    </w:p>
    <w:p w:rsidR="006837FC" w:rsidRPr="000B6D10" w:rsidRDefault="00151DB3" w:rsidP="002B33C3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0B6D10">
        <w:rPr>
          <w:rFonts w:ascii="Book Antiqua" w:hAnsi="Book Antiqua" w:cs="Arial"/>
        </w:rPr>
        <w:t>G</w:t>
      </w:r>
      <w:r w:rsidR="00C37A57" w:rsidRPr="000B6D10">
        <w:rPr>
          <w:rFonts w:ascii="Book Antiqua" w:hAnsi="Book Antiqua" w:cs="Arial"/>
        </w:rPr>
        <w:t>round 1</w:t>
      </w:r>
      <w:r w:rsidRPr="000B6D10">
        <w:rPr>
          <w:rFonts w:ascii="Book Antiqua" w:hAnsi="Book Antiqua" w:cs="Arial"/>
        </w:rPr>
        <w:t xml:space="preserve"> is based partly on error at (2) of </w:t>
      </w:r>
      <w:r w:rsidR="00666611" w:rsidRPr="000B6D10">
        <w:rPr>
          <w:rFonts w:ascii="Book Antiqua" w:hAnsi="Book Antiqua" w:cs="Arial"/>
        </w:rPr>
        <w:t>over</w:t>
      </w:r>
      <w:r w:rsidRPr="000B6D10">
        <w:rPr>
          <w:rFonts w:ascii="Book Antiqua" w:hAnsi="Book Antiqua" w:cs="Arial"/>
        </w:rPr>
        <w:t xml:space="preserve">looking </w:t>
      </w:r>
      <w:r w:rsidR="00666611" w:rsidRPr="000B6D10">
        <w:rPr>
          <w:rFonts w:ascii="Book Antiqua" w:hAnsi="Book Antiqua" w:cs="Arial"/>
        </w:rPr>
        <w:t>that th</w:t>
      </w:r>
      <w:r w:rsidR="00107E6F" w:rsidRPr="000B6D10">
        <w:rPr>
          <w:rFonts w:ascii="Book Antiqua" w:hAnsi="Book Antiqua" w:cs="Arial"/>
        </w:rPr>
        <w:t>ere is no obligation on an appellant to provide corroboration.</w:t>
      </w:r>
      <w:r w:rsidR="001B7D4E" w:rsidRPr="000B6D10">
        <w:rPr>
          <w:rFonts w:ascii="Book Antiqua" w:hAnsi="Book Antiqua" w:cs="Arial"/>
        </w:rPr>
        <w:t xml:space="preserve">  However, an appellant is under a duty to </w:t>
      </w:r>
      <w:r w:rsidR="001B7D4E" w:rsidRPr="000B6D10">
        <w:rPr>
          <w:rFonts w:ascii="Book Antiqua" w:hAnsi="Book Antiqua" w:cs="Arial"/>
        </w:rPr>
        <w:lastRenderedPageBreak/>
        <w:t>substantiate his claim</w:t>
      </w:r>
      <w:r w:rsidR="000B6D10" w:rsidRPr="000B6D10">
        <w:rPr>
          <w:rFonts w:ascii="Book Antiqua" w:hAnsi="Book Antiqua" w:cs="Arial"/>
        </w:rPr>
        <w:t>,</w:t>
      </w:r>
      <w:r w:rsidR="001B7D4E" w:rsidRPr="000B6D10">
        <w:rPr>
          <w:rFonts w:ascii="Book Antiqua" w:hAnsi="Book Antiqua" w:cs="Arial"/>
        </w:rPr>
        <w:t xml:space="preserve"> and a</w:t>
      </w:r>
      <w:r w:rsidR="00A43DFD" w:rsidRPr="000B6D10">
        <w:rPr>
          <w:rFonts w:ascii="Book Antiqua" w:hAnsi="Book Antiqua" w:cs="Arial"/>
        </w:rPr>
        <w:t xml:space="preserve"> judge </w:t>
      </w:r>
      <w:r w:rsidR="00870322" w:rsidRPr="000B6D10">
        <w:rPr>
          <w:rFonts w:ascii="Book Antiqua" w:hAnsi="Book Antiqua" w:cs="Arial"/>
        </w:rPr>
        <w:t>is entitled to take account of</w:t>
      </w:r>
      <w:r w:rsidR="008505CA" w:rsidRPr="000B6D10">
        <w:rPr>
          <w:rFonts w:ascii="Book Antiqua" w:hAnsi="Book Antiqua" w:cs="Arial"/>
        </w:rPr>
        <w:t xml:space="preserve"> </w:t>
      </w:r>
      <w:r w:rsidR="00725CB6" w:rsidRPr="000B6D10">
        <w:rPr>
          <w:rFonts w:ascii="Book Antiqua" w:hAnsi="Book Antiqua" w:cs="Arial"/>
        </w:rPr>
        <w:t>absence of material which might reasonably be expected</w:t>
      </w:r>
      <w:r w:rsidR="00B44930" w:rsidRPr="000B6D10">
        <w:rPr>
          <w:rFonts w:ascii="Book Antiqua" w:hAnsi="Book Antiqua" w:cs="Arial"/>
        </w:rPr>
        <w:t>; see e.g. ¶339L of the immigration rules.</w:t>
      </w:r>
    </w:p>
    <w:p w:rsidR="00D569DB" w:rsidRPr="00D569DB" w:rsidRDefault="00B44930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ground </w:t>
      </w:r>
      <w:r w:rsidR="000B6D10">
        <w:rPr>
          <w:rFonts w:ascii="Book Antiqua" w:hAnsi="Book Antiqua" w:cs="Arial"/>
        </w:rPr>
        <w:t>includes</w:t>
      </w:r>
      <w:r>
        <w:rPr>
          <w:rFonts w:ascii="Book Antiqua" w:hAnsi="Book Antiqua" w:cs="Arial"/>
        </w:rPr>
        <w:t xml:space="preserve"> the </w:t>
      </w:r>
      <w:r w:rsidR="007D555B">
        <w:rPr>
          <w:rFonts w:ascii="Book Antiqua" w:hAnsi="Book Antiqua" w:cs="Arial"/>
        </w:rPr>
        <w:t xml:space="preserve">stronger </w:t>
      </w:r>
      <w:r>
        <w:rPr>
          <w:rFonts w:ascii="Book Antiqua" w:hAnsi="Book Antiqua" w:cs="Arial"/>
        </w:rPr>
        <w:t xml:space="preserve">point that </w:t>
      </w:r>
      <w:r w:rsidR="00BB105D">
        <w:rPr>
          <w:rFonts w:ascii="Book Antiqua" w:hAnsi="Book Antiqua" w:cs="Arial"/>
        </w:rPr>
        <w:t>the appellant</w:t>
      </w:r>
      <w:r w:rsidR="005A6DAD">
        <w:rPr>
          <w:rFonts w:ascii="Book Antiqua" w:hAnsi="Book Antiqua" w:cs="Arial"/>
        </w:rPr>
        <w:t>’s account of his history as a gay man in Kenya is not one of which corroboration would obviously or readily be avail</w:t>
      </w:r>
      <w:r w:rsidR="00236DEE">
        <w:rPr>
          <w:rFonts w:ascii="Book Antiqua" w:hAnsi="Book Antiqua" w:cs="Arial"/>
        </w:rPr>
        <w:t>able</w:t>
      </w:r>
      <w:r w:rsidR="005A6DAD">
        <w:rPr>
          <w:rFonts w:ascii="Book Antiqua" w:hAnsi="Book Antiqua" w:cs="Arial"/>
        </w:rPr>
        <w:t>.</w:t>
      </w:r>
      <w:r w:rsidR="00236DEE">
        <w:rPr>
          <w:rFonts w:ascii="Book Antiqua" w:hAnsi="Book Antiqua" w:cs="Arial"/>
        </w:rPr>
        <w:t xml:space="preserve">  The judge does not s</w:t>
      </w:r>
      <w:r w:rsidR="001041AE">
        <w:rPr>
          <w:rFonts w:ascii="Book Antiqua" w:hAnsi="Book Antiqua" w:cs="Arial"/>
        </w:rPr>
        <w:t>pecify the</w:t>
      </w:r>
      <w:r w:rsidR="006A5C4F">
        <w:rPr>
          <w:rFonts w:ascii="Book Antiqua" w:hAnsi="Book Antiqua" w:cs="Arial"/>
        </w:rPr>
        <w:t xml:space="preserve"> corroboration she expected to see.</w:t>
      </w:r>
      <w:r w:rsidR="00BB105D">
        <w:rPr>
          <w:rFonts w:ascii="Book Antiqua" w:hAnsi="Book Antiqua" w:cs="Arial"/>
        </w:rPr>
        <w:t xml:space="preserve"> </w:t>
      </w:r>
      <w:r w:rsidR="008505CA">
        <w:rPr>
          <w:rFonts w:ascii="Book Antiqua" w:hAnsi="Book Antiqua" w:cs="Arial"/>
        </w:rPr>
        <w:t xml:space="preserve">  </w:t>
      </w:r>
      <w:r w:rsidR="00855D5F">
        <w:rPr>
          <w:rFonts w:ascii="Book Antiqua" w:hAnsi="Book Antiqua" w:cs="Arial"/>
        </w:rPr>
        <w:t xml:space="preserve"> </w:t>
      </w:r>
      <w:r w:rsidR="00D569DB">
        <w:rPr>
          <w:rFonts w:ascii="Book Antiqua" w:hAnsi="Book Antiqua" w:cs="Arial"/>
        </w:rPr>
        <w:t xml:space="preserve">  </w:t>
      </w:r>
    </w:p>
    <w:p w:rsidR="002C12E2" w:rsidRPr="00A43DFD" w:rsidRDefault="00EC7803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It is not an error to give reasons partly (or even entirely) by adoption of one </w:t>
      </w:r>
      <w:r w:rsidR="0085607A">
        <w:rPr>
          <w:rFonts w:ascii="Book Antiqua" w:hAnsi="Book Antiqua" w:cs="Arial"/>
        </w:rPr>
        <w:t>party’s case</w:t>
      </w:r>
      <w:r w:rsidR="006C3F51">
        <w:rPr>
          <w:rFonts w:ascii="Book Antiqua" w:hAnsi="Book Antiqua" w:cs="Arial"/>
        </w:rPr>
        <w:t xml:space="preserve">, but it is not best practice.  The reasons adopted at (2) are not </w:t>
      </w:r>
      <w:r w:rsidR="00DB2FBF">
        <w:rPr>
          <w:rFonts w:ascii="Book Antiqua" w:hAnsi="Book Antiqua" w:cs="Arial"/>
        </w:rPr>
        <w:t>specifically identified.  Th</w:t>
      </w:r>
      <w:r w:rsidR="00333B88">
        <w:rPr>
          <w:rFonts w:ascii="Book Antiqua" w:hAnsi="Book Antiqua" w:cs="Arial"/>
        </w:rPr>
        <w:t>ey</w:t>
      </w:r>
      <w:r w:rsidR="00DB2FBF">
        <w:rPr>
          <w:rFonts w:ascii="Book Antiqua" w:hAnsi="Book Antiqua" w:cs="Arial"/>
        </w:rPr>
        <w:t xml:space="preserve"> were tracked down at the </w:t>
      </w:r>
      <w:r w:rsidR="00333B88">
        <w:rPr>
          <w:rFonts w:ascii="Book Antiqua" w:hAnsi="Book Antiqua" w:cs="Arial"/>
        </w:rPr>
        <w:t>hearing</w:t>
      </w:r>
      <w:r w:rsidR="00DB2FBF">
        <w:rPr>
          <w:rFonts w:ascii="Book Antiqua" w:hAnsi="Book Antiqua" w:cs="Arial"/>
        </w:rPr>
        <w:t xml:space="preserve"> to </w:t>
      </w:r>
      <w:r w:rsidR="00AC01AD">
        <w:rPr>
          <w:rFonts w:ascii="Book Antiqua" w:hAnsi="Book Antiqua" w:cs="Arial"/>
        </w:rPr>
        <w:t>paragraphs 25 – 50 of the refusal letter</w:t>
      </w:r>
      <w:r w:rsidR="00F36D10">
        <w:rPr>
          <w:rFonts w:ascii="Book Antiqua" w:hAnsi="Book Antiqua" w:cs="Arial"/>
        </w:rPr>
        <w:t xml:space="preserve">.  </w:t>
      </w:r>
      <w:r w:rsidR="002B7E50">
        <w:rPr>
          <w:rFonts w:ascii="Book Antiqua" w:hAnsi="Book Antiqua" w:cs="Arial"/>
        </w:rPr>
        <w:t>It would have been useful to know which of them the judge took as showing the appellant’s evidence</w:t>
      </w:r>
      <w:r w:rsidR="00845A5D">
        <w:rPr>
          <w:rFonts w:ascii="Book Antiqua" w:hAnsi="Book Antiqua" w:cs="Arial"/>
        </w:rPr>
        <w:t xml:space="preserve"> to </w:t>
      </w:r>
      <w:r w:rsidR="005E535B">
        <w:rPr>
          <w:rFonts w:ascii="Book Antiqua" w:hAnsi="Book Antiqua" w:cs="Arial"/>
        </w:rPr>
        <w:t>be</w:t>
      </w:r>
      <w:r w:rsidR="00845A5D">
        <w:rPr>
          <w:rFonts w:ascii="Book Antiqua" w:hAnsi="Book Antiqua" w:cs="Arial"/>
        </w:rPr>
        <w:t xml:space="preserve"> “extremely problematic and unpersuasive”, and what she thoug</w:t>
      </w:r>
      <w:r w:rsidR="002C12E2">
        <w:rPr>
          <w:rFonts w:ascii="Book Antiqua" w:hAnsi="Book Antiqua" w:cs="Arial"/>
        </w:rPr>
        <w:t>ht</w:t>
      </w:r>
      <w:r w:rsidR="00845A5D">
        <w:rPr>
          <w:rFonts w:ascii="Book Antiqua" w:hAnsi="Book Antiqua" w:cs="Arial"/>
        </w:rPr>
        <w:t xml:space="preserve"> of those matters herself, </w:t>
      </w:r>
      <w:r w:rsidR="00D333C1">
        <w:rPr>
          <w:rFonts w:ascii="Book Antiqua" w:hAnsi="Book Antiqua" w:cs="Arial"/>
        </w:rPr>
        <w:t>in light of</w:t>
      </w:r>
      <w:r w:rsidR="002C12E2">
        <w:rPr>
          <w:rFonts w:ascii="Book Antiqua" w:hAnsi="Book Antiqua" w:cs="Arial"/>
        </w:rPr>
        <w:t xml:space="preserve"> the evidence.</w:t>
      </w:r>
      <w:r w:rsidR="005E535B">
        <w:rPr>
          <w:rFonts w:ascii="Book Antiqua" w:hAnsi="Book Antiqua" w:cs="Arial"/>
        </w:rPr>
        <w:t xml:space="preserve">  </w:t>
      </w:r>
      <w:r w:rsidR="003402EE">
        <w:rPr>
          <w:rFonts w:ascii="Book Antiqua" w:hAnsi="Book Antiqua" w:cs="Arial"/>
        </w:rPr>
        <w:t xml:space="preserve">The reasons are not so </w:t>
      </w:r>
      <w:r w:rsidR="000D3CA5">
        <w:rPr>
          <w:rFonts w:ascii="Book Antiqua" w:hAnsi="Book Antiqua" w:cs="Arial"/>
        </w:rPr>
        <w:t xml:space="preserve">obviously </w:t>
      </w:r>
      <w:r w:rsidR="003402EE">
        <w:rPr>
          <w:rFonts w:ascii="Book Antiqua" w:hAnsi="Book Antiqua" w:cs="Arial"/>
        </w:rPr>
        <w:t>overpowering that no more needed to be said</w:t>
      </w:r>
      <w:r w:rsidR="005E535B">
        <w:rPr>
          <w:rFonts w:ascii="Book Antiqua" w:hAnsi="Book Antiqua" w:cs="Arial"/>
        </w:rPr>
        <w:t>.</w:t>
      </w:r>
      <w:r w:rsidR="000D3CA5">
        <w:rPr>
          <w:rFonts w:ascii="Book Antiqua" w:hAnsi="Book Antiqua" w:cs="Arial"/>
        </w:rPr>
        <w:t xml:space="preserve">  </w:t>
      </w:r>
    </w:p>
    <w:p w:rsidR="00FF1232" w:rsidRPr="00FF1232" w:rsidRDefault="004A4B2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Mr Govan </w:t>
      </w:r>
      <w:r w:rsidR="00510BE1">
        <w:rPr>
          <w:rFonts w:ascii="Book Antiqua" w:hAnsi="Book Antiqua" w:cs="Arial"/>
        </w:rPr>
        <w:t>correct</w:t>
      </w:r>
      <w:r>
        <w:rPr>
          <w:rFonts w:ascii="Book Antiqua" w:hAnsi="Book Antiqua" w:cs="Arial"/>
        </w:rPr>
        <w:t xml:space="preserve">ly argued that the decision was to be read as a whole, and not </w:t>
      </w:r>
      <w:r w:rsidR="002025C1">
        <w:rPr>
          <w:rFonts w:ascii="Book Antiqua" w:hAnsi="Book Antiqua" w:cs="Arial"/>
        </w:rPr>
        <w:t>all</w:t>
      </w:r>
      <w:r>
        <w:rPr>
          <w:rFonts w:ascii="Book Antiqua" w:hAnsi="Book Antiqua" w:cs="Arial"/>
        </w:rPr>
        <w:t xml:space="preserve"> its reasoning</w:t>
      </w:r>
      <w:r w:rsidR="00AA306F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on the </w:t>
      </w:r>
      <w:r w:rsidR="00AA306F">
        <w:rPr>
          <w:rFonts w:ascii="Book Antiqua" w:hAnsi="Book Antiqua" w:cs="Arial"/>
        </w:rPr>
        <w:t>principal issue</w:t>
      </w:r>
      <w:r>
        <w:rPr>
          <w:rFonts w:ascii="Book Antiqua" w:hAnsi="Book Antiqua" w:cs="Arial"/>
        </w:rPr>
        <w:t xml:space="preserve"> is at paragraph </w:t>
      </w:r>
      <w:r w:rsidR="00AA306F">
        <w:rPr>
          <w:rFonts w:ascii="Book Antiqua" w:hAnsi="Book Antiqua" w:cs="Arial"/>
        </w:rPr>
        <w:t xml:space="preserve">53; but </w:t>
      </w:r>
      <w:r w:rsidR="00FF1232">
        <w:rPr>
          <w:rFonts w:ascii="Book Antiqua" w:hAnsi="Book Antiqua" w:cs="Arial"/>
        </w:rPr>
        <w:t xml:space="preserve">the paragraph set out to deal with that issue, and </w:t>
      </w:r>
      <w:r w:rsidR="002F352F">
        <w:rPr>
          <w:rFonts w:ascii="Book Antiqua" w:hAnsi="Book Antiqua" w:cs="Arial"/>
        </w:rPr>
        <w:t xml:space="preserve">the grounds and submissions </w:t>
      </w:r>
      <w:r w:rsidR="0068495A">
        <w:rPr>
          <w:rFonts w:ascii="Book Antiqua" w:hAnsi="Book Antiqua" w:cs="Arial"/>
        </w:rPr>
        <w:t>significantly</w:t>
      </w:r>
      <w:r w:rsidR="002F352F">
        <w:rPr>
          <w:rFonts w:ascii="Book Antiqua" w:hAnsi="Book Antiqua" w:cs="Arial"/>
        </w:rPr>
        <w:t xml:space="preserve"> </w:t>
      </w:r>
      <w:r w:rsidR="0068495A">
        <w:rPr>
          <w:rFonts w:ascii="Book Antiqua" w:hAnsi="Book Antiqua" w:cs="Arial"/>
        </w:rPr>
        <w:t>undermine its reasoning</w:t>
      </w:r>
      <w:r w:rsidR="00FF1232">
        <w:rPr>
          <w:rFonts w:ascii="Book Antiqua" w:hAnsi="Book Antiqua" w:cs="Arial"/>
        </w:rPr>
        <w:t>.</w:t>
      </w:r>
    </w:p>
    <w:p w:rsidR="00882BDA" w:rsidRPr="00882BDA" w:rsidRDefault="00D35BC7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Paragraph 54 finds other aspects of the account unpersuasive, but is phrased </w:t>
      </w:r>
      <w:r w:rsidR="00EF5A54">
        <w:rPr>
          <w:rFonts w:ascii="Book Antiqua" w:hAnsi="Book Antiqua" w:cs="Arial"/>
        </w:rPr>
        <w:t xml:space="preserve">more </w:t>
      </w:r>
      <w:r>
        <w:rPr>
          <w:rFonts w:ascii="Book Antiqua" w:hAnsi="Book Antiqua" w:cs="Arial"/>
        </w:rPr>
        <w:t xml:space="preserve">as </w:t>
      </w:r>
      <w:r w:rsidR="00EF5A54">
        <w:rPr>
          <w:rFonts w:ascii="Book Antiqua" w:hAnsi="Book Antiqua" w:cs="Arial"/>
        </w:rPr>
        <w:t>stating</w:t>
      </w:r>
      <w:r>
        <w:rPr>
          <w:rFonts w:ascii="Book Antiqua" w:hAnsi="Book Antiqua" w:cs="Arial"/>
        </w:rPr>
        <w:t xml:space="preserve"> conclusions than </w:t>
      </w:r>
      <w:r w:rsidR="00EF5A54">
        <w:rPr>
          <w:rFonts w:ascii="Book Antiqua" w:hAnsi="Book Antiqua" w:cs="Arial"/>
        </w:rPr>
        <w:t>as</w:t>
      </w:r>
      <w:r>
        <w:rPr>
          <w:rFonts w:ascii="Book Antiqua" w:hAnsi="Book Antiqua" w:cs="Arial"/>
        </w:rPr>
        <w:t xml:space="preserve"> g</w:t>
      </w:r>
      <w:r w:rsidR="00EF5A54">
        <w:rPr>
          <w:rFonts w:ascii="Book Antiqua" w:hAnsi="Book Antiqua" w:cs="Arial"/>
        </w:rPr>
        <w:t>i</w:t>
      </w:r>
      <w:r>
        <w:rPr>
          <w:rFonts w:ascii="Book Antiqua" w:hAnsi="Book Antiqua" w:cs="Arial"/>
        </w:rPr>
        <w:t>ving reasons.</w:t>
      </w:r>
    </w:p>
    <w:p w:rsidR="0041417F" w:rsidRPr="0041417F" w:rsidRDefault="00882BDA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The judge was entitled to find it</w:t>
      </w:r>
      <w:r w:rsidR="00FC2755">
        <w:rPr>
          <w:rFonts w:ascii="Book Antiqua" w:hAnsi="Book Antiqua" w:cs="Arial"/>
        </w:rPr>
        <w:t xml:space="preserve"> difficult to accept that the appellant would pay blackmail over </w:t>
      </w:r>
      <w:r w:rsidR="002025C1">
        <w:rPr>
          <w:rFonts w:ascii="Book Antiqua" w:hAnsi="Book Antiqua" w:cs="Arial"/>
        </w:rPr>
        <w:t>a false</w:t>
      </w:r>
      <w:r w:rsidR="00FC2755">
        <w:rPr>
          <w:rFonts w:ascii="Book Antiqua" w:hAnsi="Book Antiqua" w:cs="Arial"/>
        </w:rPr>
        <w:t xml:space="preserve"> </w:t>
      </w:r>
      <w:r w:rsidR="001A540C">
        <w:rPr>
          <w:rFonts w:ascii="Book Antiqua" w:hAnsi="Book Antiqua" w:cs="Arial"/>
        </w:rPr>
        <w:t>rumour</w:t>
      </w:r>
      <w:r w:rsidR="00FC2755">
        <w:rPr>
          <w:rFonts w:ascii="Book Antiqua" w:hAnsi="Book Antiqua" w:cs="Arial"/>
        </w:rPr>
        <w:t xml:space="preserve"> of being a male prostitute, but </w:t>
      </w:r>
      <w:r w:rsidR="00E21165">
        <w:rPr>
          <w:rFonts w:ascii="Book Antiqua" w:hAnsi="Book Antiqua" w:cs="Arial"/>
        </w:rPr>
        <w:t xml:space="preserve">that </w:t>
      </w:r>
      <w:r w:rsidR="00EE261B">
        <w:rPr>
          <w:rFonts w:ascii="Book Antiqua" w:hAnsi="Book Antiqua" w:cs="Arial"/>
        </w:rPr>
        <w:t>must</w:t>
      </w:r>
      <w:r w:rsidR="00E21165">
        <w:rPr>
          <w:rFonts w:ascii="Book Antiqua" w:hAnsi="Book Antiqua" w:cs="Arial"/>
        </w:rPr>
        <w:t xml:space="preserve"> be placed in a context of fear of disclosure of hom</w:t>
      </w:r>
      <w:r w:rsidR="001A540C">
        <w:rPr>
          <w:rFonts w:ascii="Book Antiqua" w:hAnsi="Book Antiqua" w:cs="Arial"/>
        </w:rPr>
        <w:t>o</w:t>
      </w:r>
      <w:r w:rsidR="00E21165">
        <w:rPr>
          <w:rFonts w:ascii="Book Antiqua" w:hAnsi="Book Antiqua" w:cs="Arial"/>
        </w:rPr>
        <w:t>se</w:t>
      </w:r>
      <w:r w:rsidR="001A540C">
        <w:rPr>
          <w:rFonts w:ascii="Book Antiqua" w:hAnsi="Book Antiqua" w:cs="Arial"/>
        </w:rPr>
        <w:t>xuality, regardless of the lurid allegation attached.</w:t>
      </w:r>
      <w:r w:rsidR="00B01E9F">
        <w:rPr>
          <w:rFonts w:ascii="Book Antiqua" w:hAnsi="Book Antiqua" w:cs="Arial"/>
        </w:rPr>
        <w:t xml:space="preserve">  If the finding on homosexuality is unsafe, this reason loses much of its force. </w:t>
      </w:r>
    </w:p>
    <w:p w:rsidR="00934546" w:rsidRPr="00934546" w:rsidRDefault="002E7C2E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</w:t>
      </w:r>
      <w:r w:rsidR="00137365">
        <w:rPr>
          <w:rFonts w:ascii="Book Antiqua" w:hAnsi="Book Antiqua" w:cs="Arial"/>
        </w:rPr>
        <w:t>grounds</w:t>
      </w:r>
      <w:r>
        <w:rPr>
          <w:rFonts w:ascii="Book Antiqua" w:hAnsi="Book Antiqua" w:cs="Arial"/>
        </w:rPr>
        <w:t xml:space="preserve"> criticise the </w:t>
      </w:r>
      <w:r w:rsidR="00200CC7">
        <w:rPr>
          <w:rFonts w:ascii="Book Antiqua" w:hAnsi="Book Antiqua" w:cs="Arial"/>
        </w:rPr>
        <w:t>treatment</w:t>
      </w:r>
      <w:r>
        <w:rPr>
          <w:rFonts w:ascii="Book Antiqua" w:hAnsi="Book Antiqua" w:cs="Arial"/>
        </w:rPr>
        <w:t xml:space="preserve"> of a witness from </w:t>
      </w:r>
      <w:r w:rsidR="00C57BC7">
        <w:rPr>
          <w:rFonts w:ascii="Book Antiqua" w:hAnsi="Book Antiqua" w:cs="Arial"/>
        </w:rPr>
        <w:t xml:space="preserve">an LGBT group </w:t>
      </w:r>
      <w:r w:rsidR="00F678D8">
        <w:rPr>
          <w:rFonts w:ascii="Book Antiqua" w:hAnsi="Book Antiqua" w:cs="Arial"/>
        </w:rPr>
        <w:t xml:space="preserve">at paragraph 55 </w:t>
      </w:r>
      <w:r w:rsidR="00C57BC7">
        <w:rPr>
          <w:rFonts w:ascii="Book Antiqua" w:hAnsi="Book Antiqua" w:cs="Arial"/>
        </w:rPr>
        <w:t>as not adding anything to the appellant’s evidence</w:t>
      </w:r>
      <w:r w:rsidR="00200CC7">
        <w:rPr>
          <w:rFonts w:ascii="Book Antiqua" w:hAnsi="Book Antiqua" w:cs="Arial"/>
        </w:rPr>
        <w:t xml:space="preserve"> “in any independent way”</w:t>
      </w:r>
      <w:r w:rsidR="00C57BC7">
        <w:rPr>
          <w:rFonts w:ascii="Book Antiqua" w:hAnsi="Book Antiqua" w:cs="Arial"/>
        </w:rPr>
        <w:t>, because she simply</w:t>
      </w:r>
      <w:r w:rsidR="00200CC7">
        <w:rPr>
          <w:rFonts w:ascii="Book Antiqua" w:hAnsi="Book Antiqua" w:cs="Arial"/>
        </w:rPr>
        <w:t xml:space="preserve"> </w:t>
      </w:r>
      <w:r w:rsidR="00CC2BC9">
        <w:rPr>
          <w:rFonts w:ascii="Book Antiqua" w:hAnsi="Book Antiqua" w:cs="Arial"/>
        </w:rPr>
        <w:t>confirm</w:t>
      </w:r>
      <w:r w:rsidR="00200CC7">
        <w:rPr>
          <w:rFonts w:ascii="Book Antiqua" w:hAnsi="Book Antiqua" w:cs="Arial"/>
        </w:rPr>
        <w:t>ed what the appellant told her.</w:t>
      </w:r>
      <w:r w:rsidR="00896357">
        <w:rPr>
          <w:rFonts w:ascii="Book Antiqua" w:hAnsi="Book Antiqua" w:cs="Arial"/>
        </w:rPr>
        <w:t xml:space="preserve">  Mr Winter accepted that this was not expert evidence, but he argued that it </w:t>
      </w:r>
      <w:r w:rsidR="001338F0">
        <w:rPr>
          <w:rFonts w:ascii="Book Antiqua" w:hAnsi="Book Antiqua" w:cs="Arial"/>
        </w:rPr>
        <w:t>ranked</w:t>
      </w:r>
      <w:r w:rsidR="00896357">
        <w:rPr>
          <w:rFonts w:ascii="Book Antiqua" w:hAnsi="Book Antiqua" w:cs="Arial"/>
        </w:rPr>
        <w:t xml:space="preserve"> above </w:t>
      </w:r>
      <w:r w:rsidR="001338F0">
        <w:rPr>
          <w:rFonts w:ascii="Book Antiqua" w:hAnsi="Book Antiqua" w:cs="Arial"/>
        </w:rPr>
        <w:t xml:space="preserve">mere </w:t>
      </w:r>
      <w:r w:rsidR="008970C6">
        <w:rPr>
          <w:rFonts w:ascii="Book Antiqua" w:hAnsi="Book Antiqua" w:cs="Arial"/>
        </w:rPr>
        <w:t>repetition.</w:t>
      </w:r>
    </w:p>
    <w:p w:rsidR="00116247" w:rsidRPr="00116247" w:rsidRDefault="0093454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 think that as t</w:t>
      </w:r>
      <w:r w:rsidR="008970C6">
        <w:rPr>
          <w:rFonts w:ascii="Book Antiqua" w:hAnsi="Book Antiqua" w:cs="Arial"/>
        </w:rPr>
        <w:t>he wi</w:t>
      </w:r>
      <w:r w:rsidR="00D52E90">
        <w:rPr>
          <w:rFonts w:ascii="Book Antiqua" w:hAnsi="Book Antiqua" w:cs="Arial"/>
        </w:rPr>
        <w:t>tness</w:t>
      </w:r>
      <w:r w:rsidR="008970C6">
        <w:rPr>
          <w:rFonts w:ascii="Book Antiqua" w:hAnsi="Book Antiqua" w:cs="Arial"/>
        </w:rPr>
        <w:t xml:space="preserve"> was a </w:t>
      </w:r>
      <w:r w:rsidR="006B0311">
        <w:rPr>
          <w:rFonts w:ascii="Book Antiqua" w:hAnsi="Book Antiqua" w:cs="Arial"/>
        </w:rPr>
        <w:t>full-time</w:t>
      </w:r>
      <w:r w:rsidR="008970C6">
        <w:rPr>
          <w:rFonts w:ascii="Book Antiqua" w:hAnsi="Book Antiqua" w:cs="Arial"/>
        </w:rPr>
        <w:t xml:space="preserve"> worke</w:t>
      </w:r>
      <w:r w:rsidR="001338F0">
        <w:rPr>
          <w:rFonts w:ascii="Book Antiqua" w:hAnsi="Book Antiqua" w:cs="Arial"/>
        </w:rPr>
        <w:t>r</w:t>
      </w:r>
      <w:r w:rsidR="008970C6">
        <w:rPr>
          <w:rFonts w:ascii="Book Antiqua" w:hAnsi="Book Antiqua" w:cs="Arial"/>
        </w:rPr>
        <w:t xml:space="preserve"> for the group</w:t>
      </w:r>
      <w:r>
        <w:rPr>
          <w:rFonts w:ascii="Book Antiqua" w:hAnsi="Book Antiqua" w:cs="Arial"/>
        </w:rPr>
        <w:t>, experien</w:t>
      </w:r>
      <w:r w:rsidR="00E326AF">
        <w:rPr>
          <w:rFonts w:ascii="Book Antiqua" w:hAnsi="Book Antiqua" w:cs="Arial"/>
        </w:rPr>
        <w:t>ce</w:t>
      </w:r>
      <w:r>
        <w:rPr>
          <w:rFonts w:ascii="Book Antiqua" w:hAnsi="Book Antiqua" w:cs="Arial"/>
        </w:rPr>
        <w:t>d in se</w:t>
      </w:r>
      <w:r w:rsidR="00E326AF">
        <w:rPr>
          <w:rFonts w:ascii="Book Antiqua" w:hAnsi="Book Antiqua" w:cs="Arial"/>
        </w:rPr>
        <w:t>xual identity issues and support for those seeking asylum on such grounds,</w:t>
      </w:r>
      <w:r w:rsidR="008970C6">
        <w:rPr>
          <w:rFonts w:ascii="Book Antiqua" w:hAnsi="Book Antiqua" w:cs="Arial"/>
        </w:rPr>
        <w:t xml:space="preserve"> her</w:t>
      </w:r>
      <w:r w:rsidR="00CC2BC9">
        <w:rPr>
          <w:rFonts w:ascii="Book Antiqua" w:hAnsi="Book Antiqua" w:cs="Arial"/>
        </w:rPr>
        <w:t xml:space="preserve"> </w:t>
      </w:r>
      <w:r w:rsidR="001338F0">
        <w:rPr>
          <w:rFonts w:ascii="Book Antiqua" w:hAnsi="Book Antiqua" w:cs="Arial"/>
        </w:rPr>
        <w:t>observations were</w:t>
      </w:r>
      <w:r w:rsidR="00CC2BC9">
        <w:rPr>
          <w:rFonts w:ascii="Book Antiqua" w:hAnsi="Book Antiqua" w:cs="Arial"/>
        </w:rPr>
        <w:t xml:space="preserve"> capable of adding something.  The judge</w:t>
      </w:r>
      <w:r w:rsidR="009E2918">
        <w:rPr>
          <w:rFonts w:ascii="Book Antiqua" w:hAnsi="Book Antiqua" w:cs="Arial"/>
        </w:rPr>
        <w:t xml:space="preserve"> was, however, </w:t>
      </w:r>
      <w:r w:rsidR="006B0311">
        <w:rPr>
          <w:rFonts w:ascii="Book Antiqua" w:hAnsi="Book Antiqua" w:cs="Arial"/>
        </w:rPr>
        <w:t>entitled to take it against</w:t>
      </w:r>
      <w:r w:rsidR="009E2918">
        <w:rPr>
          <w:rFonts w:ascii="Book Antiqua" w:hAnsi="Book Antiqua" w:cs="Arial"/>
        </w:rPr>
        <w:t xml:space="preserve"> the appellant</w:t>
      </w:r>
      <w:r w:rsidR="006B0311">
        <w:rPr>
          <w:rFonts w:ascii="Book Antiqua" w:hAnsi="Book Antiqua" w:cs="Arial"/>
        </w:rPr>
        <w:t xml:space="preserve"> that his</w:t>
      </w:r>
      <w:r w:rsidR="009E2918">
        <w:rPr>
          <w:rFonts w:ascii="Book Antiqua" w:hAnsi="Book Antiqua" w:cs="Arial"/>
        </w:rPr>
        <w:t xml:space="preserve"> participation in such groups dat</w:t>
      </w:r>
      <w:r w:rsidR="006B0311">
        <w:rPr>
          <w:rFonts w:ascii="Book Antiqua" w:hAnsi="Book Antiqua" w:cs="Arial"/>
        </w:rPr>
        <w:t>ed</w:t>
      </w:r>
      <w:r w:rsidR="009E2918">
        <w:rPr>
          <w:rFonts w:ascii="Book Antiqua" w:hAnsi="Book Antiqua" w:cs="Arial"/>
        </w:rPr>
        <w:t xml:space="preserve"> only from the period after he was</w:t>
      </w:r>
      <w:r w:rsidR="00116247">
        <w:rPr>
          <w:rFonts w:ascii="Book Antiqua" w:hAnsi="Book Antiqua" w:cs="Arial"/>
        </w:rPr>
        <w:t xml:space="preserve"> notified of refusal of his claim.  </w:t>
      </w:r>
    </w:p>
    <w:p w:rsidR="00BB6BE4" w:rsidRPr="00BB6BE4" w:rsidRDefault="00116247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Ground 3 is not well founded.  The judge was entitled to conclude at </w:t>
      </w:r>
      <w:r w:rsidR="005736D6">
        <w:rPr>
          <w:rFonts w:ascii="Book Antiqua" w:hAnsi="Book Antiqua" w:cs="Arial"/>
        </w:rPr>
        <w:t>¶57 that delay in the claim was adverse to (but not determinative of) credibility.</w:t>
      </w:r>
    </w:p>
    <w:p w:rsidR="00C776CC" w:rsidRPr="00C776CC" w:rsidRDefault="00596DD8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2D56B1">
        <w:rPr>
          <w:rFonts w:ascii="Book Antiqua" w:hAnsi="Book Antiqua" w:cs="Arial"/>
        </w:rPr>
        <w:t xml:space="preserve">Although the judge obviously took considerable care over the case, setting out both sides at length and in detail, </w:t>
      </w:r>
      <w:r w:rsidR="00966B10" w:rsidRPr="002D56B1">
        <w:rPr>
          <w:rFonts w:ascii="Book Antiqua" w:hAnsi="Book Antiqua" w:cs="Arial"/>
        </w:rPr>
        <w:t>t</w:t>
      </w:r>
      <w:r w:rsidRPr="002D56B1">
        <w:rPr>
          <w:rFonts w:ascii="Book Antiqua" w:hAnsi="Book Antiqua" w:cs="Arial"/>
        </w:rPr>
        <w:t>he decision is unfortunately long on the evidence and submissions</w:t>
      </w:r>
      <w:r w:rsidR="002D1BB0">
        <w:rPr>
          <w:rFonts w:ascii="Book Antiqua" w:hAnsi="Book Antiqua" w:cs="Arial"/>
        </w:rPr>
        <w:t xml:space="preserve"> but rather light</w:t>
      </w:r>
      <w:r w:rsidRPr="002D56B1">
        <w:rPr>
          <w:rFonts w:ascii="Book Antiqua" w:hAnsi="Book Antiqua" w:cs="Arial"/>
        </w:rPr>
        <w:t xml:space="preserve"> on the reasons for resolving the issues.</w:t>
      </w:r>
    </w:p>
    <w:p w:rsidR="00EA24BB" w:rsidRPr="00F111FC" w:rsidRDefault="00966B10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F111FC">
        <w:rPr>
          <w:rFonts w:ascii="Book Antiqua" w:hAnsi="Book Antiqua" w:cs="Arial"/>
        </w:rPr>
        <w:t>While some</w:t>
      </w:r>
      <w:r w:rsidR="00BB6BE4" w:rsidRPr="00F111FC">
        <w:rPr>
          <w:rFonts w:ascii="Book Antiqua" w:hAnsi="Book Antiqua" w:cs="Arial"/>
        </w:rPr>
        <w:t xml:space="preserve"> reasons stand up to challenge, </w:t>
      </w:r>
      <w:r w:rsidR="002D56B1" w:rsidRPr="00F111FC">
        <w:rPr>
          <w:rFonts w:ascii="Book Antiqua" w:hAnsi="Book Antiqua" w:cs="Arial"/>
        </w:rPr>
        <w:t>t</w:t>
      </w:r>
      <w:r w:rsidR="00BB6BE4" w:rsidRPr="00F111FC">
        <w:rPr>
          <w:rFonts w:ascii="Book Antiqua" w:hAnsi="Book Antiqua" w:cs="Arial"/>
        </w:rPr>
        <w:t xml:space="preserve">he </w:t>
      </w:r>
      <w:r w:rsidR="00AD65BD" w:rsidRPr="00F111FC">
        <w:rPr>
          <w:rFonts w:ascii="Book Antiqua" w:hAnsi="Book Antiqua" w:cs="Arial"/>
        </w:rPr>
        <w:t xml:space="preserve">grounds and submissions show that the </w:t>
      </w:r>
      <w:r w:rsidR="00BB6BE4" w:rsidRPr="00F111FC">
        <w:rPr>
          <w:rFonts w:ascii="Book Antiqua" w:hAnsi="Book Antiqua" w:cs="Arial"/>
        </w:rPr>
        <w:t xml:space="preserve">principal passage </w:t>
      </w:r>
      <w:r w:rsidR="002D56B1" w:rsidRPr="00F111FC">
        <w:rPr>
          <w:rFonts w:ascii="Book Antiqua" w:hAnsi="Book Antiqua" w:cs="Arial"/>
        </w:rPr>
        <w:t xml:space="preserve">justifying the judge’s </w:t>
      </w:r>
      <w:r w:rsidRPr="00F111FC">
        <w:rPr>
          <w:rFonts w:ascii="Book Antiqua" w:hAnsi="Book Antiqua" w:cs="Arial"/>
        </w:rPr>
        <w:t xml:space="preserve">conclusion about the first appellant’s sexual </w:t>
      </w:r>
      <w:r w:rsidRPr="00F111FC">
        <w:rPr>
          <w:rFonts w:ascii="Book Antiqua" w:hAnsi="Book Antiqua" w:cs="Arial"/>
        </w:rPr>
        <w:lastRenderedPageBreak/>
        <w:t>orientation is not supported by adequate reasons</w:t>
      </w:r>
      <w:r w:rsidR="00AD65BD" w:rsidRPr="00F111FC">
        <w:rPr>
          <w:rFonts w:ascii="Book Antiqua" w:hAnsi="Book Antiqua" w:cs="Arial"/>
        </w:rPr>
        <w:t>.</w:t>
      </w:r>
      <w:r w:rsidR="00F111FC">
        <w:rPr>
          <w:rFonts w:ascii="Book Antiqua" w:hAnsi="Book Antiqua" w:cs="Arial"/>
        </w:rPr>
        <w:t xml:space="preserve">  </w:t>
      </w:r>
      <w:r w:rsidR="00E57813" w:rsidRPr="00F111FC">
        <w:rPr>
          <w:rFonts w:ascii="Book Antiqua" w:hAnsi="Book Antiqua" w:cs="Arial"/>
        </w:rPr>
        <w:t>As a whole, t</w:t>
      </w:r>
      <w:r w:rsidR="00AD65BD" w:rsidRPr="00F111FC">
        <w:rPr>
          <w:rFonts w:ascii="Book Antiqua" w:hAnsi="Book Antiqua" w:cs="Arial"/>
        </w:rPr>
        <w:t>he decision</w:t>
      </w:r>
      <w:r w:rsidRPr="00F111FC">
        <w:rPr>
          <w:rFonts w:ascii="Book Antiqua" w:hAnsi="Book Antiqua" w:cs="Arial"/>
        </w:rPr>
        <w:t xml:space="preserve"> cannot safely stand.</w:t>
      </w:r>
      <w:r w:rsidR="003A5BAE" w:rsidRPr="00F111FC">
        <w:rPr>
          <w:rFonts w:ascii="Book Antiqua" w:hAnsi="Book Antiqua" w:cs="Arial"/>
        </w:rPr>
        <w:t xml:space="preserve">  </w:t>
      </w:r>
      <w:r w:rsidR="00C57BC7" w:rsidRPr="00F111FC">
        <w:rPr>
          <w:rFonts w:ascii="Book Antiqua" w:hAnsi="Book Antiqua" w:cs="Arial"/>
        </w:rPr>
        <w:t xml:space="preserve"> </w:t>
      </w:r>
      <w:r w:rsidR="002E7C2E" w:rsidRPr="00F111FC">
        <w:rPr>
          <w:rFonts w:ascii="Book Antiqua" w:hAnsi="Book Antiqua" w:cs="Arial"/>
        </w:rPr>
        <w:t xml:space="preserve"> </w:t>
      </w:r>
      <w:r w:rsidR="0041417F" w:rsidRPr="00F111FC">
        <w:rPr>
          <w:rFonts w:ascii="Book Antiqua" w:hAnsi="Book Antiqua" w:cs="Arial"/>
        </w:rPr>
        <w:t xml:space="preserve"> </w:t>
      </w:r>
      <w:r w:rsidR="001A540C" w:rsidRPr="00F111FC">
        <w:rPr>
          <w:rFonts w:ascii="Book Antiqua" w:hAnsi="Book Antiqua" w:cs="Arial"/>
        </w:rPr>
        <w:t xml:space="preserve"> </w:t>
      </w:r>
      <w:r w:rsidR="0084625E" w:rsidRPr="00F111FC">
        <w:rPr>
          <w:rFonts w:ascii="Book Antiqua" w:hAnsi="Book Antiqua" w:cs="Arial"/>
        </w:rPr>
        <w:t xml:space="preserve"> </w:t>
      </w:r>
      <w:r w:rsidR="001957A5" w:rsidRPr="00F111FC">
        <w:rPr>
          <w:rFonts w:ascii="Book Antiqua" w:hAnsi="Book Antiqua" w:cs="Arial"/>
        </w:rPr>
        <w:t xml:space="preserve"> </w:t>
      </w:r>
      <w:r w:rsidR="007300F8" w:rsidRPr="00F111FC">
        <w:rPr>
          <w:rFonts w:ascii="Book Antiqua" w:hAnsi="Book Antiqua" w:cs="Arial"/>
        </w:rPr>
        <w:t xml:space="preserve"> </w:t>
      </w:r>
      <w:r w:rsidR="00B93467" w:rsidRPr="00F111FC">
        <w:rPr>
          <w:rFonts w:ascii="Book Antiqua" w:hAnsi="Book Antiqua" w:cs="Arial"/>
        </w:rPr>
        <w:t xml:space="preserve"> </w:t>
      </w:r>
      <w:r w:rsidR="00270BAD" w:rsidRPr="00F111FC">
        <w:rPr>
          <w:rFonts w:ascii="Book Antiqua" w:hAnsi="Book Antiqua" w:cs="Arial"/>
        </w:rPr>
        <w:t xml:space="preserve"> </w:t>
      </w:r>
      <w:r w:rsidR="00FB57D6" w:rsidRPr="00F111FC">
        <w:rPr>
          <w:rFonts w:ascii="Book Antiqua" w:hAnsi="Book Antiqua" w:cs="Arial"/>
        </w:rPr>
        <w:t xml:space="preserve"> </w:t>
      </w:r>
      <w:r w:rsidR="00367E19" w:rsidRPr="00F111FC">
        <w:rPr>
          <w:rFonts w:ascii="Book Antiqua" w:hAnsi="Book Antiqua" w:cs="Arial"/>
        </w:rPr>
        <w:t xml:space="preserve">  </w:t>
      </w:r>
      <w:r w:rsidR="00EA24BB" w:rsidRPr="00F111FC">
        <w:rPr>
          <w:rFonts w:ascii="Book Antiqua" w:hAnsi="Book Antiqua" w:cs="Arial"/>
        </w:rPr>
        <w:t xml:space="preserve"> </w:t>
      </w:r>
    </w:p>
    <w:p w:rsidR="00D1746A" w:rsidRDefault="00D1746A" w:rsidP="00D1746A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FtT is </w:t>
      </w:r>
      <w:r w:rsidRPr="0023596F">
        <w:rPr>
          <w:rFonts w:ascii="Book Antiqua" w:hAnsi="Book Antiqua" w:cs="Arial"/>
          <w:b/>
        </w:rPr>
        <w:t>set aside</w:t>
      </w:r>
      <w:r>
        <w:rPr>
          <w:rFonts w:ascii="Book Antiqua" w:hAnsi="Book Antiqua" w:cs="Arial"/>
        </w:rPr>
        <w:t>. It stands only as a record of what was said at the hearing.</w:t>
      </w:r>
    </w:p>
    <w:p w:rsidR="00D1746A" w:rsidRDefault="00D1746A" w:rsidP="00D1746A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There is a presumption that the UT will proceed to remake decisions, of which parties are reminded in directions issued with the grant of permission.  However, </w:t>
      </w:r>
      <w:r w:rsidR="00C92937">
        <w:rPr>
          <w:rFonts w:ascii="Book Antiqua" w:hAnsi="Book Antiqua"/>
        </w:rPr>
        <w:t xml:space="preserve">given </w:t>
      </w:r>
      <w:r>
        <w:rPr>
          <w:rFonts w:ascii="Book Antiqua" w:hAnsi="Book Antiqua"/>
        </w:rPr>
        <w:t>the nature of this case</w:t>
      </w:r>
      <w:r w:rsidR="00C92937">
        <w:rPr>
          <w:rFonts w:ascii="Book Antiqua" w:hAnsi="Book Antiqua"/>
        </w:rPr>
        <w:t xml:space="preserve">, and as agreed by the parties, </w:t>
      </w:r>
      <w:r w:rsidR="009A685A">
        <w:rPr>
          <w:rFonts w:ascii="Book Antiqua" w:hAnsi="Book Antiqua"/>
        </w:rPr>
        <w:t>it</w:t>
      </w:r>
      <w:r>
        <w:rPr>
          <w:rFonts w:ascii="Book Antiqua" w:hAnsi="Book Antiqua"/>
        </w:rPr>
        <w:t xml:space="preserve"> is appropriate</w:t>
      </w:r>
      <w:r w:rsidR="009A685A">
        <w:rPr>
          <w:rFonts w:ascii="Book Antiqua" w:hAnsi="Book Antiqua"/>
        </w:rPr>
        <w:t>, once set aside,</w:t>
      </w:r>
      <w:r>
        <w:rPr>
          <w:rFonts w:ascii="Book Antiqua" w:hAnsi="Book Antiqua"/>
        </w:rPr>
        <w:t xml:space="preserve"> to remit to the FtT for an entirely fresh hearing.</w:t>
      </w:r>
    </w:p>
    <w:p w:rsidR="00D1746A" w:rsidRPr="00D1746A" w:rsidRDefault="00D1746A" w:rsidP="00D1746A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D1746A">
        <w:rPr>
          <w:rFonts w:ascii="Book Antiqua" w:hAnsi="Book Antiqua"/>
        </w:rPr>
        <w:t>The</w:t>
      </w:r>
      <w:r w:rsidRPr="00D1746A">
        <w:rPr>
          <w:rFonts w:ascii="Book Antiqua" w:hAnsi="Book Antiqua" w:cs="Arial"/>
        </w:rPr>
        <w:t xml:space="preserve"> member(s) of the FtT chosen to consider the case are not to include Judge</w:t>
      </w:r>
      <w:r w:rsidR="0021065F">
        <w:rPr>
          <w:rFonts w:ascii="Book Antiqua" w:hAnsi="Book Antiqua" w:cs="Arial"/>
        </w:rPr>
        <w:t xml:space="preserve"> Porter</w:t>
      </w:r>
      <w:r w:rsidRPr="00D1746A">
        <w:rPr>
          <w:rFonts w:ascii="Book Antiqua" w:hAnsi="Book Antiqua" w:cs="Arial"/>
        </w:rPr>
        <w:t>.</w:t>
      </w:r>
    </w:p>
    <w:p w:rsidR="00321C6F" w:rsidRPr="009A685A" w:rsidRDefault="00D1746A" w:rsidP="00D1746A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D1746A">
        <w:rPr>
          <w:rFonts w:ascii="Book Antiqua" w:hAnsi="Book Antiqua"/>
        </w:rPr>
        <w:t>No anonymity direction has been requested or made.</w:t>
      </w:r>
    </w:p>
    <w:p w:rsidR="009A685A" w:rsidRPr="00D1746A" w:rsidRDefault="009A685A" w:rsidP="009A685A">
      <w:pPr>
        <w:spacing w:before="240"/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F111FC">
        <w:rPr>
          <w:rFonts w:ascii="Book Antiqua" w:hAnsi="Book Antiqua" w:cs="Arial"/>
        </w:rPr>
        <w:t>10</w:t>
      </w:r>
      <w:r w:rsidR="00A620D4">
        <w:rPr>
          <w:rFonts w:ascii="Book Antiqua" w:hAnsi="Book Antiqua" w:cs="Arial"/>
        </w:rPr>
        <w:t xml:space="preserve"> May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266FFE" w:rsidRDefault="00266FFE"/>
    <w:p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DFF" w:rsidRDefault="00C26DFF">
      <w:r>
        <w:separator/>
      </w:r>
    </w:p>
  </w:endnote>
  <w:endnote w:type="continuationSeparator" w:id="0">
    <w:p w:rsidR="00C26DFF" w:rsidRDefault="00C2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1F5EA4" w:rsidRDefault="008D4782" w:rsidP="00614E94">
    <w:pPr>
      <w:pStyle w:val="Footer"/>
      <w:jc w:val="center"/>
      <w:rPr>
        <w:rFonts w:ascii="Book Antiqua" w:hAnsi="Book Antiqua" w:cs="Arial"/>
        <w:sz w:val="20"/>
        <w:szCs w:val="20"/>
      </w:rPr>
    </w:pPr>
    <w:r w:rsidRPr="001F5EA4">
      <w:rPr>
        <w:rStyle w:val="PageNumber"/>
        <w:rFonts w:ascii="Book Antiqua" w:hAnsi="Book Antiqua" w:cs="Arial"/>
        <w:sz w:val="20"/>
        <w:szCs w:val="20"/>
      </w:rPr>
      <w:fldChar w:fldCharType="begin"/>
    </w:r>
    <w:r w:rsidRPr="001F5EA4">
      <w:rPr>
        <w:rStyle w:val="PageNumber"/>
        <w:rFonts w:ascii="Book Antiqua" w:hAnsi="Book Antiqua" w:cs="Arial"/>
        <w:sz w:val="20"/>
        <w:szCs w:val="20"/>
      </w:rPr>
      <w:instrText xml:space="preserve"> PAGE </w:instrText>
    </w:r>
    <w:r w:rsidRPr="001F5EA4">
      <w:rPr>
        <w:rStyle w:val="PageNumber"/>
        <w:rFonts w:ascii="Book Antiqua" w:hAnsi="Book Antiqua" w:cs="Arial"/>
        <w:sz w:val="20"/>
        <w:szCs w:val="20"/>
      </w:rPr>
      <w:fldChar w:fldCharType="separate"/>
    </w:r>
    <w:r w:rsidR="00132BD9">
      <w:rPr>
        <w:rStyle w:val="PageNumber"/>
        <w:rFonts w:ascii="Book Antiqua" w:hAnsi="Book Antiqua" w:cs="Arial"/>
        <w:noProof/>
        <w:sz w:val="20"/>
        <w:szCs w:val="20"/>
      </w:rPr>
      <w:t>4</w:t>
    </w:r>
    <w:r w:rsidRPr="001F5EA4">
      <w:rPr>
        <w:rStyle w:val="PageNumber"/>
        <w:rFonts w:ascii="Book Antiqua" w:hAnsi="Book Antiqua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1F5EA4" w:rsidRDefault="008D4782" w:rsidP="00614E94">
    <w:pPr>
      <w:jc w:val="center"/>
      <w:rPr>
        <w:rFonts w:ascii="Book Antiqua" w:hAnsi="Book Antiqua" w:cs="Arial"/>
        <w:b/>
      </w:rPr>
    </w:pPr>
    <w:r w:rsidRPr="001F5EA4">
      <w:rPr>
        <w:rFonts w:ascii="Book Antiqua" w:hAnsi="Book Antiqua" w:cs="Arial"/>
        <w:b/>
        <w:spacing w:val="-6"/>
      </w:rPr>
      <w:t>©</w:t>
    </w:r>
    <w:r w:rsidRPr="001F5EA4">
      <w:rPr>
        <w:rFonts w:ascii="Book Antiqua" w:hAnsi="Book Antiqua" w:cs="Arial"/>
        <w:b/>
      </w:rPr>
      <w:t xml:space="preserve"> CROWN COPYRIGHT</w:t>
    </w:r>
    <w:r w:rsidR="00BD6040" w:rsidRPr="001F5EA4">
      <w:rPr>
        <w:rFonts w:ascii="Book Antiqua" w:hAnsi="Book Antiqua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DFF" w:rsidRDefault="00C26DFF">
      <w:r>
        <w:separator/>
      </w:r>
    </w:p>
  </w:footnote>
  <w:footnote w:type="continuationSeparator" w:id="0">
    <w:p w:rsidR="00C26DFF" w:rsidRDefault="00C26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040" w:rsidRPr="001F5EA4" w:rsidRDefault="00BD6040" w:rsidP="001F5EA4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20"/>
        <w:szCs w:val="20"/>
      </w:rPr>
    </w:pPr>
    <w:r w:rsidRPr="001F5EA4">
      <w:rPr>
        <w:rFonts w:ascii="Book Antiqua" w:hAnsi="Book Antiqua" w:cs="Arial"/>
        <w:caps/>
        <w:color w:val="000000"/>
        <w:sz w:val="20"/>
        <w:szCs w:val="20"/>
      </w:rPr>
      <w:t>PA/04172/2015</w:t>
    </w:r>
  </w:p>
  <w:p w:rsidR="00BD6040" w:rsidRPr="001F5EA4" w:rsidRDefault="00BD6040" w:rsidP="001F5EA4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20"/>
        <w:szCs w:val="20"/>
      </w:rPr>
    </w:pPr>
    <w:r w:rsidRPr="001F5EA4">
      <w:rPr>
        <w:rFonts w:ascii="Book Antiqua" w:hAnsi="Book Antiqua" w:cs="Arial"/>
        <w:caps/>
        <w:color w:val="000000"/>
        <w:sz w:val="20"/>
        <w:szCs w:val="20"/>
      </w:rPr>
      <w:t>PA/05031/2016</w:t>
    </w:r>
  </w:p>
  <w:p w:rsidR="008D4782" w:rsidRPr="001F5EA4" w:rsidRDefault="008D4782" w:rsidP="001F5EA4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BA9CC34-BD61-4BD4-88E8-6F5363A0E417}"/>
    <w:docVar w:name="dgnword-eventsink" w:val="451615592"/>
  </w:docVars>
  <w:rsids>
    <w:rsidRoot w:val="00933B65"/>
    <w:rsid w:val="00005159"/>
    <w:rsid w:val="00007BAC"/>
    <w:rsid w:val="00013C8C"/>
    <w:rsid w:val="00027311"/>
    <w:rsid w:val="00050F40"/>
    <w:rsid w:val="000777B7"/>
    <w:rsid w:val="00087C41"/>
    <w:rsid w:val="000B442A"/>
    <w:rsid w:val="000B45E1"/>
    <w:rsid w:val="000B6D10"/>
    <w:rsid w:val="000D3CA5"/>
    <w:rsid w:val="001041AE"/>
    <w:rsid w:val="001042A8"/>
    <w:rsid w:val="00107E6F"/>
    <w:rsid w:val="001103E2"/>
    <w:rsid w:val="00116247"/>
    <w:rsid w:val="00117089"/>
    <w:rsid w:val="00132BD9"/>
    <w:rsid w:val="001338F0"/>
    <w:rsid w:val="00137365"/>
    <w:rsid w:val="00151DB3"/>
    <w:rsid w:val="00155C20"/>
    <w:rsid w:val="00172233"/>
    <w:rsid w:val="00175563"/>
    <w:rsid w:val="00184269"/>
    <w:rsid w:val="001957A5"/>
    <w:rsid w:val="001A540C"/>
    <w:rsid w:val="001B7D4E"/>
    <w:rsid w:val="001D6343"/>
    <w:rsid w:val="001E0145"/>
    <w:rsid w:val="001F3A81"/>
    <w:rsid w:val="001F5EA4"/>
    <w:rsid w:val="00200CC7"/>
    <w:rsid w:val="002025C1"/>
    <w:rsid w:val="002065B8"/>
    <w:rsid w:val="0021065F"/>
    <w:rsid w:val="002135A6"/>
    <w:rsid w:val="002154EF"/>
    <w:rsid w:val="00224440"/>
    <w:rsid w:val="00230F7F"/>
    <w:rsid w:val="00236DEE"/>
    <w:rsid w:val="00266FFE"/>
    <w:rsid w:val="00270BAD"/>
    <w:rsid w:val="00274F92"/>
    <w:rsid w:val="002A7DEF"/>
    <w:rsid w:val="002B33C3"/>
    <w:rsid w:val="002B7E50"/>
    <w:rsid w:val="002C12E2"/>
    <w:rsid w:val="002C683E"/>
    <w:rsid w:val="002D1BB0"/>
    <w:rsid w:val="002D56B1"/>
    <w:rsid w:val="002E7C2E"/>
    <w:rsid w:val="002F352F"/>
    <w:rsid w:val="00316F41"/>
    <w:rsid w:val="00321C6F"/>
    <w:rsid w:val="00333B88"/>
    <w:rsid w:val="00334A3E"/>
    <w:rsid w:val="003402EE"/>
    <w:rsid w:val="003418A0"/>
    <w:rsid w:val="00344081"/>
    <w:rsid w:val="00362268"/>
    <w:rsid w:val="00367E19"/>
    <w:rsid w:val="003709EE"/>
    <w:rsid w:val="003812EE"/>
    <w:rsid w:val="0039593E"/>
    <w:rsid w:val="003A5BAE"/>
    <w:rsid w:val="003B4721"/>
    <w:rsid w:val="003C1934"/>
    <w:rsid w:val="003D7D3D"/>
    <w:rsid w:val="003D7F34"/>
    <w:rsid w:val="003E6445"/>
    <w:rsid w:val="003F2429"/>
    <w:rsid w:val="004028C0"/>
    <w:rsid w:val="00404EF5"/>
    <w:rsid w:val="0041417F"/>
    <w:rsid w:val="004171D0"/>
    <w:rsid w:val="0043304E"/>
    <w:rsid w:val="004413B9"/>
    <w:rsid w:val="00441640"/>
    <w:rsid w:val="004541E5"/>
    <w:rsid w:val="0046122D"/>
    <w:rsid w:val="00470675"/>
    <w:rsid w:val="004A012D"/>
    <w:rsid w:val="004A4B25"/>
    <w:rsid w:val="004F3F81"/>
    <w:rsid w:val="00510BE1"/>
    <w:rsid w:val="00513527"/>
    <w:rsid w:val="00543CE9"/>
    <w:rsid w:val="00563A8B"/>
    <w:rsid w:val="0057020B"/>
    <w:rsid w:val="005736D6"/>
    <w:rsid w:val="0059078F"/>
    <w:rsid w:val="00590CEE"/>
    <w:rsid w:val="00594CA2"/>
    <w:rsid w:val="00595C55"/>
    <w:rsid w:val="00596DD8"/>
    <w:rsid w:val="005A1712"/>
    <w:rsid w:val="005A6DAD"/>
    <w:rsid w:val="005E2CFF"/>
    <w:rsid w:val="005E535B"/>
    <w:rsid w:val="005F06B2"/>
    <w:rsid w:val="005F3650"/>
    <w:rsid w:val="005F6D40"/>
    <w:rsid w:val="00614020"/>
    <w:rsid w:val="00614E94"/>
    <w:rsid w:val="0061609A"/>
    <w:rsid w:val="00621FDD"/>
    <w:rsid w:val="00622BE5"/>
    <w:rsid w:val="0063091E"/>
    <w:rsid w:val="00634A28"/>
    <w:rsid w:val="0065091A"/>
    <w:rsid w:val="00657E4A"/>
    <w:rsid w:val="00666611"/>
    <w:rsid w:val="006837FC"/>
    <w:rsid w:val="0068495A"/>
    <w:rsid w:val="006930C1"/>
    <w:rsid w:val="006A5C4F"/>
    <w:rsid w:val="006A7C37"/>
    <w:rsid w:val="006B0311"/>
    <w:rsid w:val="006B528A"/>
    <w:rsid w:val="006C3F51"/>
    <w:rsid w:val="006D2D9A"/>
    <w:rsid w:val="006D7C16"/>
    <w:rsid w:val="006E3DE1"/>
    <w:rsid w:val="00714F1B"/>
    <w:rsid w:val="00725CB6"/>
    <w:rsid w:val="007300F8"/>
    <w:rsid w:val="00734D2D"/>
    <w:rsid w:val="007412E0"/>
    <w:rsid w:val="00746434"/>
    <w:rsid w:val="00774C7C"/>
    <w:rsid w:val="00775BFC"/>
    <w:rsid w:val="007A0D56"/>
    <w:rsid w:val="007C62D4"/>
    <w:rsid w:val="007D555B"/>
    <w:rsid w:val="007F2C55"/>
    <w:rsid w:val="007F7538"/>
    <w:rsid w:val="0080239D"/>
    <w:rsid w:val="00810338"/>
    <w:rsid w:val="00812CC0"/>
    <w:rsid w:val="00827F39"/>
    <w:rsid w:val="0084433E"/>
    <w:rsid w:val="00845A5D"/>
    <w:rsid w:val="0084625E"/>
    <w:rsid w:val="008505CA"/>
    <w:rsid w:val="00855D5F"/>
    <w:rsid w:val="0085607A"/>
    <w:rsid w:val="008578A6"/>
    <w:rsid w:val="00861DE2"/>
    <w:rsid w:val="00865C1F"/>
    <w:rsid w:val="00870322"/>
    <w:rsid w:val="008824F7"/>
    <w:rsid w:val="00882BDA"/>
    <w:rsid w:val="008832E8"/>
    <w:rsid w:val="008846F4"/>
    <w:rsid w:val="00896357"/>
    <w:rsid w:val="00896545"/>
    <w:rsid w:val="008970C6"/>
    <w:rsid w:val="008A64A7"/>
    <w:rsid w:val="008B5B9B"/>
    <w:rsid w:val="008C2761"/>
    <w:rsid w:val="008D4782"/>
    <w:rsid w:val="008D556C"/>
    <w:rsid w:val="008E0FC5"/>
    <w:rsid w:val="008F009D"/>
    <w:rsid w:val="008F2CE1"/>
    <w:rsid w:val="00922EF1"/>
    <w:rsid w:val="00923BA9"/>
    <w:rsid w:val="00926DE2"/>
    <w:rsid w:val="00933B65"/>
    <w:rsid w:val="00934546"/>
    <w:rsid w:val="00966B10"/>
    <w:rsid w:val="009701EB"/>
    <w:rsid w:val="009707EA"/>
    <w:rsid w:val="00977113"/>
    <w:rsid w:val="009874D1"/>
    <w:rsid w:val="009A685A"/>
    <w:rsid w:val="009A7193"/>
    <w:rsid w:val="009C7EFB"/>
    <w:rsid w:val="009E2918"/>
    <w:rsid w:val="009E3D21"/>
    <w:rsid w:val="009F361B"/>
    <w:rsid w:val="00A31234"/>
    <w:rsid w:val="00A40DD1"/>
    <w:rsid w:val="00A43DFD"/>
    <w:rsid w:val="00A620D4"/>
    <w:rsid w:val="00A810D2"/>
    <w:rsid w:val="00A86A8D"/>
    <w:rsid w:val="00A97C22"/>
    <w:rsid w:val="00AA199C"/>
    <w:rsid w:val="00AA25A1"/>
    <w:rsid w:val="00AA306F"/>
    <w:rsid w:val="00AA5502"/>
    <w:rsid w:val="00AC01AD"/>
    <w:rsid w:val="00AD65BD"/>
    <w:rsid w:val="00B01CCB"/>
    <w:rsid w:val="00B01E9F"/>
    <w:rsid w:val="00B170ED"/>
    <w:rsid w:val="00B44930"/>
    <w:rsid w:val="00B52844"/>
    <w:rsid w:val="00B768F9"/>
    <w:rsid w:val="00B93467"/>
    <w:rsid w:val="00BA0BBB"/>
    <w:rsid w:val="00BB105D"/>
    <w:rsid w:val="00BB2B34"/>
    <w:rsid w:val="00BB470C"/>
    <w:rsid w:val="00BB69F4"/>
    <w:rsid w:val="00BB6BE4"/>
    <w:rsid w:val="00BC0611"/>
    <w:rsid w:val="00BC220A"/>
    <w:rsid w:val="00BD6040"/>
    <w:rsid w:val="00BE34CF"/>
    <w:rsid w:val="00C01F6A"/>
    <w:rsid w:val="00C05043"/>
    <w:rsid w:val="00C15A7E"/>
    <w:rsid w:val="00C26DFF"/>
    <w:rsid w:val="00C37A57"/>
    <w:rsid w:val="00C41D0B"/>
    <w:rsid w:val="00C502D9"/>
    <w:rsid w:val="00C51B29"/>
    <w:rsid w:val="00C57BC7"/>
    <w:rsid w:val="00C628F1"/>
    <w:rsid w:val="00C776B9"/>
    <w:rsid w:val="00C776CC"/>
    <w:rsid w:val="00C92937"/>
    <w:rsid w:val="00CC2BC9"/>
    <w:rsid w:val="00CD5AEE"/>
    <w:rsid w:val="00CF0FE6"/>
    <w:rsid w:val="00CF7C69"/>
    <w:rsid w:val="00D045D9"/>
    <w:rsid w:val="00D1746A"/>
    <w:rsid w:val="00D31D54"/>
    <w:rsid w:val="00D333C1"/>
    <w:rsid w:val="00D35BC7"/>
    <w:rsid w:val="00D35F23"/>
    <w:rsid w:val="00D43B10"/>
    <w:rsid w:val="00D44C2B"/>
    <w:rsid w:val="00D52E90"/>
    <w:rsid w:val="00D569DB"/>
    <w:rsid w:val="00D679A3"/>
    <w:rsid w:val="00DA3D04"/>
    <w:rsid w:val="00DB2FBF"/>
    <w:rsid w:val="00DB7953"/>
    <w:rsid w:val="00DC45A4"/>
    <w:rsid w:val="00DC699D"/>
    <w:rsid w:val="00DF73D4"/>
    <w:rsid w:val="00E15763"/>
    <w:rsid w:val="00E21165"/>
    <w:rsid w:val="00E326AF"/>
    <w:rsid w:val="00E570AD"/>
    <w:rsid w:val="00E57813"/>
    <w:rsid w:val="00E64C72"/>
    <w:rsid w:val="00E978EC"/>
    <w:rsid w:val="00EA24BB"/>
    <w:rsid w:val="00EA3D98"/>
    <w:rsid w:val="00EC30FD"/>
    <w:rsid w:val="00EC7803"/>
    <w:rsid w:val="00EE261B"/>
    <w:rsid w:val="00EE6CE7"/>
    <w:rsid w:val="00EE7AE9"/>
    <w:rsid w:val="00EF1E4D"/>
    <w:rsid w:val="00EF5A54"/>
    <w:rsid w:val="00F040B7"/>
    <w:rsid w:val="00F111FC"/>
    <w:rsid w:val="00F125AD"/>
    <w:rsid w:val="00F15EA8"/>
    <w:rsid w:val="00F36D10"/>
    <w:rsid w:val="00F40619"/>
    <w:rsid w:val="00F47052"/>
    <w:rsid w:val="00F47702"/>
    <w:rsid w:val="00F648C0"/>
    <w:rsid w:val="00F678D8"/>
    <w:rsid w:val="00F67DD5"/>
    <w:rsid w:val="00F72641"/>
    <w:rsid w:val="00F85C8A"/>
    <w:rsid w:val="00F923A9"/>
    <w:rsid w:val="00F96183"/>
    <w:rsid w:val="00F96FA0"/>
    <w:rsid w:val="00FA0A2E"/>
    <w:rsid w:val="00FA2A43"/>
    <w:rsid w:val="00FA7FC0"/>
    <w:rsid w:val="00FB0516"/>
    <w:rsid w:val="00FB57D6"/>
    <w:rsid w:val="00FC1385"/>
    <w:rsid w:val="00FC2755"/>
    <w:rsid w:val="00FE0046"/>
    <w:rsid w:val="00FE7FA7"/>
    <w:rsid w:val="00FF1232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6E1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3F2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F2429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286E-333B-4C30-88AF-A2A7D568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1161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2018-06-07T12:29:00Z</dcterms:created>
  <dcterms:modified xsi:type="dcterms:W3CDTF">2018-06-07T12:29:00Z</dcterms:modified>
</cp:coreProperties>
</file>