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8C0134" w:rsidRDefault="00A53185" w:rsidP="0050388A">
      <w:pPr>
        <w:jc w:val="center"/>
        <w:rPr>
          <w:caps/>
          <w:color w:val="000000"/>
          <w:sz w:val="16"/>
          <w:szCs w:val="16"/>
        </w:rPr>
      </w:pPr>
      <w:r w:rsidRPr="008C0134">
        <w:rPr>
          <w:noProof/>
        </w:rPr>
        <w:drawing>
          <wp:inline distT="0" distB="0" distL="0" distR="0" wp14:anchorId="0F3FEC25" wp14:editId="2253070F">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8C0134" w:rsidRDefault="003257CA" w:rsidP="002630D9">
      <w:pPr>
        <w:tabs>
          <w:tab w:val="right" w:pos="9720"/>
        </w:tabs>
        <w:spacing w:line="360" w:lineRule="auto"/>
        <w:ind w:right="-82"/>
        <w:rPr>
          <w:b/>
          <w:color w:val="000000"/>
        </w:rPr>
      </w:pPr>
      <w:r w:rsidRPr="008C0134">
        <w:rPr>
          <w:b/>
          <w:color w:val="000000"/>
        </w:rPr>
        <w:t xml:space="preserve">Upper Tribunal </w:t>
      </w:r>
    </w:p>
    <w:p w:rsidR="003257CA" w:rsidRPr="008C0134" w:rsidRDefault="003257CA" w:rsidP="002630D9">
      <w:pPr>
        <w:tabs>
          <w:tab w:val="right" w:pos="9720"/>
        </w:tabs>
        <w:spacing w:line="360" w:lineRule="auto"/>
        <w:ind w:right="-82"/>
        <w:rPr>
          <w:b/>
          <w:color w:val="000000"/>
        </w:rPr>
      </w:pPr>
      <w:r w:rsidRPr="008C0134">
        <w:rPr>
          <w:b/>
          <w:color w:val="000000"/>
        </w:rPr>
        <w:t>(</w:t>
      </w:r>
      <w:r w:rsidR="008C0134" w:rsidRPr="008C0134">
        <w:rPr>
          <w:b/>
          <w:color w:val="000000"/>
        </w:rPr>
        <w:t xml:space="preserve">Immigration and Asylum </w:t>
      </w:r>
      <w:proofErr w:type="gramStart"/>
      <w:r w:rsidR="008C0134" w:rsidRPr="008C0134">
        <w:rPr>
          <w:b/>
          <w:color w:val="000000"/>
        </w:rPr>
        <w:t xml:space="preserve">Chamber)   </w:t>
      </w:r>
      <w:proofErr w:type="gramEnd"/>
      <w:r w:rsidR="008C0134" w:rsidRPr="008C0134">
        <w:rPr>
          <w:b/>
          <w:color w:val="000000"/>
        </w:rPr>
        <w:t xml:space="preserve">                       </w:t>
      </w:r>
      <w:r w:rsidRPr="008C0134">
        <w:rPr>
          <w:b/>
          <w:color w:val="000000"/>
        </w:rPr>
        <w:t xml:space="preserve">Appeal Number: </w:t>
      </w:r>
      <w:r w:rsidR="006F50BC" w:rsidRPr="008C0134">
        <w:rPr>
          <w:b/>
          <w:color w:val="000000"/>
        </w:rPr>
        <w:t>PA/04339/2018</w:t>
      </w:r>
    </w:p>
    <w:p w:rsidR="003257CA" w:rsidRPr="008C0134" w:rsidRDefault="00CB6CFF" w:rsidP="008C0134">
      <w:pPr>
        <w:tabs>
          <w:tab w:val="right" w:pos="9720"/>
        </w:tabs>
        <w:rPr>
          <w:b/>
          <w:i/>
          <w:color w:val="000000"/>
        </w:rPr>
      </w:pPr>
      <w:r w:rsidRPr="008C0134">
        <w:rPr>
          <w:b/>
          <w:color w:val="000000"/>
        </w:rPr>
        <w:t xml:space="preserve">                                                                                                                                                                                                                                                                      </w:t>
      </w:r>
    </w:p>
    <w:p w:rsidR="003257CA" w:rsidRPr="008C0134" w:rsidRDefault="003257CA" w:rsidP="002630D9">
      <w:pPr>
        <w:spacing w:line="360" w:lineRule="auto"/>
        <w:jc w:val="center"/>
        <w:rPr>
          <w:b/>
          <w:color w:val="000000"/>
          <w:u w:val="single"/>
        </w:rPr>
      </w:pPr>
      <w:r w:rsidRPr="008C0134">
        <w:rPr>
          <w:b/>
          <w:color w:val="000000"/>
          <w:u w:val="single"/>
        </w:rPr>
        <w:t>THE IMMIGRATION ACTS</w:t>
      </w:r>
    </w:p>
    <w:tbl>
      <w:tblPr>
        <w:tblW w:w="0" w:type="auto"/>
        <w:tblLook w:val="01E0" w:firstRow="1" w:lastRow="1" w:firstColumn="1" w:lastColumn="1" w:noHBand="0" w:noVBand="0"/>
      </w:tblPr>
      <w:tblGrid>
        <w:gridCol w:w="5245"/>
        <w:gridCol w:w="4393"/>
      </w:tblGrid>
      <w:tr w:rsidR="003257CA" w:rsidRPr="008C0134" w:rsidTr="008C0134">
        <w:tc>
          <w:tcPr>
            <w:tcW w:w="5245" w:type="dxa"/>
          </w:tcPr>
          <w:p w:rsidR="003257CA" w:rsidRPr="008C0134" w:rsidRDefault="003257CA" w:rsidP="002630D9">
            <w:pPr>
              <w:spacing w:line="360" w:lineRule="auto"/>
              <w:jc w:val="both"/>
              <w:rPr>
                <w:b/>
              </w:rPr>
            </w:pPr>
            <w:r w:rsidRPr="008C0134">
              <w:rPr>
                <w:b/>
              </w:rPr>
              <w:t xml:space="preserve">Heard at </w:t>
            </w:r>
            <w:r w:rsidR="003A447D" w:rsidRPr="008C0134">
              <w:rPr>
                <w:b/>
              </w:rPr>
              <w:t>Royal Courts of Justice</w:t>
            </w:r>
          </w:p>
        </w:tc>
        <w:tc>
          <w:tcPr>
            <w:tcW w:w="4393" w:type="dxa"/>
          </w:tcPr>
          <w:p w:rsidR="003257CA" w:rsidRPr="008C0134" w:rsidRDefault="003257CA" w:rsidP="002630D9">
            <w:pPr>
              <w:spacing w:line="360" w:lineRule="auto"/>
              <w:jc w:val="both"/>
              <w:rPr>
                <w:b/>
                <w:color w:val="000000"/>
              </w:rPr>
            </w:pPr>
            <w:r w:rsidRPr="008C0134">
              <w:rPr>
                <w:b/>
                <w:color w:val="000000"/>
              </w:rPr>
              <w:t>Decision &amp; Reasons Promulgated</w:t>
            </w:r>
          </w:p>
        </w:tc>
      </w:tr>
      <w:tr w:rsidR="003257CA" w:rsidRPr="008C0134" w:rsidTr="008C0134">
        <w:tc>
          <w:tcPr>
            <w:tcW w:w="5245" w:type="dxa"/>
          </w:tcPr>
          <w:p w:rsidR="003257CA" w:rsidRPr="008C0134" w:rsidRDefault="003257CA" w:rsidP="002630D9">
            <w:pPr>
              <w:spacing w:line="360" w:lineRule="auto"/>
              <w:jc w:val="both"/>
              <w:rPr>
                <w:b/>
              </w:rPr>
            </w:pPr>
            <w:r w:rsidRPr="008C0134">
              <w:rPr>
                <w:b/>
              </w:rPr>
              <w:t xml:space="preserve">On </w:t>
            </w:r>
            <w:r w:rsidR="00F75148" w:rsidRPr="008C0134">
              <w:rPr>
                <w:b/>
              </w:rPr>
              <w:t>6 August</w:t>
            </w:r>
            <w:r w:rsidRPr="008C0134">
              <w:rPr>
                <w:b/>
              </w:rPr>
              <w:t xml:space="preserve"> 2018</w:t>
            </w:r>
          </w:p>
        </w:tc>
        <w:tc>
          <w:tcPr>
            <w:tcW w:w="4393" w:type="dxa"/>
          </w:tcPr>
          <w:p w:rsidR="003257CA" w:rsidRPr="008C0134" w:rsidRDefault="00501CDD" w:rsidP="002630D9">
            <w:pPr>
              <w:spacing w:line="360" w:lineRule="auto"/>
              <w:jc w:val="both"/>
              <w:rPr>
                <w:b/>
              </w:rPr>
            </w:pPr>
            <w:r w:rsidRPr="008C0134">
              <w:rPr>
                <w:b/>
              </w:rPr>
              <w:t>On 13 August 2018</w:t>
            </w:r>
          </w:p>
        </w:tc>
      </w:tr>
    </w:tbl>
    <w:p w:rsidR="008C0134" w:rsidRPr="008C0134" w:rsidRDefault="008C0134" w:rsidP="002630D9">
      <w:pPr>
        <w:spacing w:line="360" w:lineRule="auto"/>
        <w:jc w:val="center"/>
        <w:rPr>
          <w:b/>
        </w:rPr>
      </w:pPr>
    </w:p>
    <w:p w:rsidR="003257CA" w:rsidRPr="008C0134" w:rsidRDefault="003257CA" w:rsidP="008C0134">
      <w:pPr>
        <w:jc w:val="center"/>
        <w:rPr>
          <w:b/>
        </w:rPr>
      </w:pPr>
      <w:r w:rsidRPr="008C0134">
        <w:rPr>
          <w:b/>
        </w:rPr>
        <w:t>Before</w:t>
      </w:r>
    </w:p>
    <w:p w:rsidR="008C0134" w:rsidRPr="008C0134" w:rsidRDefault="008C0134" w:rsidP="008C0134">
      <w:pPr>
        <w:jc w:val="center"/>
        <w:rPr>
          <w:b/>
        </w:rPr>
      </w:pPr>
    </w:p>
    <w:p w:rsidR="003257CA" w:rsidRPr="008C0134" w:rsidRDefault="003257CA" w:rsidP="008C0134">
      <w:pPr>
        <w:jc w:val="center"/>
        <w:rPr>
          <w:b/>
          <w:color w:val="000000"/>
        </w:rPr>
      </w:pPr>
      <w:r w:rsidRPr="008C0134">
        <w:rPr>
          <w:b/>
          <w:color w:val="000000"/>
        </w:rPr>
        <w:t>UPPER TRIBUNAL JUDGE FINCH</w:t>
      </w:r>
    </w:p>
    <w:p w:rsidR="00FD0609" w:rsidRPr="008C0134" w:rsidRDefault="00FD0609" w:rsidP="008C0134">
      <w:pPr>
        <w:jc w:val="center"/>
        <w:rPr>
          <w:b/>
        </w:rPr>
      </w:pPr>
    </w:p>
    <w:p w:rsidR="003257CA" w:rsidRPr="008C0134" w:rsidRDefault="003257CA" w:rsidP="008C0134">
      <w:pPr>
        <w:jc w:val="center"/>
        <w:rPr>
          <w:b/>
        </w:rPr>
      </w:pPr>
      <w:r w:rsidRPr="008C0134">
        <w:rPr>
          <w:b/>
        </w:rPr>
        <w:t>Between</w:t>
      </w:r>
    </w:p>
    <w:p w:rsidR="008C0134" w:rsidRPr="008C0134" w:rsidRDefault="008C0134" w:rsidP="008C0134">
      <w:pPr>
        <w:jc w:val="center"/>
        <w:rPr>
          <w:b/>
        </w:rPr>
      </w:pPr>
    </w:p>
    <w:p w:rsidR="00F75148" w:rsidRPr="008C0134" w:rsidRDefault="00501CDD" w:rsidP="008C0134">
      <w:pPr>
        <w:jc w:val="center"/>
        <w:rPr>
          <w:b/>
        </w:rPr>
      </w:pPr>
      <w:r w:rsidRPr="008C0134">
        <w:rPr>
          <w:b/>
        </w:rPr>
        <w:t>F R</w:t>
      </w:r>
    </w:p>
    <w:p w:rsidR="00DD4868" w:rsidRPr="008C0134" w:rsidRDefault="00DD4868" w:rsidP="008C0134">
      <w:pPr>
        <w:jc w:val="center"/>
        <w:rPr>
          <w:u w:val="single"/>
        </w:rPr>
      </w:pPr>
      <w:r w:rsidRPr="008C0134">
        <w:t xml:space="preserve">                                                                                                                                      </w:t>
      </w:r>
      <w:r w:rsidRPr="008C0134">
        <w:rPr>
          <w:u w:val="single"/>
        </w:rPr>
        <w:t xml:space="preserve">Appellant </w:t>
      </w:r>
    </w:p>
    <w:p w:rsidR="00DD4868" w:rsidRPr="008C0134" w:rsidRDefault="008C0134" w:rsidP="008C0134">
      <w:pPr>
        <w:jc w:val="center"/>
        <w:rPr>
          <w:b/>
        </w:rPr>
      </w:pPr>
      <w:r w:rsidRPr="008C0134">
        <w:rPr>
          <w:b/>
        </w:rPr>
        <w:t>A</w:t>
      </w:r>
      <w:r w:rsidR="00DD4868" w:rsidRPr="008C0134">
        <w:rPr>
          <w:b/>
        </w:rPr>
        <w:t>nd</w:t>
      </w:r>
    </w:p>
    <w:p w:rsidR="008C0134" w:rsidRPr="008C0134" w:rsidRDefault="008C0134" w:rsidP="008C0134">
      <w:pPr>
        <w:jc w:val="center"/>
        <w:rPr>
          <w:b/>
        </w:rPr>
      </w:pPr>
    </w:p>
    <w:p w:rsidR="007B3613" w:rsidRPr="008C0134" w:rsidRDefault="00F75148" w:rsidP="008C0134">
      <w:pPr>
        <w:jc w:val="center"/>
        <w:rPr>
          <w:b/>
        </w:rPr>
      </w:pPr>
      <w:r w:rsidRPr="008C0134">
        <w:rPr>
          <w:b/>
        </w:rPr>
        <w:t xml:space="preserve">THE SECRETARY OF STATE FOR THE HOME DEPARTMENT </w:t>
      </w:r>
    </w:p>
    <w:p w:rsidR="00DD4868" w:rsidRPr="008C0134" w:rsidRDefault="00DD4868" w:rsidP="002630D9">
      <w:pPr>
        <w:spacing w:line="360" w:lineRule="auto"/>
        <w:jc w:val="center"/>
        <w:rPr>
          <w:u w:val="single"/>
        </w:rPr>
      </w:pPr>
      <w:r w:rsidRPr="008C0134">
        <w:rPr>
          <w:b/>
        </w:rPr>
        <w:t xml:space="preserve">                                       </w:t>
      </w:r>
      <w:r w:rsidRPr="008C0134">
        <w:rPr>
          <w:b/>
        </w:rPr>
        <w:tab/>
      </w:r>
      <w:r w:rsidRPr="008C0134">
        <w:rPr>
          <w:b/>
        </w:rPr>
        <w:tab/>
      </w:r>
      <w:r w:rsidRPr="008C0134">
        <w:rPr>
          <w:b/>
        </w:rPr>
        <w:tab/>
      </w:r>
      <w:r w:rsidRPr="008C0134">
        <w:rPr>
          <w:b/>
        </w:rPr>
        <w:tab/>
      </w:r>
      <w:r w:rsidRPr="008C0134">
        <w:rPr>
          <w:b/>
        </w:rPr>
        <w:tab/>
      </w:r>
      <w:r w:rsidRPr="008C0134">
        <w:rPr>
          <w:b/>
        </w:rPr>
        <w:tab/>
      </w:r>
      <w:r w:rsidRPr="008C0134">
        <w:rPr>
          <w:b/>
        </w:rPr>
        <w:tab/>
      </w:r>
      <w:r w:rsidRPr="008C0134">
        <w:rPr>
          <w:b/>
        </w:rPr>
        <w:tab/>
      </w:r>
      <w:r w:rsidRPr="008C0134">
        <w:rPr>
          <w:b/>
        </w:rPr>
        <w:tab/>
      </w:r>
      <w:r w:rsidRPr="008C0134">
        <w:rPr>
          <w:b/>
        </w:rPr>
        <w:tab/>
      </w:r>
      <w:r w:rsidRPr="008C0134">
        <w:t xml:space="preserve">  </w:t>
      </w:r>
      <w:r w:rsidRPr="008C0134">
        <w:rPr>
          <w:u w:val="single"/>
        </w:rPr>
        <w:t xml:space="preserve">Respondent </w:t>
      </w:r>
    </w:p>
    <w:p w:rsidR="008C0134" w:rsidRDefault="008C0134" w:rsidP="002630D9">
      <w:pPr>
        <w:spacing w:line="360" w:lineRule="auto"/>
        <w:rPr>
          <w:b/>
          <w:u w:val="single"/>
        </w:rPr>
      </w:pPr>
    </w:p>
    <w:p w:rsidR="003257CA" w:rsidRPr="008C0134" w:rsidRDefault="003257CA" w:rsidP="002630D9">
      <w:pPr>
        <w:spacing w:line="360" w:lineRule="auto"/>
      </w:pPr>
      <w:r w:rsidRPr="008C0134">
        <w:rPr>
          <w:b/>
          <w:u w:val="single"/>
        </w:rPr>
        <w:t>Representation</w:t>
      </w:r>
      <w:r w:rsidRPr="008C0134">
        <w:rPr>
          <w:b/>
        </w:rPr>
        <w:t xml:space="preserve">: </w:t>
      </w:r>
    </w:p>
    <w:p w:rsidR="005D603D" w:rsidRPr="008C0134" w:rsidRDefault="003257CA" w:rsidP="005D603D">
      <w:pPr>
        <w:tabs>
          <w:tab w:val="left" w:pos="2520"/>
        </w:tabs>
        <w:spacing w:line="360" w:lineRule="auto"/>
      </w:pPr>
      <w:r w:rsidRPr="008C0134">
        <w:t>For the Appellant:</w:t>
      </w:r>
      <w:r w:rsidRPr="008C0134">
        <w:tab/>
      </w:r>
      <w:r w:rsidR="002A7774" w:rsidRPr="008C0134">
        <w:t>Not legally represented but present</w:t>
      </w:r>
      <w:r w:rsidRPr="008C0134">
        <w:tab/>
      </w:r>
      <w:r w:rsidRPr="008C0134">
        <w:tab/>
      </w:r>
    </w:p>
    <w:p w:rsidR="005D603D" w:rsidRPr="008C0134" w:rsidRDefault="003257CA" w:rsidP="005D603D">
      <w:pPr>
        <w:tabs>
          <w:tab w:val="left" w:pos="2520"/>
        </w:tabs>
        <w:spacing w:line="360" w:lineRule="auto"/>
      </w:pPr>
      <w:r w:rsidRPr="008C0134">
        <w:t>For the Respondent:</w:t>
      </w:r>
      <w:r w:rsidRPr="008C0134">
        <w:tab/>
      </w:r>
      <w:r w:rsidR="002A7774" w:rsidRPr="008C0134">
        <w:t>Mr. T. Melvin</w:t>
      </w:r>
      <w:r w:rsidRPr="008C0134">
        <w:t xml:space="preserve">              </w:t>
      </w:r>
    </w:p>
    <w:p w:rsidR="008C0134" w:rsidRDefault="008C0134" w:rsidP="002630D9">
      <w:pPr>
        <w:spacing w:line="360" w:lineRule="auto"/>
        <w:jc w:val="center"/>
        <w:rPr>
          <w:b/>
          <w:u w:val="single"/>
        </w:rPr>
      </w:pPr>
    </w:p>
    <w:p w:rsidR="003257CA" w:rsidRPr="008C0134" w:rsidRDefault="003257CA" w:rsidP="002630D9">
      <w:pPr>
        <w:spacing w:line="360" w:lineRule="auto"/>
        <w:jc w:val="center"/>
        <w:rPr>
          <w:b/>
          <w:u w:val="single"/>
        </w:rPr>
      </w:pPr>
      <w:r w:rsidRPr="008C0134">
        <w:rPr>
          <w:b/>
          <w:u w:val="single"/>
        </w:rPr>
        <w:t>DECISION AND REASONS</w:t>
      </w:r>
    </w:p>
    <w:p w:rsidR="003257CA" w:rsidRPr="008C0134" w:rsidRDefault="003257CA" w:rsidP="002630D9">
      <w:pPr>
        <w:spacing w:line="360" w:lineRule="auto"/>
        <w:jc w:val="both"/>
        <w:rPr>
          <w:b/>
        </w:rPr>
      </w:pPr>
      <w:r w:rsidRPr="008C0134">
        <w:rPr>
          <w:b/>
        </w:rPr>
        <w:t xml:space="preserve">                                                                                                                                                                                                                                                                                                                                                                                                                                                           </w:t>
      </w:r>
    </w:p>
    <w:p w:rsidR="0088066F" w:rsidRPr="008C0134" w:rsidRDefault="0088066F" w:rsidP="0088066F">
      <w:pPr>
        <w:jc w:val="both"/>
        <w:rPr>
          <w:b/>
          <w:u w:val="single"/>
        </w:rPr>
      </w:pPr>
      <w:r w:rsidRPr="008C0134">
        <w:rPr>
          <w:b/>
          <w:u w:val="single"/>
        </w:rPr>
        <w:t>ANONYMITY ORDER</w:t>
      </w:r>
    </w:p>
    <w:p w:rsidR="0088066F" w:rsidRPr="008C0134" w:rsidRDefault="0088066F" w:rsidP="0088066F">
      <w:pPr>
        <w:jc w:val="both"/>
        <w:rPr>
          <w:b/>
          <w:u w:val="single"/>
        </w:rPr>
      </w:pPr>
    </w:p>
    <w:p w:rsidR="0088066F" w:rsidRPr="008C0134" w:rsidRDefault="0088066F" w:rsidP="0088066F">
      <w:pPr>
        <w:jc w:val="both"/>
      </w:pPr>
      <w:r w:rsidRPr="008C0134">
        <w:t>Pursuant to section 25 of the Tribunals, Courts and Enforcement Act 2007 and rule 14(1) of the Tribunal Procedure (Upper Tribunal) Rules 2008</w:t>
      </w:r>
    </w:p>
    <w:p w:rsidR="0088066F" w:rsidRPr="008C0134" w:rsidRDefault="0088066F" w:rsidP="0088066F">
      <w:pPr>
        <w:jc w:val="both"/>
      </w:pPr>
    </w:p>
    <w:p w:rsidR="0088066F" w:rsidRPr="008C0134" w:rsidRDefault="0088066F" w:rsidP="0088066F">
      <w:pPr>
        <w:jc w:val="both"/>
        <w:rPr>
          <w:b/>
        </w:rPr>
      </w:pPr>
      <w:r w:rsidRPr="008C0134">
        <w:rPr>
          <w:b/>
        </w:rPr>
        <w:t>IT IS ORDERED THAT:</w:t>
      </w:r>
    </w:p>
    <w:p w:rsidR="0088066F" w:rsidRPr="008C0134" w:rsidRDefault="0088066F" w:rsidP="0088066F">
      <w:pPr>
        <w:jc w:val="both"/>
      </w:pPr>
    </w:p>
    <w:p w:rsidR="0088066F" w:rsidRPr="008C0134" w:rsidRDefault="0088066F" w:rsidP="0088066F">
      <w:pPr>
        <w:jc w:val="both"/>
      </w:pPr>
      <w:r w:rsidRPr="008C0134">
        <w:t>1.</w:t>
      </w:r>
      <w:r w:rsidRPr="008C0134">
        <w:tab/>
        <w:t>The Respondent be granted anonymity.</w:t>
      </w:r>
    </w:p>
    <w:p w:rsidR="0088066F" w:rsidRPr="008C0134" w:rsidRDefault="0088066F" w:rsidP="0088066F">
      <w:pPr>
        <w:jc w:val="both"/>
      </w:pPr>
    </w:p>
    <w:p w:rsidR="0088066F" w:rsidRPr="008C0134" w:rsidRDefault="0088066F" w:rsidP="0088066F">
      <w:pPr>
        <w:ind w:left="564" w:hanging="564"/>
        <w:jc w:val="both"/>
      </w:pPr>
      <w:r w:rsidRPr="008C0134">
        <w:t>2.</w:t>
      </w:r>
      <w:r w:rsidRPr="008C0134">
        <w:tab/>
        <w:t>Nothing shall be published that would or might tend to identify the Appellant in these proceeding.</w:t>
      </w:r>
    </w:p>
    <w:p w:rsidR="0088066F" w:rsidRPr="008C0134" w:rsidRDefault="0088066F" w:rsidP="0088066F">
      <w:pPr>
        <w:jc w:val="both"/>
      </w:pPr>
    </w:p>
    <w:p w:rsidR="0088066F" w:rsidRPr="008C0134" w:rsidRDefault="0088066F" w:rsidP="0088066F">
      <w:pPr>
        <w:jc w:val="both"/>
      </w:pPr>
      <w:r w:rsidRPr="008C0134">
        <w:t>3.</w:t>
      </w:r>
      <w:r w:rsidRPr="008C0134">
        <w:tab/>
        <w:t>This Order is to remain in force until further order.</w:t>
      </w:r>
    </w:p>
    <w:p w:rsidR="0088066F" w:rsidRPr="008C0134" w:rsidRDefault="0088066F" w:rsidP="0088066F">
      <w:pPr>
        <w:jc w:val="both"/>
      </w:pPr>
    </w:p>
    <w:p w:rsidR="0088066F" w:rsidRPr="008C0134" w:rsidRDefault="0088066F" w:rsidP="002630D9">
      <w:pPr>
        <w:spacing w:line="360" w:lineRule="auto"/>
        <w:jc w:val="both"/>
        <w:rPr>
          <w:b/>
        </w:rPr>
      </w:pPr>
    </w:p>
    <w:p w:rsidR="003257CA" w:rsidRPr="008C0134" w:rsidRDefault="0088066F" w:rsidP="002630D9">
      <w:pPr>
        <w:spacing w:line="360" w:lineRule="auto"/>
        <w:jc w:val="both"/>
        <w:rPr>
          <w:b/>
        </w:rPr>
      </w:pPr>
      <w:r w:rsidRPr="008C0134">
        <w:rPr>
          <w:b/>
        </w:rPr>
        <w:t>B</w:t>
      </w:r>
      <w:r w:rsidR="003257CA" w:rsidRPr="008C0134">
        <w:rPr>
          <w:b/>
        </w:rPr>
        <w:t xml:space="preserve">ACKGROUND TO THE APPEAL </w:t>
      </w:r>
    </w:p>
    <w:p w:rsidR="001D07BD" w:rsidRPr="008C0134" w:rsidRDefault="001D07BD" w:rsidP="002630D9">
      <w:pPr>
        <w:spacing w:line="360" w:lineRule="auto"/>
        <w:jc w:val="both"/>
        <w:rPr>
          <w:b/>
        </w:rPr>
      </w:pPr>
    </w:p>
    <w:p w:rsidR="003257CA" w:rsidRPr="008C0134" w:rsidRDefault="003257CA" w:rsidP="002630D9">
      <w:pPr>
        <w:spacing w:line="360" w:lineRule="auto"/>
        <w:ind w:left="567" w:hanging="567"/>
        <w:jc w:val="both"/>
      </w:pPr>
      <w:r w:rsidRPr="008C0134">
        <w:t>1.</w:t>
      </w:r>
      <w:r w:rsidRPr="008C0134">
        <w:tab/>
        <w:t xml:space="preserve">The </w:t>
      </w:r>
      <w:r w:rsidR="006B2C82" w:rsidRPr="008C0134">
        <w:t>Respondent</w:t>
      </w:r>
      <w:r w:rsidR="008130CE" w:rsidRPr="008C0134">
        <w:t xml:space="preserve"> </w:t>
      </w:r>
      <w:r w:rsidR="007B3613" w:rsidRPr="008C0134">
        <w:t xml:space="preserve">is a national of </w:t>
      </w:r>
      <w:r w:rsidR="006F50BC" w:rsidRPr="008C0134">
        <w:t>Pakistan.</w:t>
      </w:r>
      <w:r w:rsidR="00011849" w:rsidRPr="008C0134">
        <w:t xml:space="preserve"> In</w:t>
      </w:r>
      <w:r w:rsidR="006F50BC" w:rsidRPr="008C0134">
        <w:t xml:space="preserve"> 2014 an application </w:t>
      </w:r>
      <w:r w:rsidR="0088066F" w:rsidRPr="008C0134">
        <w:t xml:space="preserve">for leave </w:t>
      </w:r>
      <w:r w:rsidR="001D07BD" w:rsidRPr="008C0134">
        <w:t>to remain was made on her behalf on family and private life grounds. This application was refused without a right of appeal. Then on 17 November 2015 she applied for asylum on the basis that she had been trafficked to the United Kingdom for the purposes of labour exploitation in a private household. The Respondent referred her into the National Referral Mechanism as a potential victim of human trafficking 30 June 2016 and on 16 January 2018 the competent authority found on a balance of probabilities that she was a victim of human trafficking.</w:t>
      </w:r>
      <w:r w:rsidRPr="008C0134">
        <w:t xml:space="preserve"> </w:t>
      </w:r>
    </w:p>
    <w:p w:rsidR="003257CA" w:rsidRPr="008C0134" w:rsidRDefault="003257CA" w:rsidP="002630D9">
      <w:pPr>
        <w:spacing w:line="360" w:lineRule="auto"/>
        <w:ind w:left="567" w:hanging="567"/>
        <w:jc w:val="both"/>
      </w:pPr>
    </w:p>
    <w:p w:rsidR="003257CA" w:rsidRPr="008C0134" w:rsidRDefault="003257CA" w:rsidP="002630D9">
      <w:pPr>
        <w:spacing w:line="360" w:lineRule="auto"/>
        <w:ind w:left="567" w:hanging="567"/>
        <w:jc w:val="both"/>
      </w:pPr>
      <w:r w:rsidRPr="008C0134">
        <w:t>2.</w:t>
      </w:r>
      <w:r w:rsidRPr="008C0134">
        <w:tab/>
      </w:r>
      <w:r w:rsidR="001D07BD" w:rsidRPr="008C0134">
        <w:t xml:space="preserve">However, the Respondent found on 13 March 2018that she was not entitled to protection under the Refugee Convention. She appealed against this decision and </w:t>
      </w:r>
      <w:r w:rsidR="006E0E00" w:rsidRPr="008C0134">
        <w:t xml:space="preserve">First-tier Tribunal Judge </w:t>
      </w:r>
      <w:r w:rsidR="001D07BD" w:rsidRPr="008C0134">
        <w:t>Greasley dismissed her appeal</w:t>
      </w:r>
      <w:r w:rsidR="006E0E00" w:rsidRPr="008C0134">
        <w:t xml:space="preserve"> in a decision promulgated on </w:t>
      </w:r>
      <w:r w:rsidR="001D07BD" w:rsidRPr="008C0134">
        <w:t>17 May</w:t>
      </w:r>
      <w:r w:rsidR="006E0E00" w:rsidRPr="008C0134">
        <w:t xml:space="preserve"> 2018</w:t>
      </w:r>
      <w:r w:rsidR="008130CE" w:rsidRPr="008C0134">
        <w:t xml:space="preserve">. The </w:t>
      </w:r>
      <w:r w:rsidR="006B2C82" w:rsidRPr="008C0134">
        <w:t>Appellant</w:t>
      </w:r>
      <w:r w:rsidR="008130CE" w:rsidRPr="008C0134">
        <w:t xml:space="preserve"> </w:t>
      </w:r>
      <w:r w:rsidR="00E63C44" w:rsidRPr="008C0134">
        <w:t xml:space="preserve">sought permission to </w:t>
      </w:r>
      <w:r w:rsidR="008130CE" w:rsidRPr="008C0134">
        <w:t xml:space="preserve">appeal and </w:t>
      </w:r>
      <w:r w:rsidR="00916910" w:rsidRPr="008C0134">
        <w:t>First-tier T</w:t>
      </w:r>
      <w:r w:rsidR="008130CE" w:rsidRPr="008C0134">
        <w:t xml:space="preserve">ribunal Judge </w:t>
      </w:r>
      <w:proofErr w:type="spellStart"/>
      <w:r w:rsidR="001D07BD" w:rsidRPr="008C0134">
        <w:t>Landes</w:t>
      </w:r>
      <w:proofErr w:type="spellEnd"/>
      <w:r w:rsidR="00F75148" w:rsidRPr="008C0134">
        <w:t xml:space="preserve"> </w:t>
      </w:r>
      <w:r w:rsidR="008130CE" w:rsidRPr="008C0134">
        <w:t>granted h</w:t>
      </w:r>
      <w:r w:rsidR="001D07BD" w:rsidRPr="008C0134">
        <w:t>er</w:t>
      </w:r>
      <w:r w:rsidR="008130CE" w:rsidRPr="008C0134">
        <w:t xml:space="preserve"> permission to appeal on</w:t>
      </w:r>
      <w:r w:rsidR="001D07BD" w:rsidRPr="008C0134">
        <w:t xml:space="preserve"> 27</w:t>
      </w:r>
      <w:r w:rsidR="00F75148" w:rsidRPr="008C0134">
        <w:t xml:space="preserve"> June</w:t>
      </w:r>
      <w:r w:rsidR="00E63C44" w:rsidRPr="008C0134">
        <w:t xml:space="preserve"> 2018</w:t>
      </w:r>
      <w:r w:rsidR="008130CE" w:rsidRPr="008C0134">
        <w:t xml:space="preserve">. </w:t>
      </w:r>
    </w:p>
    <w:p w:rsidR="003257CA" w:rsidRPr="008C0134" w:rsidRDefault="003257CA" w:rsidP="002630D9">
      <w:pPr>
        <w:spacing w:line="360" w:lineRule="auto"/>
        <w:ind w:left="567" w:hanging="567"/>
        <w:jc w:val="both"/>
      </w:pPr>
    </w:p>
    <w:p w:rsidR="003257CA" w:rsidRPr="008C0134" w:rsidRDefault="003257CA" w:rsidP="002630D9">
      <w:pPr>
        <w:spacing w:line="360" w:lineRule="auto"/>
        <w:ind w:left="567" w:hanging="567"/>
        <w:jc w:val="both"/>
      </w:pPr>
      <w:r w:rsidRPr="008C0134">
        <w:t xml:space="preserve">                                                                                                                                                                                                                                                                                   </w:t>
      </w:r>
    </w:p>
    <w:p w:rsidR="003257CA" w:rsidRPr="008C0134" w:rsidRDefault="003257CA" w:rsidP="002630D9">
      <w:pPr>
        <w:spacing w:line="360" w:lineRule="auto"/>
        <w:ind w:left="567" w:hanging="567"/>
        <w:jc w:val="both"/>
        <w:rPr>
          <w:b/>
        </w:rPr>
      </w:pPr>
      <w:r w:rsidRPr="008C0134">
        <w:rPr>
          <w:b/>
        </w:rPr>
        <w:t xml:space="preserve">ERROR OF LAW HEARING </w:t>
      </w:r>
    </w:p>
    <w:p w:rsidR="003257CA" w:rsidRPr="008C0134" w:rsidRDefault="003257CA" w:rsidP="002630D9">
      <w:pPr>
        <w:spacing w:line="360" w:lineRule="auto"/>
        <w:ind w:left="567" w:hanging="567"/>
        <w:jc w:val="both"/>
      </w:pPr>
    </w:p>
    <w:p w:rsidR="003257CA" w:rsidRPr="008C0134" w:rsidRDefault="006E0E00" w:rsidP="002630D9">
      <w:pPr>
        <w:spacing w:line="360" w:lineRule="auto"/>
        <w:ind w:left="567" w:hanging="567"/>
        <w:jc w:val="both"/>
      </w:pPr>
      <w:r w:rsidRPr="008C0134">
        <w:t>3</w:t>
      </w:r>
      <w:r w:rsidR="003257CA" w:rsidRPr="008C0134">
        <w:t>.</w:t>
      </w:r>
      <w:r w:rsidR="003257CA" w:rsidRPr="008C0134">
        <w:tab/>
      </w:r>
      <w:r w:rsidR="00916910" w:rsidRPr="008C0134">
        <w:t xml:space="preserve">The Appellant was not legally represented but I permitted the person accommodating her to act as her McKenzie Friend, in the light of her vulnerability. I also provided both parties with a copy of </w:t>
      </w:r>
      <w:r w:rsidR="00916910" w:rsidRPr="008C0134">
        <w:rPr>
          <w:i/>
        </w:rPr>
        <w:t xml:space="preserve">MS (Pakistan) v Secretary of State for the Home Department </w:t>
      </w:r>
      <w:r w:rsidR="00916910" w:rsidRPr="008C0134">
        <w:t xml:space="preserve">[2018] EWCA </w:t>
      </w:r>
      <w:proofErr w:type="spellStart"/>
      <w:r w:rsidR="00916910" w:rsidRPr="008C0134">
        <w:t>Civ</w:t>
      </w:r>
      <w:proofErr w:type="spellEnd"/>
      <w:r w:rsidR="00916910" w:rsidRPr="008C0134">
        <w:t xml:space="preserve"> 594. The Home Office Presenting Officer relied on the reasons for refusal letter and the Rule 24 Response, which was handed in at the hearing. </w:t>
      </w:r>
      <w:r w:rsidR="003257CA" w:rsidRPr="008C0134">
        <w:t xml:space="preserve"> </w:t>
      </w:r>
    </w:p>
    <w:p w:rsidR="0088066F" w:rsidRPr="008C0134" w:rsidRDefault="0088066F" w:rsidP="00590558">
      <w:pPr>
        <w:spacing w:line="360" w:lineRule="auto"/>
        <w:ind w:left="567" w:hanging="567"/>
        <w:jc w:val="both"/>
        <w:rPr>
          <w:b/>
        </w:rPr>
      </w:pPr>
    </w:p>
    <w:p w:rsidR="003257CA" w:rsidRPr="008C0134" w:rsidRDefault="003257CA" w:rsidP="00590558">
      <w:pPr>
        <w:spacing w:line="360" w:lineRule="auto"/>
        <w:ind w:left="567" w:hanging="567"/>
        <w:jc w:val="both"/>
        <w:rPr>
          <w:b/>
        </w:rPr>
      </w:pPr>
      <w:r w:rsidRPr="008C0134">
        <w:rPr>
          <w:b/>
        </w:rPr>
        <w:t xml:space="preserve">ERROR OF LAW DECISION </w:t>
      </w:r>
    </w:p>
    <w:p w:rsidR="0088066F" w:rsidRPr="008C0134" w:rsidRDefault="0088066F" w:rsidP="002D56FD">
      <w:pPr>
        <w:spacing w:line="360" w:lineRule="auto"/>
        <w:ind w:left="567" w:hanging="567"/>
        <w:jc w:val="both"/>
      </w:pPr>
    </w:p>
    <w:p w:rsidR="00411CC8" w:rsidRPr="008C0134" w:rsidRDefault="00A44767" w:rsidP="002D56FD">
      <w:pPr>
        <w:spacing w:line="360" w:lineRule="auto"/>
        <w:ind w:left="567" w:hanging="567"/>
        <w:jc w:val="both"/>
      </w:pPr>
      <w:r w:rsidRPr="008C0134">
        <w:t>4</w:t>
      </w:r>
      <w:r w:rsidR="006B2C82" w:rsidRPr="008C0134">
        <w:t>.</w:t>
      </w:r>
      <w:r w:rsidR="006B2C82" w:rsidRPr="008C0134">
        <w:tab/>
      </w:r>
      <w:r w:rsidR="00411CC8" w:rsidRPr="008C0134">
        <w:t xml:space="preserve">In the refusal letter the Respondent relied on the account given on behalf of the Appellant when she applied for leave to remain </w:t>
      </w:r>
      <w:proofErr w:type="gramStart"/>
      <w:r w:rsidR="00411CC8" w:rsidRPr="008C0134">
        <w:t>on the basis of</w:t>
      </w:r>
      <w:proofErr w:type="gramEnd"/>
      <w:r w:rsidR="00411CC8" w:rsidRPr="008C0134">
        <w:t xml:space="preserve"> family and private life as well as the account which she gave when applying for asylum. First-tier Tribunal Judge Greasley adopted the same approach. When doing so he failed to take into account that the Competent Authority had found on a balance of probabilities that the account given within the NRM was true. This was the same account that she relied upon when applying for asylum. </w:t>
      </w:r>
    </w:p>
    <w:p w:rsidR="00411CC8" w:rsidRPr="008C0134" w:rsidRDefault="00411CC8" w:rsidP="002D56FD">
      <w:pPr>
        <w:spacing w:line="360" w:lineRule="auto"/>
        <w:ind w:left="567" w:hanging="567"/>
        <w:jc w:val="both"/>
      </w:pPr>
    </w:p>
    <w:p w:rsidR="00411CC8" w:rsidRPr="008C0134" w:rsidRDefault="00411CC8" w:rsidP="002D56FD">
      <w:pPr>
        <w:spacing w:line="360" w:lineRule="auto"/>
        <w:ind w:left="567" w:hanging="567"/>
        <w:jc w:val="both"/>
      </w:pPr>
      <w:r w:rsidRPr="008C0134">
        <w:t>5.</w:t>
      </w:r>
      <w:r w:rsidRPr="008C0134">
        <w:tab/>
        <w:t xml:space="preserve">I have reminded myself that in </w:t>
      </w:r>
      <w:r w:rsidR="000771BD" w:rsidRPr="008C0134">
        <w:rPr>
          <w:i/>
        </w:rPr>
        <w:t xml:space="preserve">Secretary of State for the Home Department v MS (Pakistan) </w:t>
      </w:r>
      <w:r w:rsidR="000771BD" w:rsidRPr="008C0134">
        <w:t xml:space="preserve">[2018] EWCA </w:t>
      </w:r>
      <w:proofErr w:type="spellStart"/>
      <w:r w:rsidR="000771BD" w:rsidRPr="008C0134">
        <w:t>Civ</w:t>
      </w:r>
      <w:proofErr w:type="spellEnd"/>
      <w:r w:rsidR="000771BD" w:rsidRPr="008C0134">
        <w:t xml:space="preserve"> 594</w:t>
      </w:r>
      <w:r w:rsidRPr="008C0134">
        <w:t xml:space="preserve"> </w:t>
      </w:r>
      <w:r w:rsidR="000771BD" w:rsidRPr="008C0134">
        <w:t xml:space="preserve">Lord Justice </w:t>
      </w:r>
      <w:proofErr w:type="spellStart"/>
      <w:r w:rsidR="000771BD" w:rsidRPr="008C0134">
        <w:t>Flaux</w:t>
      </w:r>
      <w:proofErr w:type="spellEnd"/>
      <w:r w:rsidRPr="008C0134">
        <w:t xml:space="preserve"> found that:</w:t>
      </w:r>
    </w:p>
    <w:p w:rsidR="000771BD" w:rsidRPr="008C0134" w:rsidRDefault="000771BD" w:rsidP="002D56FD">
      <w:pPr>
        <w:spacing w:line="360" w:lineRule="auto"/>
        <w:ind w:left="567" w:hanging="567"/>
        <w:jc w:val="both"/>
      </w:pPr>
    </w:p>
    <w:p w:rsidR="000771BD" w:rsidRPr="008C0134" w:rsidRDefault="000771BD" w:rsidP="000771BD">
      <w:pPr>
        <w:spacing w:line="360" w:lineRule="auto"/>
        <w:ind w:left="567" w:hanging="567"/>
        <w:jc w:val="both"/>
      </w:pPr>
      <w:r w:rsidRPr="008C0134">
        <w:tab/>
        <w:t>“69. In my judgment, it is absolutely clear that the Court of Appeal in AS (Afghanistan) was limiting the circumstances in which, on a statutory appeal against a removal decision, an appellant can mount an indirect challenge to a negative trafficking decision by the authority (in the circumstances where the appellant has not challenged it by way of judicial review), to where the trafficking decision can be demonstrated to be perverse or irrational or one which was not open to the authority, those expressions being effectively synonymous for present purposes. Mr Lewis is correct that there is a two</w:t>
      </w:r>
      <w:r w:rsidR="00E57ECF" w:rsidRPr="008C0134">
        <w:t>-</w:t>
      </w:r>
      <w:r w:rsidRPr="008C0134">
        <w:t xml:space="preserve">stage approach. First, a determination whether the trafficking decision is perverse or irrational or one which was not open to the authority and second, only if it is, can the appellant invite the Tribunal to re-determine the relevant facts and take account of subsequent evidence since the decision of the authority was made.  </w:t>
      </w:r>
    </w:p>
    <w:p w:rsidR="000771BD" w:rsidRPr="008C0134" w:rsidRDefault="000771BD" w:rsidP="000771BD">
      <w:pPr>
        <w:spacing w:line="360" w:lineRule="auto"/>
        <w:ind w:left="567" w:hanging="567"/>
        <w:jc w:val="both"/>
      </w:pPr>
    </w:p>
    <w:p w:rsidR="000771BD" w:rsidRPr="008C0134" w:rsidRDefault="000771BD" w:rsidP="000771BD">
      <w:pPr>
        <w:spacing w:line="360" w:lineRule="auto"/>
        <w:ind w:left="567" w:hanging="567"/>
        <w:jc w:val="both"/>
      </w:pPr>
      <w:r w:rsidRPr="008C0134">
        <w:tab/>
        <w:t>70.Of course, a trafficking decision, whether positive or negative, may well be relevant to the issue before the Tribunal as to the lawfulness of the removal decision. However, an appellant can only invite the tribunal to go behind the trafficking decision and re-determine the factual issues as to whether trafficking has in fact occurred if the decision of the authority is shown to be perverse or irrational or one which was not open to it. This is clearly what Longmore LJ was saying in the last two sentences of [18] of his judgment</w:t>
      </w:r>
      <w:r w:rsidR="00E12920" w:rsidRPr="008C0134">
        <w:t>”</w:t>
      </w:r>
      <w:r w:rsidRPr="008C0134">
        <w:t>.</w:t>
      </w:r>
    </w:p>
    <w:p w:rsidR="000771BD" w:rsidRPr="008C0134" w:rsidRDefault="000771BD" w:rsidP="000771BD">
      <w:pPr>
        <w:spacing w:line="360" w:lineRule="auto"/>
        <w:ind w:left="567" w:hanging="567"/>
        <w:jc w:val="both"/>
      </w:pPr>
      <w:r w:rsidRPr="008C0134">
        <w:tab/>
      </w:r>
    </w:p>
    <w:p w:rsidR="000771BD" w:rsidRPr="008C0134" w:rsidRDefault="00E12920" w:rsidP="000771BD">
      <w:pPr>
        <w:spacing w:line="360" w:lineRule="auto"/>
        <w:ind w:left="567" w:hanging="567"/>
        <w:jc w:val="both"/>
      </w:pPr>
      <w:r w:rsidRPr="008C0134">
        <w:t>6.</w:t>
      </w:r>
      <w:r w:rsidRPr="008C0134">
        <w:tab/>
      </w:r>
      <w:r w:rsidR="00916910" w:rsidRPr="008C0134">
        <w:t xml:space="preserve">It is my view that this decision applies equally to statutory appeals unless there is subsequent evidence which is capable of showing that the NRM decision was perverse. There was no such evidence before </w:t>
      </w:r>
      <w:r w:rsidRPr="008C0134">
        <w:t>First-tier Tribunal Judge Greas</w:t>
      </w:r>
      <w:r w:rsidR="00E57ECF" w:rsidRPr="008C0134">
        <w:t>le</w:t>
      </w:r>
      <w:r w:rsidRPr="008C0134">
        <w:t>y</w:t>
      </w:r>
      <w:r w:rsidR="00916910" w:rsidRPr="008C0134">
        <w:t>.</w:t>
      </w:r>
    </w:p>
    <w:p w:rsidR="00411CC8" w:rsidRPr="008C0134" w:rsidRDefault="00411CC8" w:rsidP="002D56FD">
      <w:pPr>
        <w:spacing w:line="360" w:lineRule="auto"/>
        <w:ind w:left="567" w:hanging="567"/>
        <w:jc w:val="both"/>
      </w:pPr>
    </w:p>
    <w:p w:rsidR="00B44F61" w:rsidRPr="008C0134" w:rsidRDefault="00E57ECF" w:rsidP="00E57ECF">
      <w:pPr>
        <w:suppressAutoHyphens/>
        <w:spacing w:line="360" w:lineRule="auto"/>
        <w:ind w:left="567" w:hanging="567"/>
        <w:jc w:val="both"/>
      </w:pPr>
      <w:r w:rsidRPr="008C0134">
        <w:t>7</w:t>
      </w:r>
      <w:r w:rsidR="000442CA" w:rsidRPr="008C0134">
        <w:t>.</w:t>
      </w:r>
      <w:r w:rsidR="000442CA" w:rsidRPr="008C0134">
        <w:tab/>
        <w:t xml:space="preserve">In paragraph 46 of his decision, First-tier Tribunal Judge Greasley did recognise that the Appellant was a vulnerable witness for the purposes of the Joint Presidential Guidance Note on </w:t>
      </w:r>
      <w:r w:rsidR="000442CA" w:rsidRPr="008C0134">
        <w:rPr>
          <w:i/>
        </w:rPr>
        <w:t>Child, Vulnerable Adult and Sensitive Witnesses</w:t>
      </w:r>
      <w:r w:rsidR="000442CA" w:rsidRPr="008C0134">
        <w:t xml:space="preserve"> (No. 2 of 2010).  However, he did not apply this guidance in the substance of his decision. For example, he did not apply paragraph</w:t>
      </w:r>
      <w:r w:rsidRPr="008C0134">
        <w:t xml:space="preserve"> 3 which states that:</w:t>
      </w:r>
    </w:p>
    <w:p w:rsidR="00E57ECF" w:rsidRPr="008C0134" w:rsidRDefault="00E57ECF" w:rsidP="00E57ECF">
      <w:pPr>
        <w:suppressAutoHyphens/>
        <w:spacing w:line="360" w:lineRule="auto"/>
        <w:ind w:left="567" w:hanging="567"/>
        <w:jc w:val="both"/>
      </w:pPr>
    </w:p>
    <w:p w:rsidR="00E57ECF" w:rsidRPr="008C0134" w:rsidRDefault="00E57ECF" w:rsidP="00E57ECF">
      <w:pPr>
        <w:suppressAutoHyphens/>
        <w:spacing w:line="360" w:lineRule="auto"/>
        <w:ind w:left="567" w:hanging="567"/>
        <w:jc w:val="both"/>
      </w:pPr>
      <w:r w:rsidRPr="008C0134">
        <w:tab/>
        <w:t xml:space="preserve">“The consequences of such vulnerability differ according to the degree to which an individual is affected. It is a matter for you to determine the extent of an identified vulnerability, the effect </w:t>
      </w:r>
      <w:r w:rsidRPr="008C0134">
        <w:lastRenderedPageBreak/>
        <w:t xml:space="preserve">on the quality of the evidence and the weight to be placed on such vulnerability in assessing the evidence before you, taking into account the evidence as a whole”.  </w:t>
      </w:r>
    </w:p>
    <w:p w:rsidR="00E57ECF" w:rsidRPr="008C0134" w:rsidRDefault="00E57ECF" w:rsidP="00E57ECF">
      <w:pPr>
        <w:suppressAutoHyphens/>
        <w:spacing w:line="360" w:lineRule="auto"/>
        <w:ind w:left="567" w:hanging="567"/>
        <w:jc w:val="both"/>
      </w:pPr>
    </w:p>
    <w:p w:rsidR="00306680" w:rsidRPr="008C0134" w:rsidRDefault="00306680" w:rsidP="00E57ECF">
      <w:pPr>
        <w:suppressAutoHyphens/>
        <w:spacing w:line="360" w:lineRule="auto"/>
        <w:ind w:left="567" w:hanging="567"/>
        <w:jc w:val="both"/>
      </w:pPr>
      <w:r w:rsidRPr="008C0134">
        <w:t>8</w:t>
      </w:r>
      <w:r w:rsidR="00E57ECF" w:rsidRPr="008C0134">
        <w:t>.</w:t>
      </w:r>
      <w:r w:rsidR="00E57ECF" w:rsidRPr="008C0134">
        <w:tab/>
        <w:t>This was particularly the case in paragraph 52 of his decision where he found that “the appellant had sought to distance herself from her family members in Pakistan and had made no mention of her witness visit to her sister in Pakistan</w:t>
      </w:r>
      <w:r w:rsidR="00916910" w:rsidRPr="008C0134">
        <w:t>”</w:t>
      </w:r>
      <w:r w:rsidR="00E57ECF" w:rsidRPr="008C0134">
        <w:t>.  When assessing this evidence</w:t>
      </w:r>
      <w:r w:rsidR="00916910" w:rsidRPr="008C0134">
        <w:t>,</w:t>
      </w:r>
      <w:r w:rsidR="00E57ECF" w:rsidRPr="008C0134">
        <w:t xml:space="preserve"> </w:t>
      </w:r>
      <w:r w:rsidR="00916910" w:rsidRPr="008C0134">
        <w:t>t</w:t>
      </w:r>
      <w:r w:rsidR="00E57ECF" w:rsidRPr="008C0134">
        <w:t xml:space="preserve">he </w:t>
      </w:r>
      <w:r w:rsidR="00916910" w:rsidRPr="008C0134">
        <w:t xml:space="preserve">First-tier Tribunal Judge </w:t>
      </w:r>
      <w:r w:rsidR="00E57ECF" w:rsidRPr="008C0134">
        <w:t xml:space="preserve">failed to take into account the medical evidence which indicated that </w:t>
      </w:r>
      <w:r w:rsidR="00916910" w:rsidRPr="008C0134">
        <w:t>t</w:t>
      </w:r>
      <w:r w:rsidR="00E57ECF" w:rsidRPr="008C0134">
        <w:t>he</w:t>
      </w:r>
      <w:r w:rsidR="00916910" w:rsidRPr="008C0134">
        <w:t xml:space="preserve"> Appellant</w:t>
      </w:r>
      <w:r w:rsidR="00E57ECF" w:rsidRPr="008C0134">
        <w:t xml:space="preserve"> was suffering from depression. He also failed to note that her medical records stated that</w:t>
      </w:r>
      <w:r w:rsidR="0088066F" w:rsidRPr="008C0134">
        <w:t>,</w:t>
      </w:r>
      <w:r w:rsidR="00E57ECF" w:rsidRPr="008C0134">
        <w:t xml:space="preserve"> when the Appellant was being exploited in the United Kingdom for the purposes of domestic servitude</w:t>
      </w:r>
      <w:r w:rsidR="0088066F" w:rsidRPr="008C0134">
        <w:t xml:space="preserve"> from the age of 12</w:t>
      </w:r>
      <w:r w:rsidR="00B16ED1" w:rsidRPr="008C0134">
        <w:t>,</w:t>
      </w:r>
      <w:r w:rsidR="00E57ECF" w:rsidRPr="008C0134">
        <w:t xml:space="preserve"> it was her case that much of her “pay” was being sent back to her mother in Pakistan. </w:t>
      </w:r>
      <w:proofErr w:type="spellStart"/>
      <w:r w:rsidR="00E57ECF" w:rsidRPr="008C0134">
        <w:t>Dr</w:t>
      </w:r>
      <w:r w:rsidRPr="008C0134">
        <w:t>.</w:t>
      </w:r>
      <w:proofErr w:type="spellEnd"/>
      <w:r w:rsidRPr="008C0134">
        <w:t xml:space="preserve"> </w:t>
      </w:r>
      <w:r w:rsidR="00E57ECF" w:rsidRPr="008C0134">
        <w:t xml:space="preserve">Davies also referred to her having been </w:t>
      </w:r>
      <w:r w:rsidR="00B16ED1" w:rsidRPr="008C0134">
        <w:t>“</w:t>
      </w:r>
      <w:r w:rsidR="00E57ECF" w:rsidRPr="008C0134">
        <w:t>sold</w:t>
      </w:r>
      <w:r w:rsidR="00B16ED1" w:rsidRPr="008C0134">
        <w:t>”</w:t>
      </w:r>
      <w:r w:rsidR="00E57ECF" w:rsidRPr="008C0134">
        <w:t xml:space="preserve"> by her family. </w:t>
      </w:r>
    </w:p>
    <w:p w:rsidR="00916910" w:rsidRPr="008C0134" w:rsidRDefault="00916910" w:rsidP="00E57ECF">
      <w:pPr>
        <w:suppressAutoHyphens/>
        <w:spacing w:line="360" w:lineRule="auto"/>
        <w:ind w:left="567" w:hanging="567"/>
        <w:jc w:val="both"/>
      </w:pPr>
    </w:p>
    <w:p w:rsidR="00AC1FEB" w:rsidRPr="008C0134" w:rsidRDefault="00306680" w:rsidP="00E57ECF">
      <w:pPr>
        <w:suppressAutoHyphens/>
        <w:spacing w:line="360" w:lineRule="auto"/>
        <w:ind w:left="567" w:hanging="567"/>
        <w:jc w:val="both"/>
      </w:pPr>
      <w:r w:rsidRPr="008C0134">
        <w:t>9.</w:t>
      </w:r>
      <w:r w:rsidRPr="008C0134">
        <w:tab/>
        <w:t>In addition, when finding</w:t>
      </w:r>
      <w:r w:rsidR="00916910" w:rsidRPr="008C0134">
        <w:t>,</w:t>
      </w:r>
      <w:r w:rsidRPr="008C0134">
        <w:t xml:space="preserve"> in paragraph 54 of his decision</w:t>
      </w:r>
      <w:r w:rsidR="00B167A5" w:rsidRPr="008C0134">
        <w:t>,</w:t>
      </w:r>
      <w:r w:rsidRPr="008C0134">
        <w:t xml:space="preserve"> that “the appellant is someone who will be able to seek the support of her sister at least, and other siblings in Lahore” the First-ti</w:t>
      </w:r>
      <w:r w:rsidR="00B167A5" w:rsidRPr="008C0134">
        <w:t>er</w:t>
      </w:r>
      <w:r w:rsidRPr="008C0134">
        <w:t xml:space="preserve"> Tribunal Judge failed to take into account the fact that the Appellant had been sold into domestic servitude which had financially benefitted her mother at </w:t>
      </w:r>
      <w:r w:rsidR="00B16ED1" w:rsidRPr="008C0134">
        <w:t xml:space="preserve">the very </w:t>
      </w:r>
      <w:r w:rsidRPr="008C0134">
        <w:t xml:space="preserve">least. He also failed to give any reasons for finding that </w:t>
      </w:r>
      <w:r w:rsidR="00AC1FEB" w:rsidRPr="008C0134">
        <w:t xml:space="preserve">her siblings would want to or would be capable of supporting her. There was no evidence about their own personal circumstances or even the whereabouts of most of them. </w:t>
      </w:r>
    </w:p>
    <w:p w:rsidR="00AC1FEB" w:rsidRPr="008C0134" w:rsidRDefault="00AC1FEB" w:rsidP="00E57ECF">
      <w:pPr>
        <w:suppressAutoHyphens/>
        <w:spacing w:line="360" w:lineRule="auto"/>
        <w:ind w:left="567" w:hanging="567"/>
        <w:jc w:val="both"/>
      </w:pPr>
    </w:p>
    <w:p w:rsidR="00306680" w:rsidRPr="008C0134" w:rsidRDefault="00AC1FEB" w:rsidP="00E57ECF">
      <w:pPr>
        <w:suppressAutoHyphens/>
        <w:spacing w:line="360" w:lineRule="auto"/>
        <w:ind w:left="567" w:hanging="567"/>
        <w:jc w:val="both"/>
      </w:pPr>
      <w:r w:rsidRPr="008C0134">
        <w:t>10.</w:t>
      </w:r>
      <w:r w:rsidRPr="008C0134">
        <w:tab/>
        <w:t xml:space="preserve">Furthermore, even if the witness had conceded that he did not know the precise circumstances of how the Appellant was trafficked to the United Kingdom, the evidence indicated that </w:t>
      </w:r>
      <w:r w:rsidR="00B167A5" w:rsidRPr="008C0134">
        <w:t>at le</w:t>
      </w:r>
      <w:r w:rsidR="00B16ED1" w:rsidRPr="008C0134">
        <w:t>a</w:t>
      </w:r>
      <w:r w:rsidR="00B167A5" w:rsidRPr="008C0134">
        <w:t xml:space="preserve">st one </w:t>
      </w:r>
      <w:r w:rsidRPr="008C0134">
        <w:t>family member</w:t>
      </w:r>
      <w:r w:rsidR="00B167A5" w:rsidRPr="008C0134">
        <w:t xml:space="preserve"> was</w:t>
      </w:r>
      <w:r w:rsidRPr="008C0134">
        <w:t xml:space="preserve"> involved and profited from it. Therefore, the finding by the First-tier Tribunal Judge that the Appellant had not been abandoned by her family was a perverse one. It also renders the First-tier Tribunal Judge’s finding</w:t>
      </w:r>
      <w:r w:rsidR="00B16ED1" w:rsidRPr="008C0134">
        <w:t xml:space="preserve">s </w:t>
      </w:r>
      <w:r w:rsidRPr="008C0134">
        <w:t xml:space="preserve">for the purposes of </w:t>
      </w:r>
      <w:r w:rsidRPr="008C0134">
        <w:rPr>
          <w:i/>
        </w:rPr>
        <w:t xml:space="preserve">SM (lone women – ostracism) Pakistan </w:t>
      </w:r>
      <w:r w:rsidRPr="008C0134">
        <w:t xml:space="preserve">[2016] UKUT 67 (IAC) unsustainable. </w:t>
      </w:r>
      <w:r w:rsidR="00306680" w:rsidRPr="008C0134">
        <w:t xml:space="preserve"> </w:t>
      </w:r>
    </w:p>
    <w:p w:rsidR="00E57ECF" w:rsidRPr="008C0134" w:rsidRDefault="00E57ECF" w:rsidP="00E57ECF">
      <w:pPr>
        <w:suppressAutoHyphens/>
        <w:ind w:left="567" w:hanging="567"/>
        <w:jc w:val="both"/>
      </w:pPr>
    </w:p>
    <w:p w:rsidR="00660F1A" w:rsidRPr="008C0134" w:rsidRDefault="00660F1A" w:rsidP="00660F1A">
      <w:pPr>
        <w:ind w:left="2265" w:hanging="2265"/>
      </w:pPr>
    </w:p>
    <w:p w:rsidR="007B25C0" w:rsidRPr="008C0134" w:rsidRDefault="007B25C0" w:rsidP="007B25C0">
      <w:pPr>
        <w:spacing w:line="360" w:lineRule="auto"/>
        <w:ind w:left="567" w:hanging="567"/>
        <w:jc w:val="both"/>
      </w:pPr>
      <w:r w:rsidRPr="008C0134">
        <w:t>1</w:t>
      </w:r>
      <w:r w:rsidR="00587703" w:rsidRPr="008C0134">
        <w:t>1</w:t>
      </w:r>
      <w:r w:rsidRPr="008C0134">
        <w:t>.</w:t>
      </w:r>
      <w:r w:rsidRPr="008C0134">
        <w:tab/>
        <w:t xml:space="preserve">As a consequence, there were errors of law in First-tier Tribunal Judge </w:t>
      </w:r>
      <w:r w:rsidR="000442CA" w:rsidRPr="008C0134">
        <w:t xml:space="preserve">Greasley’s </w:t>
      </w:r>
      <w:r w:rsidRPr="008C0134">
        <w:t>decision.</w:t>
      </w:r>
    </w:p>
    <w:p w:rsidR="007B25C0" w:rsidRPr="008C0134" w:rsidRDefault="007B25C0" w:rsidP="007B25C0">
      <w:pPr>
        <w:spacing w:line="360" w:lineRule="auto"/>
        <w:ind w:left="567" w:hanging="567"/>
        <w:jc w:val="both"/>
      </w:pPr>
    </w:p>
    <w:p w:rsidR="00973CD0" w:rsidRPr="008C0134" w:rsidRDefault="00973CD0" w:rsidP="00E25D2E">
      <w:pPr>
        <w:spacing w:line="360" w:lineRule="auto"/>
        <w:ind w:left="567" w:hanging="567"/>
        <w:jc w:val="both"/>
        <w:rPr>
          <w:b/>
        </w:rPr>
      </w:pPr>
      <w:r w:rsidRPr="008C0134">
        <w:rPr>
          <w:b/>
        </w:rPr>
        <w:t>Decision</w:t>
      </w:r>
    </w:p>
    <w:p w:rsidR="00973CD0" w:rsidRPr="008C0134" w:rsidRDefault="00973CD0" w:rsidP="00E25D2E">
      <w:pPr>
        <w:spacing w:line="360" w:lineRule="auto"/>
        <w:ind w:left="567" w:hanging="567"/>
        <w:jc w:val="both"/>
        <w:rPr>
          <w:b/>
        </w:rPr>
      </w:pPr>
    </w:p>
    <w:p w:rsidR="00973CD0" w:rsidRPr="008C0134" w:rsidRDefault="00973CD0" w:rsidP="00E25D2E">
      <w:pPr>
        <w:spacing w:line="360" w:lineRule="auto"/>
        <w:ind w:left="567" w:hanging="567"/>
        <w:jc w:val="both"/>
      </w:pPr>
      <w:r w:rsidRPr="008C0134">
        <w:t>(1)</w:t>
      </w:r>
      <w:r w:rsidRPr="008C0134">
        <w:tab/>
        <w:t>The appeal is allowed.</w:t>
      </w:r>
    </w:p>
    <w:p w:rsidR="00973CD0" w:rsidRPr="008C0134" w:rsidRDefault="00973CD0" w:rsidP="00E25D2E">
      <w:pPr>
        <w:spacing w:line="360" w:lineRule="auto"/>
        <w:ind w:left="567" w:hanging="567"/>
        <w:jc w:val="both"/>
      </w:pPr>
    </w:p>
    <w:p w:rsidR="00973CD0" w:rsidRPr="008C0134" w:rsidRDefault="00973CD0" w:rsidP="00E25D2E">
      <w:pPr>
        <w:spacing w:line="360" w:lineRule="auto"/>
        <w:ind w:left="567" w:hanging="567"/>
        <w:jc w:val="both"/>
      </w:pPr>
      <w:r w:rsidRPr="008C0134">
        <w:t>(2)</w:t>
      </w:r>
      <w:r w:rsidRPr="008C0134">
        <w:tab/>
        <w:t xml:space="preserve">The decision of First-tier Tribunal Judge </w:t>
      </w:r>
      <w:r w:rsidR="000442CA" w:rsidRPr="008C0134">
        <w:t>Greasley</w:t>
      </w:r>
      <w:r w:rsidR="009B5681" w:rsidRPr="008C0134">
        <w:t xml:space="preserve"> is set aside. </w:t>
      </w:r>
    </w:p>
    <w:p w:rsidR="003257CA" w:rsidRPr="008C0134" w:rsidRDefault="003257CA" w:rsidP="00E25D2E">
      <w:pPr>
        <w:spacing w:line="360" w:lineRule="auto"/>
        <w:ind w:left="567" w:hanging="567"/>
        <w:jc w:val="both"/>
      </w:pPr>
    </w:p>
    <w:p w:rsidR="003257CA" w:rsidRPr="008C0134" w:rsidRDefault="003257CA" w:rsidP="00026E39">
      <w:pPr>
        <w:ind w:left="567" w:hanging="567"/>
        <w:jc w:val="both"/>
      </w:pPr>
      <w:r w:rsidRPr="008C0134">
        <w:t>(</w:t>
      </w:r>
      <w:r w:rsidR="009B5681" w:rsidRPr="008C0134">
        <w:t>3</w:t>
      </w:r>
      <w:r w:rsidRPr="008C0134">
        <w:t>)</w:t>
      </w:r>
      <w:r w:rsidRPr="008C0134">
        <w:tab/>
      </w:r>
      <w:r w:rsidR="006B2C82" w:rsidRPr="008C0134">
        <w:t xml:space="preserve">The appeal is remitted to the First-tier Tribunal </w:t>
      </w:r>
      <w:r w:rsidR="00175141" w:rsidRPr="008C0134">
        <w:t xml:space="preserve">in Manchester </w:t>
      </w:r>
      <w:r w:rsidR="006B2C82" w:rsidRPr="008C0134">
        <w:t xml:space="preserve">to be heard </w:t>
      </w:r>
      <w:r w:rsidR="006B2C82" w:rsidRPr="008C0134">
        <w:rPr>
          <w:i/>
        </w:rPr>
        <w:t xml:space="preserve">de novo </w:t>
      </w:r>
      <w:r w:rsidR="006B2C82" w:rsidRPr="008C0134">
        <w:t>before a First-tier Tribunal Judge other than First-tier Tribunal Judge</w:t>
      </w:r>
      <w:r w:rsidR="000442CA" w:rsidRPr="008C0134">
        <w:t xml:space="preserve"> Greasley</w:t>
      </w:r>
      <w:r w:rsidR="006B2C82" w:rsidRPr="008C0134">
        <w:t>.</w:t>
      </w:r>
      <w:r w:rsidRPr="008C0134">
        <w:t xml:space="preserve">   </w:t>
      </w:r>
    </w:p>
    <w:p w:rsidR="003257CA" w:rsidRPr="008C0134" w:rsidRDefault="003257CA" w:rsidP="00026E39">
      <w:pPr>
        <w:ind w:left="567" w:hanging="567"/>
        <w:jc w:val="both"/>
      </w:pPr>
    </w:p>
    <w:p w:rsidR="003257CA" w:rsidRPr="008C0134" w:rsidRDefault="003257CA" w:rsidP="00026E39">
      <w:pPr>
        <w:ind w:left="567" w:hanging="567"/>
        <w:jc w:val="both"/>
      </w:pPr>
    </w:p>
    <w:p w:rsidR="003257CA" w:rsidRPr="008C0134" w:rsidRDefault="003257CA" w:rsidP="00026E39">
      <w:pPr>
        <w:ind w:left="567" w:hanging="567"/>
        <w:jc w:val="both"/>
      </w:pPr>
      <w:bookmarkStart w:id="0" w:name="_GoBack"/>
      <w:bookmarkEnd w:id="0"/>
    </w:p>
    <w:p w:rsidR="003257CA" w:rsidRPr="008C0134" w:rsidRDefault="003257CA" w:rsidP="00026E39">
      <w:pPr>
        <w:jc w:val="both"/>
        <w:rPr>
          <w:rFonts w:ascii="Lucida Handwriting" w:hAnsi="Lucida Handwriting"/>
          <w:sz w:val="40"/>
        </w:rPr>
      </w:pPr>
      <w:r w:rsidRPr="008C0134">
        <w:rPr>
          <w:rFonts w:ascii="Lucida Handwriting" w:hAnsi="Lucida Handwriting"/>
          <w:sz w:val="40"/>
        </w:rPr>
        <w:t>Nadine Finch</w:t>
      </w:r>
    </w:p>
    <w:p w:rsidR="003257CA" w:rsidRPr="008C0134" w:rsidRDefault="003257CA" w:rsidP="00026E39">
      <w:pPr>
        <w:jc w:val="both"/>
      </w:pPr>
    </w:p>
    <w:p w:rsidR="003257CA" w:rsidRPr="008C0134" w:rsidRDefault="003257CA" w:rsidP="00026E39">
      <w:pPr>
        <w:ind w:left="567" w:hanging="567"/>
        <w:jc w:val="both"/>
      </w:pPr>
    </w:p>
    <w:p w:rsidR="003257CA" w:rsidRPr="008C0134" w:rsidRDefault="003257CA" w:rsidP="00847259">
      <w:pPr>
        <w:jc w:val="both"/>
      </w:pPr>
      <w:r w:rsidRPr="008C0134">
        <w:t>Signed</w:t>
      </w:r>
      <w:r w:rsidRPr="008C0134">
        <w:tab/>
      </w:r>
      <w:r w:rsidRPr="008C0134">
        <w:tab/>
      </w:r>
      <w:r w:rsidRPr="008C0134">
        <w:tab/>
      </w:r>
      <w:r w:rsidRPr="008C0134">
        <w:tab/>
      </w:r>
      <w:r w:rsidRPr="008C0134">
        <w:tab/>
      </w:r>
      <w:r w:rsidRPr="008C0134">
        <w:tab/>
      </w:r>
      <w:r w:rsidRPr="008C0134">
        <w:tab/>
      </w:r>
      <w:r w:rsidRPr="008C0134">
        <w:tab/>
        <w:t xml:space="preserve">Date </w:t>
      </w:r>
      <w:r w:rsidR="00B57329" w:rsidRPr="008C0134">
        <w:t>6 August</w:t>
      </w:r>
      <w:r w:rsidRPr="008C0134">
        <w:t xml:space="preserve"> 2018</w:t>
      </w:r>
    </w:p>
    <w:p w:rsidR="003257CA" w:rsidRPr="008C0134" w:rsidRDefault="003257CA" w:rsidP="00847259">
      <w:pPr>
        <w:jc w:val="both"/>
      </w:pPr>
    </w:p>
    <w:p w:rsidR="003257CA" w:rsidRPr="008C0134" w:rsidRDefault="003257CA" w:rsidP="00847259">
      <w:pPr>
        <w:jc w:val="both"/>
        <w:rPr>
          <w:color w:val="000000"/>
        </w:rPr>
      </w:pPr>
      <w:r w:rsidRPr="008C0134">
        <w:rPr>
          <w:color w:val="000000"/>
        </w:rPr>
        <w:t xml:space="preserve">Upper Tribunal Judge Finch </w:t>
      </w:r>
    </w:p>
    <w:p w:rsidR="003257CA" w:rsidRPr="008C0134" w:rsidRDefault="003257CA" w:rsidP="00847259">
      <w:pPr>
        <w:jc w:val="both"/>
        <w:rPr>
          <w:color w:val="000000"/>
        </w:rPr>
      </w:pPr>
    </w:p>
    <w:p w:rsidR="003257CA" w:rsidRPr="008C0134" w:rsidRDefault="003257CA" w:rsidP="00847259">
      <w:pPr>
        <w:jc w:val="both"/>
        <w:rPr>
          <w:color w:val="000000"/>
        </w:rPr>
      </w:pPr>
    </w:p>
    <w:sectPr w:rsidR="003257CA" w:rsidRPr="008C0134" w:rsidSect="008C0134">
      <w:headerReference w:type="default" r:id="rId8"/>
      <w:footerReference w:type="defaul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777" w:rsidRDefault="00407777">
      <w:r>
        <w:separator/>
      </w:r>
    </w:p>
  </w:endnote>
  <w:endnote w:type="continuationSeparator" w:id="0">
    <w:p w:rsidR="00407777" w:rsidRDefault="0040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427813"/>
      <w:docPartObj>
        <w:docPartGallery w:val="Page Numbers (Bottom of Page)"/>
        <w:docPartUnique/>
      </w:docPartObj>
    </w:sdtPr>
    <w:sdtEndPr>
      <w:rPr>
        <w:noProof/>
      </w:rPr>
    </w:sdtEndPr>
    <w:sdtContent>
      <w:p w:rsidR="00FD0609" w:rsidRPr="008C0134" w:rsidRDefault="00FD0609">
        <w:pPr>
          <w:pStyle w:val="Footer"/>
          <w:jc w:val="center"/>
        </w:pPr>
        <w:r w:rsidRPr="008C0134">
          <w:fldChar w:fldCharType="begin"/>
        </w:r>
        <w:r w:rsidRPr="008C0134">
          <w:instrText xml:space="preserve"> PAGE   \* MERGEFORMAT </w:instrText>
        </w:r>
        <w:r w:rsidRPr="008C0134">
          <w:fldChar w:fldCharType="separate"/>
        </w:r>
        <w:r w:rsidR="00A37106">
          <w:rPr>
            <w:noProof/>
          </w:rPr>
          <w:t>5</w:t>
        </w:r>
        <w:r w:rsidRPr="008C0134">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8C0134" w:rsidRDefault="003257CA" w:rsidP="00A82254">
    <w:pPr>
      <w:jc w:val="center"/>
      <w:rPr>
        <w:b/>
      </w:rPr>
    </w:pPr>
    <w:r w:rsidRPr="008C0134">
      <w:rPr>
        <w:b/>
        <w:spacing w:val="-6"/>
      </w:rPr>
      <w:t>©</w:t>
    </w:r>
    <w:r w:rsidR="00FD0609" w:rsidRPr="008C0134">
      <w:rPr>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777" w:rsidRDefault="00407777">
      <w:r>
        <w:separator/>
      </w:r>
    </w:p>
  </w:footnote>
  <w:footnote w:type="continuationSeparator" w:id="0">
    <w:p w:rsidR="00407777" w:rsidRDefault="0040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FD0609" w:rsidP="00FD0609">
    <w:pPr>
      <w:tabs>
        <w:tab w:val="right" w:pos="9638"/>
      </w:tabs>
      <w:rPr>
        <w:color w:val="000000"/>
        <w:sz w:val="16"/>
        <w:szCs w:val="16"/>
      </w:rPr>
    </w:pPr>
    <w:r>
      <w:rPr>
        <w:rFonts w:ascii="Book Antiqua" w:hAnsi="Book Antiqua" w:cs="Arial"/>
        <w:caps/>
        <w:color w:val="000000"/>
        <w:sz w:val="20"/>
        <w:szCs w:val="20"/>
      </w:rPr>
      <w:tab/>
    </w:r>
    <w:r w:rsidR="003257CA" w:rsidRPr="008C0134">
      <w:rPr>
        <w:color w:val="000000"/>
        <w:sz w:val="16"/>
        <w:szCs w:val="16"/>
      </w:rPr>
      <w:t>Appeal Numbe</w:t>
    </w:r>
    <w:r w:rsidR="00CB6CFF" w:rsidRPr="008C0134">
      <w:rPr>
        <w:color w:val="000000"/>
        <w:sz w:val="16"/>
        <w:szCs w:val="16"/>
      </w:rPr>
      <w:t>r</w:t>
    </w:r>
    <w:r w:rsidR="007B3613" w:rsidRPr="008C0134">
      <w:rPr>
        <w:color w:val="000000"/>
        <w:sz w:val="16"/>
        <w:szCs w:val="16"/>
      </w:rPr>
      <w:t xml:space="preserve"> </w:t>
    </w:r>
    <w:r w:rsidRPr="008C0134">
      <w:rPr>
        <w:color w:val="000000"/>
        <w:sz w:val="16"/>
        <w:szCs w:val="16"/>
      </w:rPr>
      <w:t>PA</w:t>
    </w:r>
    <w:r w:rsidR="006F50BC" w:rsidRPr="008C0134">
      <w:rPr>
        <w:color w:val="000000"/>
        <w:sz w:val="16"/>
        <w:szCs w:val="16"/>
      </w:rPr>
      <w:t>/04339/2018</w:t>
    </w:r>
  </w:p>
  <w:p w:rsidR="008C0134" w:rsidRPr="008C0134" w:rsidRDefault="008C0134" w:rsidP="00FD0609">
    <w:pPr>
      <w:tabs>
        <w:tab w:val="right" w:pos="9638"/>
      </w:tabs>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4AAB5766"/>
    <w:multiLevelType w:val="hybridMultilevel"/>
    <w:tmpl w:val="B46ABF72"/>
    <w:lvl w:ilvl="0" w:tplc="F8242D1A">
      <w:start w:val="1"/>
      <w:numFmt w:val="decimal"/>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start w:val="1"/>
      <w:numFmt w:val="lowerRoman"/>
      <w:lvlText w:val="%3."/>
      <w:lvlJc w:val="right"/>
      <w:pPr>
        <w:tabs>
          <w:tab w:val="num" w:pos="2084"/>
        </w:tabs>
        <w:ind w:left="2084" w:hanging="180"/>
      </w:pPr>
    </w:lvl>
    <w:lvl w:ilvl="3" w:tplc="0809000F">
      <w:start w:val="1"/>
      <w:numFmt w:val="decimal"/>
      <w:lvlText w:val="%4."/>
      <w:lvlJc w:val="left"/>
      <w:pPr>
        <w:tabs>
          <w:tab w:val="num" w:pos="2804"/>
        </w:tabs>
        <w:ind w:left="2804" w:hanging="360"/>
      </w:pPr>
    </w:lvl>
    <w:lvl w:ilvl="4" w:tplc="08090019">
      <w:start w:val="1"/>
      <w:numFmt w:val="lowerLetter"/>
      <w:lvlText w:val="%5."/>
      <w:lvlJc w:val="left"/>
      <w:pPr>
        <w:tabs>
          <w:tab w:val="num" w:pos="3524"/>
        </w:tabs>
        <w:ind w:left="3524" w:hanging="360"/>
      </w:pPr>
    </w:lvl>
    <w:lvl w:ilvl="5" w:tplc="0809001B">
      <w:start w:val="1"/>
      <w:numFmt w:val="lowerRoman"/>
      <w:lvlText w:val="%6."/>
      <w:lvlJc w:val="right"/>
      <w:pPr>
        <w:tabs>
          <w:tab w:val="num" w:pos="4244"/>
        </w:tabs>
        <w:ind w:left="4244" w:hanging="180"/>
      </w:pPr>
    </w:lvl>
    <w:lvl w:ilvl="6" w:tplc="0809000F">
      <w:start w:val="1"/>
      <w:numFmt w:val="decimal"/>
      <w:lvlText w:val="%7."/>
      <w:lvlJc w:val="left"/>
      <w:pPr>
        <w:tabs>
          <w:tab w:val="num" w:pos="4964"/>
        </w:tabs>
        <w:ind w:left="4964" w:hanging="360"/>
      </w:pPr>
    </w:lvl>
    <w:lvl w:ilvl="7" w:tplc="08090019">
      <w:start w:val="1"/>
      <w:numFmt w:val="lowerLetter"/>
      <w:lvlText w:val="%8."/>
      <w:lvlJc w:val="left"/>
      <w:pPr>
        <w:tabs>
          <w:tab w:val="num" w:pos="5684"/>
        </w:tabs>
        <w:ind w:left="5684" w:hanging="360"/>
      </w:pPr>
    </w:lvl>
    <w:lvl w:ilvl="8" w:tplc="0809001B">
      <w:start w:val="1"/>
      <w:numFmt w:val="lowerRoman"/>
      <w:lvlText w:val="%9."/>
      <w:lvlJc w:val="right"/>
      <w:pPr>
        <w:tabs>
          <w:tab w:val="num" w:pos="6404"/>
        </w:tabs>
        <w:ind w:left="6404" w:hanging="180"/>
      </w:pPr>
    </w:lvl>
  </w:abstractNum>
  <w:abstractNum w:abstractNumId="5"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8"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0"/>
  </w:num>
  <w:num w:numId="5">
    <w:abstractNumId w:val="6"/>
  </w:num>
  <w:num w:numId="6">
    <w:abstractNumId w:val="2"/>
  </w:num>
  <w:num w:numId="7">
    <w:abstractNumId w:val="5"/>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41C8"/>
    <w:rsid w:val="00005C5B"/>
    <w:rsid w:val="00011849"/>
    <w:rsid w:val="00011C5D"/>
    <w:rsid w:val="00013EFF"/>
    <w:rsid w:val="00014893"/>
    <w:rsid w:val="00016BC5"/>
    <w:rsid w:val="00025E48"/>
    <w:rsid w:val="00026E39"/>
    <w:rsid w:val="00033D3D"/>
    <w:rsid w:val="0003772C"/>
    <w:rsid w:val="00040A6C"/>
    <w:rsid w:val="00042156"/>
    <w:rsid w:val="000428C0"/>
    <w:rsid w:val="000442CA"/>
    <w:rsid w:val="00045E7E"/>
    <w:rsid w:val="00046575"/>
    <w:rsid w:val="00052233"/>
    <w:rsid w:val="00062F02"/>
    <w:rsid w:val="00071A7E"/>
    <w:rsid w:val="000746C0"/>
    <w:rsid w:val="0007473F"/>
    <w:rsid w:val="000747FB"/>
    <w:rsid w:val="00074D1D"/>
    <w:rsid w:val="000771B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7E4D"/>
    <w:rsid w:val="000D4BC9"/>
    <w:rsid w:val="000D5D94"/>
    <w:rsid w:val="000E3A77"/>
    <w:rsid w:val="000E44A8"/>
    <w:rsid w:val="000F1A0E"/>
    <w:rsid w:val="0010028C"/>
    <w:rsid w:val="00100617"/>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946"/>
    <w:rsid w:val="00174D95"/>
    <w:rsid w:val="00175141"/>
    <w:rsid w:val="00176B08"/>
    <w:rsid w:val="00183704"/>
    <w:rsid w:val="0018739D"/>
    <w:rsid w:val="001971C8"/>
    <w:rsid w:val="001A19A9"/>
    <w:rsid w:val="001A2558"/>
    <w:rsid w:val="001A3082"/>
    <w:rsid w:val="001B091F"/>
    <w:rsid w:val="001B186A"/>
    <w:rsid w:val="001B2F75"/>
    <w:rsid w:val="001B5021"/>
    <w:rsid w:val="001B6A67"/>
    <w:rsid w:val="001B768F"/>
    <w:rsid w:val="001C4EB3"/>
    <w:rsid w:val="001C74AC"/>
    <w:rsid w:val="001D07BD"/>
    <w:rsid w:val="001F245E"/>
    <w:rsid w:val="001F2716"/>
    <w:rsid w:val="00200BD4"/>
    <w:rsid w:val="00203467"/>
    <w:rsid w:val="002035ED"/>
    <w:rsid w:val="00206D4A"/>
    <w:rsid w:val="00207617"/>
    <w:rsid w:val="0021618E"/>
    <w:rsid w:val="002165E3"/>
    <w:rsid w:val="00217865"/>
    <w:rsid w:val="00224D49"/>
    <w:rsid w:val="0022735C"/>
    <w:rsid w:val="0023134B"/>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A5013"/>
    <w:rsid w:val="002A7774"/>
    <w:rsid w:val="002A78E2"/>
    <w:rsid w:val="002B342D"/>
    <w:rsid w:val="002B3709"/>
    <w:rsid w:val="002C6BD4"/>
    <w:rsid w:val="002D083B"/>
    <w:rsid w:val="002D0E6D"/>
    <w:rsid w:val="002D56FD"/>
    <w:rsid w:val="002D68BF"/>
    <w:rsid w:val="002D6C34"/>
    <w:rsid w:val="002E7EA9"/>
    <w:rsid w:val="002F0F14"/>
    <w:rsid w:val="002F6B98"/>
    <w:rsid w:val="002F7BBB"/>
    <w:rsid w:val="00300D36"/>
    <w:rsid w:val="00300EFA"/>
    <w:rsid w:val="00303BAF"/>
    <w:rsid w:val="00306680"/>
    <w:rsid w:val="00321375"/>
    <w:rsid w:val="00322667"/>
    <w:rsid w:val="003257CA"/>
    <w:rsid w:val="003343B2"/>
    <w:rsid w:val="00335630"/>
    <w:rsid w:val="00335737"/>
    <w:rsid w:val="00336CBF"/>
    <w:rsid w:val="00343FE3"/>
    <w:rsid w:val="0034796B"/>
    <w:rsid w:val="00353B0E"/>
    <w:rsid w:val="003546C8"/>
    <w:rsid w:val="003626A1"/>
    <w:rsid w:val="00363410"/>
    <w:rsid w:val="003645B5"/>
    <w:rsid w:val="0037519F"/>
    <w:rsid w:val="00376618"/>
    <w:rsid w:val="00376763"/>
    <w:rsid w:val="003817B4"/>
    <w:rsid w:val="00384748"/>
    <w:rsid w:val="003863F7"/>
    <w:rsid w:val="00390A01"/>
    <w:rsid w:val="00394E67"/>
    <w:rsid w:val="00395C30"/>
    <w:rsid w:val="003A0375"/>
    <w:rsid w:val="003A447D"/>
    <w:rsid w:val="003A7CF2"/>
    <w:rsid w:val="003C5CE5"/>
    <w:rsid w:val="003D3F1E"/>
    <w:rsid w:val="003D461D"/>
    <w:rsid w:val="003D549E"/>
    <w:rsid w:val="003E267B"/>
    <w:rsid w:val="003E3C30"/>
    <w:rsid w:val="003E7CC8"/>
    <w:rsid w:val="003E7CD1"/>
    <w:rsid w:val="003F4C61"/>
    <w:rsid w:val="00401DA1"/>
    <w:rsid w:val="00402B9E"/>
    <w:rsid w:val="00404B61"/>
    <w:rsid w:val="00407777"/>
    <w:rsid w:val="00411CC8"/>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4DE1"/>
    <w:rsid w:val="004672C1"/>
    <w:rsid w:val="00471E3C"/>
    <w:rsid w:val="00473BE7"/>
    <w:rsid w:val="00477193"/>
    <w:rsid w:val="00484940"/>
    <w:rsid w:val="004931D1"/>
    <w:rsid w:val="004A00B4"/>
    <w:rsid w:val="004A1848"/>
    <w:rsid w:val="004A1985"/>
    <w:rsid w:val="004A34EE"/>
    <w:rsid w:val="004A39D5"/>
    <w:rsid w:val="004A6F4A"/>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1CDD"/>
    <w:rsid w:val="0050334D"/>
    <w:rsid w:val="0050388A"/>
    <w:rsid w:val="00507FEC"/>
    <w:rsid w:val="00510339"/>
    <w:rsid w:val="00510F0E"/>
    <w:rsid w:val="00511050"/>
    <w:rsid w:val="0051653A"/>
    <w:rsid w:val="00516A49"/>
    <w:rsid w:val="005171BD"/>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5359"/>
    <w:rsid w:val="005661A7"/>
    <w:rsid w:val="0056624B"/>
    <w:rsid w:val="00571979"/>
    <w:rsid w:val="0057790C"/>
    <w:rsid w:val="00587703"/>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E64E1"/>
    <w:rsid w:val="005F3EB4"/>
    <w:rsid w:val="005F7557"/>
    <w:rsid w:val="00601D8F"/>
    <w:rsid w:val="00602C67"/>
    <w:rsid w:val="00602FB3"/>
    <w:rsid w:val="0060435A"/>
    <w:rsid w:val="00604A30"/>
    <w:rsid w:val="00606611"/>
    <w:rsid w:val="00610B20"/>
    <w:rsid w:val="0062078F"/>
    <w:rsid w:val="00627B05"/>
    <w:rsid w:val="0063325D"/>
    <w:rsid w:val="00636BB7"/>
    <w:rsid w:val="006408F7"/>
    <w:rsid w:val="00643D0C"/>
    <w:rsid w:val="00643F31"/>
    <w:rsid w:val="00646D54"/>
    <w:rsid w:val="006479DD"/>
    <w:rsid w:val="00652381"/>
    <w:rsid w:val="00653E97"/>
    <w:rsid w:val="00660F1A"/>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E0E00"/>
    <w:rsid w:val="006E47C4"/>
    <w:rsid w:val="006F2CF1"/>
    <w:rsid w:val="006F50BC"/>
    <w:rsid w:val="006F73F1"/>
    <w:rsid w:val="00701A03"/>
    <w:rsid w:val="00702792"/>
    <w:rsid w:val="00702B91"/>
    <w:rsid w:val="00703184"/>
    <w:rsid w:val="007038ED"/>
    <w:rsid w:val="00703BC3"/>
    <w:rsid w:val="00704B61"/>
    <w:rsid w:val="00704F53"/>
    <w:rsid w:val="00705AFB"/>
    <w:rsid w:val="00724968"/>
    <w:rsid w:val="00725575"/>
    <w:rsid w:val="007276FF"/>
    <w:rsid w:val="00727FFD"/>
    <w:rsid w:val="007326A3"/>
    <w:rsid w:val="00736820"/>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5C0"/>
    <w:rsid w:val="007B2BD6"/>
    <w:rsid w:val="007B3613"/>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303B8"/>
    <w:rsid w:val="00830810"/>
    <w:rsid w:val="00831918"/>
    <w:rsid w:val="00831E27"/>
    <w:rsid w:val="00833D8D"/>
    <w:rsid w:val="00833DCE"/>
    <w:rsid w:val="00841072"/>
    <w:rsid w:val="00845B37"/>
    <w:rsid w:val="00847259"/>
    <w:rsid w:val="008478F6"/>
    <w:rsid w:val="008516F1"/>
    <w:rsid w:val="008537F9"/>
    <w:rsid w:val="00854534"/>
    <w:rsid w:val="00854894"/>
    <w:rsid w:val="008566D0"/>
    <w:rsid w:val="0086738E"/>
    <w:rsid w:val="00871063"/>
    <w:rsid w:val="00871D34"/>
    <w:rsid w:val="00874D45"/>
    <w:rsid w:val="0087528C"/>
    <w:rsid w:val="00877198"/>
    <w:rsid w:val="0088066F"/>
    <w:rsid w:val="00881860"/>
    <w:rsid w:val="00891016"/>
    <w:rsid w:val="0089348F"/>
    <w:rsid w:val="0089553D"/>
    <w:rsid w:val="00897C8C"/>
    <w:rsid w:val="008A2695"/>
    <w:rsid w:val="008A7E3E"/>
    <w:rsid w:val="008B270C"/>
    <w:rsid w:val="008B2F0F"/>
    <w:rsid w:val="008B5078"/>
    <w:rsid w:val="008C0134"/>
    <w:rsid w:val="008C12BC"/>
    <w:rsid w:val="008C3D3D"/>
    <w:rsid w:val="008D1135"/>
    <w:rsid w:val="008D4131"/>
    <w:rsid w:val="008D47C3"/>
    <w:rsid w:val="008E0286"/>
    <w:rsid w:val="008E32A8"/>
    <w:rsid w:val="008E7B93"/>
    <w:rsid w:val="008F1932"/>
    <w:rsid w:val="008F1BDC"/>
    <w:rsid w:val="008F48D0"/>
    <w:rsid w:val="008F4C67"/>
    <w:rsid w:val="008F6C0F"/>
    <w:rsid w:val="00901A46"/>
    <w:rsid w:val="00916910"/>
    <w:rsid w:val="00920EC0"/>
    <w:rsid w:val="00921062"/>
    <w:rsid w:val="00922444"/>
    <w:rsid w:val="009239B0"/>
    <w:rsid w:val="00924D93"/>
    <w:rsid w:val="009276B8"/>
    <w:rsid w:val="009324B2"/>
    <w:rsid w:val="00947565"/>
    <w:rsid w:val="00950F7D"/>
    <w:rsid w:val="009530C8"/>
    <w:rsid w:val="00953E15"/>
    <w:rsid w:val="00954087"/>
    <w:rsid w:val="00956C43"/>
    <w:rsid w:val="009604E6"/>
    <w:rsid w:val="00961434"/>
    <w:rsid w:val="009617A1"/>
    <w:rsid w:val="00963E6D"/>
    <w:rsid w:val="00963F7F"/>
    <w:rsid w:val="00965C3E"/>
    <w:rsid w:val="009722BC"/>
    <w:rsid w:val="009727A3"/>
    <w:rsid w:val="00973CD0"/>
    <w:rsid w:val="00974225"/>
    <w:rsid w:val="009771B1"/>
    <w:rsid w:val="00980665"/>
    <w:rsid w:val="009840B7"/>
    <w:rsid w:val="00984B68"/>
    <w:rsid w:val="00984E64"/>
    <w:rsid w:val="00987774"/>
    <w:rsid w:val="0099516E"/>
    <w:rsid w:val="009A11E8"/>
    <w:rsid w:val="009A244B"/>
    <w:rsid w:val="009A6060"/>
    <w:rsid w:val="009B0A37"/>
    <w:rsid w:val="009B443B"/>
    <w:rsid w:val="009B5681"/>
    <w:rsid w:val="009B7433"/>
    <w:rsid w:val="009C0687"/>
    <w:rsid w:val="009C2E3A"/>
    <w:rsid w:val="009C4AE6"/>
    <w:rsid w:val="009D1EA3"/>
    <w:rsid w:val="009D341B"/>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37106"/>
    <w:rsid w:val="00A40BC5"/>
    <w:rsid w:val="00A44767"/>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B331B"/>
    <w:rsid w:val="00AC1FEB"/>
    <w:rsid w:val="00AC217A"/>
    <w:rsid w:val="00AC6CDD"/>
    <w:rsid w:val="00AD5231"/>
    <w:rsid w:val="00AD7BB2"/>
    <w:rsid w:val="00AE1861"/>
    <w:rsid w:val="00AE47FD"/>
    <w:rsid w:val="00AE6DDE"/>
    <w:rsid w:val="00AE7D0A"/>
    <w:rsid w:val="00AE7D4D"/>
    <w:rsid w:val="00AF6109"/>
    <w:rsid w:val="00B03D62"/>
    <w:rsid w:val="00B04B47"/>
    <w:rsid w:val="00B04BD3"/>
    <w:rsid w:val="00B14A0F"/>
    <w:rsid w:val="00B14DB5"/>
    <w:rsid w:val="00B167A5"/>
    <w:rsid w:val="00B16ED1"/>
    <w:rsid w:val="00B23D2D"/>
    <w:rsid w:val="00B25CB9"/>
    <w:rsid w:val="00B26AA2"/>
    <w:rsid w:val="00B30647"/>
    <w:rsid w:val="00B34549"/>
    <w:rsid w:val="00B3524D"/>
    <w:rsid w:val="00B354CC"/>
    <w:rsid w:val="00B40F69"/>
    <w:rsid w:val="00B40FFF"/>
    <w:rsid w:val="00B44F61"/>
    <w:rsid w:val="00B45945"/>
    <w:rsid w:val="00B46616"/>
    <w:rsid w:val="00B478BC"/>
    <w:rsid w:val="00B50946"/>
    <w:rsid w:val="00B515A8"/>
    <w:rsid w:val="00B5248D"/>
    <w:rsid w:val="00B57329"/>
    <w:rsid w:val="00B601E0"/>
    <w:rsid w:val="00B62149"/>
    <w:rsid w:val="00B7040A"/>
    <w:rsid w:val="00B73518"/>
    <w:rsid w:val="00B83391"/>
    <w:rsid w:val="00B84192"/>
    <w:rsid w:val="00B84A71"/>
    <w:rsid w:val="00B87C01"/>
    <w:rsid w:val="00B93154"/>
    <w:rsid w:val="00B9422C"/>
    <w:rsid w:val="00B95326"/>
    <w:rsid w:val="00B97CED"/>
    <w:rsid w:val="00BA295F"/>
    <w:rsid w:val="00BB5234"/>
    <w:rsid w:val="00BB7A60"/>
    <w:rsid w:val="00BB7C68"/>
    <w:rsid w:val="00BC042A"/>
    <w:rsid w:val="00BC4F9B"/>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1C6A"/>
    <w:rsid w:val="00C63FCE"/>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F20B6"/>
    <w:rsid w:val="00D01A25"/>
    <w:rsid w:val="00D06C8C"/>
    <w:rsid w:val="00D11C22"/>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34A0"/>
    <w:rsid w:val="00D858C5"/>
    <w:rsid w:val="00D85C13"/>
    <w:rsid w:val="00D87AF7"/>
    <w:rsid w:val="00D9111A"/>
    <w:rsid w:val="00D91BE3"/>
    <w:rsid w:val="00D9291A"/>
    <w:rsid w:val="00D9445B"/>
    <w:rsid w:val="00D94AFC"/>
    <w:rsid w:val="00DA31CD"/>
    <w:rsid w:val="00DA3CA5"/>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5000"/>
    <w:rsid w:val="00DE6345"/>
    <w:rsid w:val="00DE7DB7"/>
    <w:rsid w:val="00DF01B2"/>
    <w:rsid w:val="00DF09E9"/>
    <w:rsid w:val="00DF0EC0"/>
    <w:rsid w:val="00DF7CE2"/>
    <w:rsid w:val="00E00973"/>
    <w:rsid w:val="00E00A0A"/>
    <w:rsid w:val="00E03875"/>
    <w:rsid w:val="00E066DE"/>
    <w:rsid w:val="00E07F57"/>
    <w:rsid w:val="00E12920"/>
    <w:rsid w:val="00E142AF"/>
    <w:rsid w:val="00E14C03"/>
    <w:rsid w:val="00E17463"/>
    <w:rsid w:val="00E17E24"/>
    <w:rsid w:val="00E25182"/>
    <w:rsid w:val="00E25D2E"/>
    <w:rsid w:val="00E30683"/>
    <w:rsid w:val="00E453D8"/>
    <w:rsid w:val="00E47401"/>
    <w:rsid w:val="00E50BCE"/>
    <w:rsid w:val="00E51F18"/>
    <w:rsid w:val="00E52B70"/>
    <w:rsid w:val="00E574BF"/>
    <w:rsid w:val="00E57959"/>
    <w:rsid w:val="00E57ECF"/>
    <w:rsid w:val="00E61292"/>
    <w:rsid w:val="00E61AB9"/>
    <w:rsid w:val="00E63C44"/>
    <w:rsid w:val="00E6703A"/>
    <w:rsid w:val="00E67616"/>
    <w:rsid w:val="00E75E86"/>
    <w:rsid w:val="00E77C4D"/>
    <w:rsid w:val="00E81D01"/>
    <w:rsid w:val="00E83B41"/>
    <w:rsid w:val="00E841E4"/>
    <w:rsid w:val="00E845A5"/>
    <w:rsid w:val="00E848CE"/>
    <w:rsid w:val="00E85E57"/>
    <w:rsid w:val="00E95E09"/>
    <w:rsid w:val="00EA4A5B"/>
    <w:rsid w:val="00EA53CE"/>
    <w:rsid w:val="00EB4A6D"/>
    <w:rsid w:val="00EB5DB7"/>
    <w:rsid w:val="00EB5FC7"/>
    <w:rsid w:val="00EB71D2"/>
    <w:rsid w:val="00EB772A"/>
    <w:rsid w:val="00EC0100"/>
    <w:rsid w:val="00EC3926"/>
    <w:rsid w:val="00ED345E"/>
    <w:rsid w:val="00ED5594"/>
    <w:rsid w:val="00ED56AC"/>
    <w:rsid w:val="00ED5C52"/>
    <w:rsid w:val="00ED7C65"/>
    <w:rsid w:val="00EE13E0"/>
    <w:rsid w:val="00EE1E3E"/>
    <w:rsid w:val="00EE45D8"/>
    <w:rsid w:val="00EF488C"/>
    <w:rsid w:val="00EF49CF"/>
    <w:rsid w:val="00F040D9"/>
    <w:rsid w:val="00F10129"/>
    <w:rsid w:val="00F115EC"/>
    <w:rsid w:val="00F15CE3"/>
    <w:rsid w:val="00F179F0"/>
    <w:rsid w:val="00F22EDA"/>
    <w:rsid w:val="00F246FD"/>
    <w:rsid w:val="00F301F6"/>
    <w:rsid w:val="00F34B59"/>
    <w:rsid w:val="00F41E63"/>
    <w:rsid w:val="00F563E7"/>
    <w:rsid w:val="00F63267"/>
    <w:rsid w:val="00F729E6"/>
    <w:rsid w:val="00F74FA7"/>
    <w:rsid w:val="00F75148"/>
    <w:rsid w:val="00F75D7A"/>
    <w:rsid w:val="00F760DA"/>
    <w:rsid w:val="00F84B01"/>
    <w:rsid w:val="00F85BA0"/>
    <w:rsid w:val="00F97364"/>
    <w:rsid w:val="00FA040C"/>
    <w:rsid w:val="00FA1DB5"/>
    <w:rsid w:val="00FA608B"/>
    <w:rsid w:val="00FB05E3"/>
    <w:rsid w:val="00FB66A9"/>
    <w:rsid w:val="00FB6DB1"/>
    <w:rsid w:val="00FC244D"/>
    <w:rsid w:val="00FC4DDB"/>
    <w:rsid w:val="00FD0609"/>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72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1966304529">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7762</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2018-08-24T14:12:00Z</dcterms:created>
  <dcterms:modified xsi:type="dcterms:W3CDTF">2018-08-24T14:12:00Z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