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CCEBF" w14:textId="77777777" w:rsidR="00643BFC" w:rsidRPr="000704BB" w:rsidRDefault="005F5FA3" w:rsidP="00643BFC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6D821E1A" wp14:editId="33C9CB59">
            <wp:extent cx="1043940" cy="90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44796" w14:textId="77777777" w:rsidR="00D94AFC" w:rsidRPr="00F8655C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14:paraId="6D3B02EE" w14:textId="77777777" w:rsidR="00643BFC" w:rsidRPr="000704BB" w:rsidRDefault="0079764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Upper</w:t>
      </w:r>
      <w:r w:rsidR="00643BFC" w:rsidRPr="000704BB">
        <w:rPr>
          <w:rFonts w:ascii="Book Antiqua" w:hAnsi="Book Antiqua" w:cs="Arial"/>
          <w:b/>
          <w:color w:val="000000"/>
        </w:rPr>
        <w:t xml:space="preserve"> Tribunal</w:t>
      </w:r>
    </w:p>
    <w:p w14:paraId="0BEC6292" w14:textId="77777777" w:rsidR="007B0824" w:rsidRDefault="00643BFC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(Immigration and Asylum Chamber)</w:t>
      </w:r>
      <w:r w:rsidR="00DB70AE" w:rsidRPr="000704BB">
        <w:rPr>
          <w:rFonts w:ascii="Book Antiqua" w:hAnsi="Book Antiqua" w:cs="Arial"/>
          <w:b/>
          <w:color w:val="000000"/>
        </w:rPr>
        <w:tab/>
      </w:r>
      <w:r w:rsidR="00B3524D" w:rsidRPr="000704BB">
        <w:rPr>
          <w:rFonts w:ascii="Book Antiqua" w:hAnsi="Book Antiqua" w:cs="Arial"/>
          <w:color w:val="000000"/>
        </w:rPr>
        <w:t>Appeal Number</w:t>
      </w:r>
      <w:r w:rsidR="00926732">
        <w:rPr>
          <w:rFonts w:ascii="Book Antiqua" w:hAnsi="Book Antiqua" w:cs="Arial"/>
          <w:color w:val="000000"/>
        </w:rPr>
        <w:t>s</w:t>
      </w:r>
      <w:r w:rsidR="00D53769" w:rsidRPr="000704BB">
        <w:rPr>
          <w:rFonts w:ascii="Book Antiqua" w:hAnsi="Book Antiqua" w:cs="Arial"/>
          <w:color w:val="000000"/>
        </w:rPr>
        <w:t>:</w:t>
      </w:r>
      <w:r w:rsidR="00B3524D" w:rsidRPr="000704BB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D924FE">
        <w:rPr>
          <w:rFonts w:ascii="Book Antiqua" w:hAnsi="Book Antiqua" w:cs="Arial"/>
          <w:color w:val="000000"/>
        </w:rPr>
        <w:t>PA/04588</w:t>
      </w:r>
      <w:r w:rsidR="001C468E">
        <w:rPr>
          <w:rFonts w:ascii="Book Antiqua" w:hAnsi="Book Antiqua" w:cs="Arial"/>
          <w:color w:val="000000"/>
        </w:rPr>
        <w:t>/2016</w:t>
      </w:r>
      <w:bookmarkEnd w:id="0"/>
    </w:p>
    <w:p w14:paraId="068E2321" w14:textId="77777777" w:rsidR="00971EE2" w:rsidRPr="00024D27" w:rsidRDefault="00971EE2" w:rsidP="006C758F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>
        <w:rPr>
          <w:rFonts w:ascii="Book Antiqua" w:hAnsi="Book Antiqua" w:cs="Arial"/>
          <w:color w:val="000000"/>
        </w:rPr>
        <w:tab/>
      </w:r>
    </w:p>
    <w:p w14:paraId="15E66349" w14:textId="77777777" w:rsidR="00C345E1" w:rsidRPr="000704BB" w:rsidRDefault="00C345E1" w:rsidP="00F8655C">
      <w:pPr>
        <w:rPr>
          <w:rFonts w:ascii="Book Antiqua" w:hAnsi="Book Antiqua" w:cs="Arial"/>
          <w:color w:val="000000"/>
        </w:rPr>
      </w:pPr>
    </w:p>
    <w:p w14:paraId="427BA722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0704BB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1CC7A55C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321F8461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741"/>
        <w:gridCol w:w="3897"/>
      </w:tblGrid>
      <w:tr w:rsidR="00D22636" w:rsidRPr="00675EBD" w14:paraId="18A60E00" w14:textId="77777777" w:rsidTr="00675EBD">
        <w:tc>
          <w:tcPr>
            <w:tcW w:w="5868" w:type="dxa"/>
            <w:shd w:val="clear" w:color="auto" w:fill="auto"/>
          </w:tcPr>
          <w:p w14:paraId="7E263B6D" w14:textId="77777777" w:rsidR="00D22636" w:rsidRPr="00675EBD" w:rsidRDefault="00D924FE" w:rsidP="00675EBD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Decided on the papers</w:t>
            </w:r>
          </w:p>
        </w:tc>
        <w:tc>
          <w:tcPr>
            <w:tcW w:w="3960" w:type="dxa"/>
            <w:shd w:val="clear" w:color="auto" w:fill="auto"/>
          </w:tcPr>
          <w:p w14:paraId="1BC2BBA9" w14:textId="77777777" w:rsidR="00D22636" w:rsidRPr="00675EBD" w:rsidRDefault="00265B39" w:rsidP="00675EB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675EBD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675EBD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675EBD" w14:paraId="3A4B223F" w14:textId="77777777" w:rsidTr="00675EBD">
        <w:tc>
          <w:tcPr>
            <w:tcW w:w="5868" w:type="dxa"/>
            <w:shd w:val="clear" w:color="auto" w:fill="auto"/>
          </w:tcPr>
          <w:p w14:paraId="3573D40B" w14:textId="77777777" w:rsidR="00D22636" w:rsidRPr="00675EBD" w:rsidRDefault="00D22636" w:rsidP="00675EBD">
            <w:pPr>
              <w:jc w:val="both"/>
              <w:rPr>
                <w:rFonts w:ascii="Book Antiqua" w:hAnsi="Book Antiqua" w:cs="Arial"/>
                <w:b/>
              </w:rPr>
            </w:pPr>
            <w:r w:rsidRPr="00675EBD">
              <w:rPr>
                <w:rFonts w:ascii="Book Antiqua" w:hAnsi="Book Antiqua" w:cs="Arial"/>
                <w:b/>
              </w:rPr>
              <w:t xml:space="preserve">On </w:t>
            </w:r>
            <w:r w:rsidR="001C468E">
              <w:rPr>
                <w:rFonts w:ascii="Book Antiqua" w:hAnsi="Book Antiqua" w:cs="Arial"/>
                <w:b/>
              </w:rPr>
              <w:t>18 May</w:t>
            </w:r>
            <w:r w:rsidR="00D15652">
              <w:rPr>
                <w:rFonts w:ascii="Book Antiqua" w:hAnsi="Book Antiqua" w:cs="Arial"/>
                <w:b/>
              </w:rPr>
              <w:t xml:space="preserve"> 2018</w:t>
            </w:r>
          </w:p>
        </w:tc>
        <w:tc>
          <w:tcPr>
            <w:tcW w:w="3960" w:type="dxa"/>
            <w:shd w:val="clear" w:color="auto" w:fill="auto"/>
          </w:tcPr>
          <w:p w14:paraId="379A6CC2" w14:textId="77777777" w:rsidR="00D22636" w:rsidRPr="00675EBD" w:rsidRDefault="003E33A9" w:rsidP="00675EBD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23 May 2018</w:t>
            </w:r>
          </w:p>
        </w:tc>
      </w:tr>
      <w:tr w:rsidR="00D22636" w:rsidRPr="00675EBD" w14:paraId="2CC1ECC2" w14:textId="77777777" w:rsidTr="00675EBD">
        <w:tc>
          <w:tcPr>
            <w:tcW w:w="5868" w:type="dxa"/>
            <w:shd w:val="clear" w:color="auto" w:fill="auto"/>
          </w:tcPr>
          <w:p w14:paraId="6F6DA792" w14:textId="77777777" w:rsidR="00D22636" w:rsidRPr="00675EBD" w:rsidRDefault="00D22636" w:rsidP="00675EBD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5CC28054" w14:textId="77777777" w:rsidR="00D22636" w:rsidRPr="00675EBD" w:rsidRDefault="00D22636" w:rsidP="00675EBD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26A4AAF1" w14:textId="77777777" w:rsidR="00A15234" w:rsidRPr="000704BB" w:rsidRDefault="00A15234" w:rsidP="0026669C">
      <w:pPr>
        <w:rPr>
          <w:rFonts w:ascii="Book Antiqua" w:hAnsi="Book Antiqua" w:cs="Arial"/>
        </w:rPr>
      </w:pPr>
    </w:p>
    <w:p w14:paraId="163E9893" w14:textId="77777777" w:rsidR="00A15234" w:rsidRPr="000704BB" w:rsidRDefault="00207617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Befo</w:t>
      </w:r>
      <w:r w:rsidR="00A15234" w:rsidRPr="000704BB">
        <w:rPr>
          <w:rFonts w:ascii="Book Antiqua" w:hAnsi="Book Antiqua" w:cs="Arial"/>
          <w:b/>
        </w:rPr>
        <w:t>re</w:t>
      </w:r>
    </w:p>
    <w:p w14:paraId="7A6FFBA4" w14:textId="77777777" w:rsidR="00A15234" w:rsidRPr="000704BB" w:rsidRDefault="00A15234" w:rsidP="00A15234">
      <w:pPr>
        <w:jc w:val="center"/>
        <w:rPr>
          <w:rFonts w:ascii="Book Antiqua" w:hAnsi="Book Antiqua" w:cs="Arial"/>
          <w:b/>
        </w:rPr>
      </w:pPr>
    </w:p>
    <w:p w14:paraId="3515C448" w14:textId="77777777" w:rsidR="00D20757" w:rsidRPr="000704BB" w:rsidRDefault="0014366D" w:rsidP="00F8655C">
      <w:pPr>
        <w:jc w:val="center"/>
        <w:rPr>
          <w:rFonts w:ascii="Book Antiqua" w:hAnsi="Book Antiqua" w:cs="Arial"/>
          <w:b/>
          <w:color w:val="000000"/>
        </w:rPr>
      </w:pPr>
      <w:r w:rsidRPr="00D03807">
        <w:rPr>
          <w:rFonts w:ascii="Book Antiqua" w:hAnsi="Book Antiqua"/>
          <w:b/>
        </w:rPr>
        <w:t>UPPER TRIBUNAL JUDGE FRANCES</w:t>
      </w:r>
    </w:p>
    <w:p w14:paraId="1F17C1D2" w14:textId="77777777" w:rsidR="00D20757" w:rsidRPr="000704BB" w:rsidRDefault="00D20757" w:rsidP="00A15234">
      <w:pPr>
        <w:jc w:val="center"/>
        <w:rPr>
          <w:rFonts w:ascii="Book Antiqua" w:hAnsi="Book Antiqua" w:cs="Arial"/>
          <w:b/>
        </w:rPr>
      </w:pPr>
    </w:p>
    <w:p w14:paraId="6D734996" w14:textId="77777777"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Between</w:t>
      </w:r>
    </w:p>
    <w:p w14:paraId="7ADAF773" w14:textId="77777777" w:rsidR="00A845DC" w:rsidRDefault="00A845DC" w:rsidP="00A15234">
      <w:pPr>
        <w:jc w:val="center"/>
        <w:rPr>
          <w:rFonts w:ascii="Book Antiqua" w:hAnsi="Book Antiqua" w:cs="Arial"/>
          <w:b/>
        </w:rPr>
      </w:pPr>
    </w:p>
    <w:p w14:paraId="3D53EFA3" w14:textId="2529F6B2" w:rsidR="00967526" w:rsidRPr="000704BB" w:rsidRDefault="00FA7260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[</w:t>
      </w:r>
      <w:r w:rsidR="00D924FE">
        <w:rPr>
          <w:rFonts w:ascii="Book Antiqua" w:hAnsi="Book Antiqua" w:cs="Arial"/>
          <w:b/>
        </w:rPr>
        <w:t>M</w:t>
      </w:r>
      <w:r>
        <w:rPr>
          <w:rFonts w:ascii="Book Antiqua" w:hAnsi="Book Antiqua" w:cs="Arial"/>
          <w:b/>
        </w:rPr>
        <w:t xml:space="preserve"> </w:t>
      </w:r>
      <w:r w:rsidR="00D924FE">
        <w:rPr>
          <w:rFonts w:ascii="Book Antiqua" w:hAnsi="Book Antiqua" w:cs="Arial"/>
          <w:b/>
        </w:rPr>
        <w:t>A</w:t>
      </w:r>
      <w:r>
        <w:rPr>
          <w:rFonts w:ascii="Book Antiqua" w:hAnsi="Book Antiqua" w:cs="Arial"/>
          <w:b/>
        </w:rPr>
        <w:t>]</w:t>
      </w:r>
    </w:p>
    <w:p w14:paraId="581D199A" w14:textId="77777777" w:rsidR="00704B61" w:rsidRPr="00FA7260" w:rsidRDefault="00265B39" w:rsidP="00A15234">
      <w:pPr>
        <w:jc w:val="center"/>
        <w:rPr>
          <w:rFonts w:ascii="Book Antiqua" w:hAnsi="Book Antiqua" w:cs="Arial"/>
          <w:b/>
          <w:strike/>
          <w:sz w:val="22"/>
        </w:rPr>
      </w:pPr>
      <w:r w:rsidRPr="00FA7260">
        <w:rPr>
          <w:rFonts w:ascii="Book Antiqua" w:hAnsi="Book Antiqua" w:cs="Arial"/>
          <w:b/>
          <w:caps/>
          <w:strike/>
          <w:sz w:val="22"/>
        </w:rPr>
        <w:t>(anonymity direction</w:t>
      </w:r>
      <w:r w:rsidR="00EC4AF3" w:rsidRPr="00FA7260">
        <w:rPr>
          <w:rFonts w:ascii="Book Antiqua" w:hAnsi="Book Antiqua" w:cs="Arial"/>
          <w:b/>
          <w:caps/>
          <w:strike/>
          <w:sz w:val="22"/>
        </w:rPr>
        <w:t xml:space="preserve"> not</w:t>
      </w:r>
      <w:bookmarkStart w:id="1" w:name="Text25"/>
      <w:r w:rsidRPr="00FA7260">
        <w:rPr>
          <w:rFonts w:ascii="Book Antiqua" w:hAnsi="Book Antiqua" w:cs="Arial"/>
          <w:b/>
          <w:caps/>
          <w:strike/>
          <w:sz w:val="22"/>
        </w:rPr>
        <w:fldChar w:fldCharType="begin">
          <w:ffData>
            <w:name w:val="Text25"/>
            <w:enabled/>
            <w:calcOnExit w:val="0"/>
            <w:textInput>
              <w:default w:val="MADE/NOT MADE"/>
            </w:textInput>
          </w:ffData>
        </w:fldChar>
      </w:r>
      <w:r w:rsidRPr="00FA7260">
        <w:rPr>
          <w:rFonts w:ascii="Book Antiqua" w:hAnsi="Book Antiqua" w:cs="Arial"/>
          <w:b/>
          <w:caps/>
          <w:strike/>
          <w:sz w:val="22"/>
        </w:rPr>
        <w:instrText xml:space="preserve"> FORMTEXT </w:instrText>
      </w:r>
      <w:r w:rsidRPr="00FA7260">
        <w:rPr>
          <w:rFonts w:ascii="Book Antiqua" w:hAnsi="Book Antiqua" w:cs="Arial"/>
          <w:b/>
          <w:caps/>
          <w:strike/>
          <w:sz w:val="22"/>
        </w:rPr>
      </w:r>
      <w:r w:rsidRPr="00FA7260">
        <w:rPr>
          <w:rFonts w:ascii="Book Antiqua" w:hAnsi="Book Antiqua" w:cs="Arial"/>
          <w:b/>
          <w:caps/>
          <w:strike/>
          <w:sz w:val="22"/>
        </w:rPr>
        <w:fldChar w:fldCharType="separate"/>
      </w:r>
      <w:r w:rsidRPr="00FA7260">
        <w:rPr>
          <w:rFonts w:ascii="Book Antiqua" w:hAnsi="Book Antiqua" w:cs="Arial"/>
          <w:b/>
          <w:caps/>
          <w:strike/>
          <w:noProof/>
          <w:sz w:val="22"/>
        </w:rPr>
        <w:t xml:space="preserve"> MADE</w:t>
      </w:r>
      <w:r w:rsidRPr="00FA7260">
        <w:rPr>
          <w:rFonts w:ascii="Book Antiqua" w:hAnsi="Book Antiqua" w:cs="Arial"/>
          <w:b/>
          <w:caps/>
          <w:strike/>
          <w:sz w:val="22"/>
        </w:rPr>
        <w:fldChar w:fldCharType="end"/>
      </w:r>
      <w:bookmarkEnd w:id="1"/>
      <w:r w:rsidRPr="00FA7260">
        <w:rPr>
          <w:rFonts w:ascii="Book Antiqua" w:hAnsi="Book Antiqua" w:cs="Arial"/>
          <w:b/>
          <w:caps/>
          <w:strike/>
          <w:sz w:val="22"/>
        </w:rPr>
        <w:t>)</w:t>
      </w:r>
    </w:p>
    <w:p w14:paraId="6F6C1D88" w14:textId="77777777" w:rsidR="00704B61" w:rsidRPr="000704BB" w:rsidRDefault="00704B61" w:rsidP="00704B6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Appellant</w:t>
      </w:r>
    </w:p>
    <w:p w14:paraId="21B5DC86" w14:textId="77777777" w:rsidR="00704B6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and</w:t>
      </w:r>
    </w:p>
    <w:p w14:paraId="58D9CCBB" w14:textId="77777777"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</w:p>
    <w:p w14:paraId="369009C9" w14:textId="77777777"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0704BB">
        <w:rPr>
          <w:rFonts w:ascii="Book Antiqua" w:hAnsi="Book Antiqua" w:cs="Arial"/>
          <w:b/>
        </w:rPr>
        <w:instrText xml:space="preserve"> FORMTEXT </w:instrText>
      </w:r>
      <w:r w:rsidRPr="000704BB">
        <w:rPr>
          <w:rFonts w:ascii="Book Antiqua" w:hAnsi="Book Antiqua" w:cs="Arial"/>
          <w:b/>
        </w:rPr>
      </w:r>
      <w:r w:rsidRPr="000704BB">
        <w:rPr>
          <w:rFonts w:ascii="Book Antiqua" w:hAnsi="Book Antiqua" w:cs="Arial"/>
          <w:b/>
        </w:rPr>
        <w:fldChar w:fldCharType="separate"/>
      </w:r>
      <w:r w:rsidRPr="000704BB">
        <w:rPr>
          <w:rFonts w:ascii="Book Antiqua" w:hAnsi="Book Antiqua" w:cs="Arial"/>
          <w:b/>
          <w:noProof/>
        </w:rPr>
        <w:t>THE SECRETARY OF STATE FOR THE HOME DEPARTMENT</w:t>
      </w:r>
      <w:r w:rsidRPr="000704BB">
        <w:rPr>
          <w:rFonts w:ascii="Book Antiqua" w:hAnsi="Book Antiqua" w:cs="Arial"/>
          <w:b/>
        </w:rPr>
        <w:fldChar w:fldCharType="end"/>
      </w:r>
      <w:bookmarkEnd w:id="2"/>
    </w:p>
    <w:p w14:paraId="4ED4346B" w14:textId="77777777" w:rsidR="00DD5071" w:rsidRPr="000704BB" w:rsidRDefault="00DD5071" w:rsidP="00DD507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Respondent</w:t>
      </w:r>
    </w:p>
    <w:p w14:paraId="3DEBC2E4" w14:textId="77777777" w:rsidR="00DE7DB7" w:rsidRPr="000704BB" w:rsidRDefault="00DE7DB7" w:rsidP="001C468E">
      <w:pPr>
        <w:rPr>
          <w:rFonts w:ascii="Book Antiqua" w:hAnsi="Book Antiqua" w:cs="Arial"/>
        </w:rPr>
      </w:pPr>
    </w:p>
    <w:p w14:paraId="18A06C63" w14:textId="77777777" w:rsidR="00DE7DB7" w:rsidRPr="000704BB" w:rsidRDefault="00DE7DB7" w:rsidP="00265B39">
      <w:pPr>
        <w:jc w:val="center"/>
        <w:rPr>
          <w:rFonts w:ascii="Book Antiqua" w:hAnsi="Book Antiqua" w:cs="Arial"/>
        </w:rPr>
      </w:pPr>
    </w:p>
    <w:p w14:paraId="5D6AD759" w14:textId="77777777" w:rsidR="00DE7DB7" w:rsidRPr="000704BB" w:rsidRDefault="00265B39" w:rsidP="00265B39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D924FE">
        <w:rPr>
          <w:rFonts w:ascii="Book Antiqua" w:hAnsi="Book Antiqua" w:cs="Arial"/>
          <w:b/>
          <w:u w:val="single"/>
        </w:rPr>
        <w:t xml:space="preserve"> AND REASONS</w:t>
      </w:r>
    </w:p>
    <w:p w14:paraId="66D452D0" w14:textId="77777777" w:rsidR="00402B9E" w:rsidRPr="000704BB" w:rsidRDefault="00402B9E" w:rsidP="00265B39">
      <w:pPr>
        <w:jc w:val="both"/>
        <w:rPr>
          <w:rFonts w:ascii="Book Antiqua" w:hAnsi="Book Antiqua" w:cs="Arial"/>
        </w:rPr>
      </w:pPr>
    </w:p>
    <w:p w14:paraId="7A79DB76" w14:textId="0B1007B0" w:rsidR="00F0478D" w:rsidRDefault="00BD02B4" w:rsidP="00D924FE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</w:t>
      </w:r>
      <w:r w:rsidR="00402B9E" w:rsidRPr="000704BB">
        <w:rPr>
          <w:rFonts w:ascii="Book Antiqua" w:hAnsi="Book Antiqua" w:cs="Arial"/>
        </w:rPr>
        <w:t>.</w:t>
      </w:r>
      <w:r w:rsidR="00402B9E" w:rsidRPr="000704BB">
        <w:rPr>
          <w:rFonts w:ascii="Book Antiqua" w:hAnsi="Book Antiqua" w:cs="Arial"/>
        </w:rPr>
        <w:tab/>
      </w:r>
      <w:r w:rsidR="00D924FE">
        <w:rPr>
          <w:rFonts w:ascii="Book Antiqua" w:hAnsi="Book Antiqua" w:cs="Arial"/>
        </w:rPr>
        <w:t xml:space="preserve">The Appellant is a citizen of Libya born on </w:t>
      </w:r>
      <w:proofErr w:type="gramStart"/>
      <w:r w:rsidR="00FA7260">
        <w:rPr>
          <w:rFonts w:ascii="Book Antiqua" w:hAnsi="Book Antiqua" w:cs="Arial"/>
        </w:rPr>
        <w:t>[ ]</w:t>
      </w:r>
      <w:proofErr w:type="gramEnd"/>
      <w:r w:rsidR="00FA7260">
        <w:rPr>
          <w:rFonts w:ascii="Book Antiqua" w:hAnsi="Book Antiqua" w:cs="Arial"/>
        </w:rPr>
        <w:t xml:space="preserve"> </w:t>
      </w:r>
      <w:r w:rsidR="00D924FE">
        <w:rPr>
          <w:rFonts w:ascii="Book Antiqua" w:hAnsi="Book Antiqua" w:cs="Arial"/>
        </w:rPr>
        <w:t xml:space="preserve">1992. His appeal against the refusal of his protection claim was dismissed on asylum, humanitarian protection and human rights grounds by First-tier </w:t>
      </w:r>
      <w:r w:rsidR="00612EE7">
        <w:rPr>
          <w:rFonts w:ascii="Book Antiqua" w:hAnsi="Book Antiqua" w:cs="Arial"/>
        </w:rPr>
        <w:t>Tribunal</w:t>
      </w:r>
      <w:r w:rsidR="00D924FE">
        <w:rPr>
          <w:rFonts w:ascii="Book Antiqua" w:hAnsi="Book Antiqua" w:cs="Arial"/>
        </w:rPr>
        <w:t xml:space="preserve"> Judge Lawrence on 17 July 2017.</w:t>
      </w:r>
    </w:p>
    <w:p w14:paraId="2FE53F45" w14:textId="77777777" w:rsidR="00D924FE" w:rsidRDefault="00D924FE" w:rsidP="00D924FE">
      <w:pPr>
        <w:ind w:left="567" w:hanging="567"/>
        <w:jc w:val="both"/>
        <w:rPr>
          <w:rFonts w:ascii="Book Antiqua" w:hAnsi="Book Antiqua"/>
          <w:b/>
          <w:u w:val="single"/>
        </w:rPr>
      </w:pPr>
    </w:p>
    <w:p w14:paraId="08B90838" w14:textId="77777777" w:rsidR="00D924FE" w:rsidRDefault="00D924FE" w:rsidP="00D924FE">
      <w:pPr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2.</w:t>
      </w:r>
      <w:r>
        <w:rPr>
          <w:rFonts w:ascii="Book Antiqua" w:hAnsi="Book Antiqua"/>
        </w:rPr>
        <w:tab/>
        <w:t xml:space="preserve">Permission to appeal was granted by First-tier Tribunal Judge Osbourne on 22 </w:t>
      </w:r>
      <w:r w:rsidR="00612EE7">
        <w:rPr>
          <w:rFonts w:ascii="Book Antiqua" w:hAnsi="Book Antiqua"/>
        </w:rPr>
        <w:t>December</w:t>
      </w:r>
      <w:r>
        <w:rPr>
          <w:rFonts w:ascii="Book Antiqua" w:hAnsi="Book Antiqua"/>
        </w:rPr>
        <w:t xml:space="preserve"> 2017 on the ground that</w:t>
      </w:r>
      <w:r w:rsidR="00010B3D">
        <w:rPr>
          <w:rFonts w:ascii="Book Antiqua" w:hAnsi="Book Antiqua"/>
        </w:rPr>
        <w:t xml:space="preserve"> the judge</w:t>
      </w:r>
      <w:r>
        <w:rPr>
          <w:rFonts w:ascii="Book Antiqua" w:hAnsi="Book Antiqua"/>
        </w:rPr>
        <w:t xml:space="preserve"> misapplied or misunderstood </w:t>
      </w:r>
      <w:r>
        <w:rPr>
          <w:rFonts w:ascii="Book Antiqua" w:hAnsi="Book Antiqua"/>
          <w:u w:val="single"/>
        </w:rPr>
        <w:t>ZMM (</w:t>
      </w:r>
      <w:r w:rsidR="00612EE7">
        <w:rPr>
          <w:rFonts w:ascii="Book Antiqua" w:hAnsi="Book Antiqua"/>
          <w:u w:val="single"/>
        </w:rPr>
        <w:t>Article</w:t>
      </w:r>
      <w:r>
        <w:rPr>
          <w:rFonts w:ascii="Book Antiqua" w:hAnsi="Book Antiqua"/>
          <w:u w:val="single"/>
        </w:rPr>
        <w:t xml:space="preserve"> 15C) Libya CG</w:t>
      </w:r>
      <w:r>
        <w:rPr>
          <w:rFonts w:ascii="Book Antiqua" w:hAnsi="Book Antiqua"/>
        </w:rPr>
        <w:t xml:space="preserve"> [2017] UKUT 00263 (IAC)</w:t>
      </w:r>
      <w:r w:rsidR="004C6A0D">
        <w:rPr>
          <w:rFonts w:ascii="Book Antiqua" w:hAnsi="Book Antiqua"/>
        </w:rPr>
        <w:t xml:space="preserve"> and </w:t>
      </w:r>
      <w:r w:rsidR="00010B3D">
        <w:rPr>
          <w:rFonts w:ascii="Book Antiqua" w:hAnsi="Book Antiqua"/>
        </w:rPr>
        <w:t xml:space="preserve">failed </w:t>
      </w:r>
      <w:r w:rsidR="004C6A0D">
        <w:rPr>
          <w:rFonts w:ascii="Book Antiqua" w:hAnsi="Book Antiqua"/>
        </w:rPr>
        <w:t>to</w:t>
      </w:r>
      <w:r w:rsidR="00010B3D">
        <w:rPr>
          <w:rFonts w:ascii="Book Antiqua" w:hAnsi="Book Antiqua"/>
        </w:rPr>
        <w:t xml:space="preserve"> give</w:t>
      </w:r>
      <w:r w:rsidR="004C6A0D">
        <w:rPr>
          <w:rFonts w:ascii="Book Antiqua" w:hAnsi="Book Antiqua"/>
        </w:rPr>
        <w:t xml:space="preserve"> </w:t>
      </w:r>
      <w:r w:rsidR="00010B3D">
        <w:rPr>
          <w:rFonts w:ascii="Book Antiqua" w:hAnsi="Book Antiqua"/>
        </w:rPr>
        <w:t>good reasons</w:t>
      </w:r>
      <w:r w:rsidR="004C6A0D">
        <w:rPr>
          <w:rFonts w:ascii="Book Antiqua" w:hAnsi="Book Antiqua"/>
        </w:rPr>
        <w:t xml:space="preserve"> supported by cogent evidence for </w:t>
      </w:r>
      <w:r w:rsidR="00612EE7">
        <w:rPr>
          <w:rFonts w:ascii="Book Antiqua" w:hAnsi="Book Antiqua"/>
        </w:rPr>
        <w:t>departing</w:t>
      </w:r>
      <w:r w:rsidR="004C6A0D">
        <w:rPr>
          <w:rFonts w:ascii="Book Antiqua" w:hAnsi="Book Antiqua"/>
        </w:rPr>
        <w:t xml:space="preserve"> from </w:t>
      </w:r>
      <w:r w:rsidR="00612EE7">
        <w:rPr>
          <w:rFonts w:ascii="Book Antiqua" w:hAnsi="Book Antiqua"/>
        </w:rPr>
        <w:t>country</w:t>
      </w:r>
      <w:r w:rsidR="004C6A0D">
        <w:rPr>
          <w:rFonts w:ascii="Book Antiqua" w:hAnsi="Book Antiqua"/>
        </w:rPr>
        <w:t xml:space="preserve"> guidance</w:t>
      </w:r>
      <w:r>
        <w:rPr>
          <w:rFonts w:ascii="Book Antiqua" w:hAnsi="Book Antiqua"/>
        </w:rPr>
        <w:t>.</w:t>
      </w:r>
    </w:p>
    <w:p w14:paraId="3D7D1121" w14:textId="77777777" w:rsidR="00D924FE" w:rsidRDefault="00D924FE" w:rsidP="00D924FE">
      <w:pPr>
        <w:ind w:left="567" w:hanging="567"/>
        <w:jc w:val="both"/>
        <w:rPr>
          <w:rFonts w:ascii="Book Antiqua" w:hAnsi="Book Antiqua"/>
        </w:rPr>
      </w:pPr>
    </w:p>
    <w:p w14:paraId="0206EF17" w14:textId="77777777" w:rsidR="00D924FE" w:rsidRDefault="00D924FE" w:rsidP="00D924FE">
      <w:pPr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3.</w:t>
      </w:r>
      <w:r>
        <w:rPr>
          <w:rFonts w:ascii="Book Antiqua" w:hAnsi="Book Antiqua"/>
        </w:rPr>
        <w:tab/>
        <w:t xml:space="preserve">In the Rule 24 response, the Respondent conceded that the decision contained an error of law and </w:t>
      </w:r>
      <w:r w:rsidR="00612EE7">
        <w:rPr>
          <w:rFonts w:ascii="Book Antiqua" w:hAnsi="Book Antiqua"/>
        </w:rPr>
        <w:t>invited</w:t>
      </w:r>
      <w:r>
        <w:rPr>
          <w:rFonts w:ascii="Book Antiqua" w:hAnsi="Book Antiqua"/>
        </w:rPr>
        <w:t xml:space="preserve"> the Tribunal to remake the decision, allowing it on Article 15(c) grounds.</w:t>
      </w:r>
    </w:p>
    <w:p w14:paraId="5F0EFF80" w14:textId="77777777" w:rsidR="004C6A0D" w:rsidRDefault="004C6A0D" w:rsidP="00D924FE">
      <w:pPr>
        <w:ind w:left="567" w:hanging="567"/>
        <w:jc w:val="both"/>
        <w:rPr>
          <w:rFonts w:ascii="Book Antiqua" w:hAnsi="Book Antiqua"/>
        </w:rPr>
      </w:pPr>
    </w:p>
    <w:p w14:paraId="5D6CA98B" w14:textId="77777777" w:rsidR="00D924FE" w:rsidRDefault="00D924FE" w:rsidP="00D924FE">
      <w:pPr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4.</w:t>
      </w:r>
      <w:r>
        <w:rPr>
          <w:rFonts w:ascii="Book Antiqua" w:hAnsi="Book Antiqua"/>
        </w:rPr>
        <w:tab/>
        <w:t>By letter dated 16 May 2018, t</w:t>
      </w:r>
      <w:r w:rsidR="004C6A0D">
        <w:rPr>
          <w:rFonts w:ascii="Book Antiqua" w:hAnsi="Book Antiqua"/>
        </w:rPr>
        <w:t xml:space="preserve">he Appellant indicated that he </w:t>
      </w:r>
      <w:r w:rsidR="00612EE7">
        <w:rPr>
          <w:rFonts w:ascii="Book Antiqua" w:hAnsi="Book Antiqua"/>
        </w:rPr>
        <w:t>was</w:t>
      </w:r>
      <w:r w:rsidR="004C6A0D">
        <w:rPr>
          <w:rFonts w:ascii="Book Antiqua" w:hAnsi="Book Antiqua"/>
        </w:rPr>
        <w:t xml:space="preserve"> prepared to accept a grant of humanitarian protection and he </w:t>
      </w:r>
      <w:r w:rsidR="00612EE7">
        <w:rPr>
          <w:rFonts w:ascii="Book Antiqua" w:hAnsi="Book Antiqua"/>
        </w:rPr>
        <w:t>had</w:t>
      </w:r>
      <w:r w:rsidR="004C6A0D">
        <w:rPr>
          <w:rFonts w:ascii="Book Antiqua" w:hAnsi="Book Antiqua"/>
        </w:rPr>
        <w:t xml:space="preserve"> </w:t>
      </w:r>
      <w:r w:rsidR="00612EE7">
        <w:rPr>
          <w:rFonts w:ascii="Book Antiqua" w:hAnsi="Book Antiqua"/>
        </w:rPr>
        <w:t>informed</w:t>
      </w:r>
      <w:r w:rsidR="004C6A0D">
        <w:rPr>
          <w:rFonts w:ascii="Book Antiqua" w:hAnsi="Book Antiqua"/>
        </w:rPr>
        <w:t xml:space="preserve"> the </w:t>
      </w:r>
      <w:r w:rsidR="00612EE7">
        <w:rPr>
          <w:rFonts w:ascii="Book Antiqua" w:hAnsi="Book Antiqua"/>
        </w:rPr>
        <w:t>Respondent</w:t>
      </w:r>
      <w:r w:rsidR="00010B3D">
        <w:rPr>
          <w:rFonts w:ascii="Book Antiqua" w:hAnsi="Book Antiqua"/>
        </w:rPr>
        <w:t xml:space="preserve"> of</w:t>
      </w:r>
      <w:r w:rsidR="00612EE7">
        <w:rPr>
          <w:rFonts w:ascii="Book Antiqua" w:hAnsi="Book Antiqua"/>
        </w:rPr>
        <w:t xml:space="preserve"> </w:t>
      </w:r>
      <w:r w:rsidR="004C6A0D">
        <w:rPr>
          <w:rFonts w:ascii="Book Antiqua" w:hAnsi="Book Antiqua"/>
        </w:rPr>
        <w:t xml:space="preserve">the same on 13 </w:t>
      </w:r>
      <w:r w:rsidR="00612EE7">
        <w:rPr>
          <w:rFonts w:ascii="Book Antiqua" w:hAnsi="Book Antiqua"/>
        </w:rPr>
        <w:t>February</w:t>
      </w:r>
      <w:r w:rsidR="004C6A0D">
        <w:rPr>
          <w:rFonts w:ascii="Book Antiqua" w:hAnsi="Book Antiqua"/>
        </w:rPr>
        <w:t xml:space="preserve"> 2018.</w:t>
      </w:r>
    </w:p>
    <w:p w14:paraId="2CB11463" w14:textId="77777777" w:rsidR="004C6A0D" w:rsidRDefault="004C6A0D" w:rsidP="00D924FE">
      <w:pPr>
        <w:ind w:left="567" w:hanging="567"/>
        <w:jc w:val="both"/>
        <w:rPr>
          <w:rFonts w:ascii="Book Antiqua" w:hAnsi="Book Antiqua"/>
        </w:rPr>
      </w:pPr>
    </w:p>
    <w:p w14:paraId="2067DA1B" w14:textId="77777777" w:rsidR="004C6A0D" w:rsidRPr="004C6A0D" w:rsidRDefault="004C6A0D" w:rsidP="004C6A0D">
      <w:pPr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5.</w:t>
      </w:r>
      <w:r>
        <w:rPr>
          <w:rFonts w:ascii="Book Antiqua" w:hAnsi="Book Antiqua"/>
        </w:rPr>
        <w:tab/>
        <w:t>The Respondent’s rule 24 respons</w:t>
      </w:r>
      <w:r w:rsidR="00612EE7">
        <w:rPr>
          <w:rFonts w:ascii="Book Antiqua" w:hAnsi="Book Antiqua"/>
        </w:rPr>
        <w:t>e is somewhat ambiguous</w:t>
      </w:r>
      <w:r>
        <w:rPr>
          <w:rFonts w:ascii="Book Antiqua" w:hAnsi="Book Antiqua"/>
        </w:rPr>
        <w:t xml:space="preserve"> in that it initially states that the appeal is opposed, then concedes the </w:t>
      </w:r>
      <w:r w:rsidR="00612EE7">
        <w:rPr>
          <w:rFonts w:ascii="Book Antiqua" w:hAnsi="Book Antiqua"/>
        </w:rPr>
        <w:t>humanitarian</w:t>
      </w:r>
      <w:r>
        <w:rPr>
          <w:rFonts w:ascii="Book Antiqua" w:hAnsi="Book Antiqua"/>
        </w:rPr>
        <w:t xml:space="preserve"> </w:t>
      </w:r>
      <w:r w:rsidR="00612EE7">
        <w:rPr>
          <w:rFonts w:ascii="Book Antiqua" w:hAnsi="Book Antiqua"/>
        </w:rPr>
        <w:t>protection point</w:t>
      </w:r>
      <w:r>
        <w:rPr>
          <w:rFonts w:ascii="Book Antiqua" w:hAnsi="Book Antiqua"/>
        </w:rPr>
        <w:t xml:space="preserve"> before requesting an oral hearing. However, I am </w:t>
      </w:r>
      <w:r w:rsidR="00010B3D">
        <w:rPr>
          <w:rFonts w:ascii="Book Antiqua" w:hAnsi="Book Antiqua"/>
        </w:rPr>
        <w:t>satisfied</w:t>
      </w:r>
      <w:r>
        <w:rPr>
          <w:rFonts w:ascii="Book Antiqua" w:hAnsi="Book Antiqua"/>
        </w:rPr>
        <w:t xml:space="preserve"> that the </w:t>
      </w:r>
      <w:r w:rsidR="00010B3D">
        <w:rPr>
          <w:rFonts w:ascii="Book Antiqua" w:hAnsi="Book Antiqua"/>
        </w:rPr>
        <w:t>judge</w:t>
      </w:r>
      <w:r>
        <w:rPr>
          <w:rFonts w:ascii="Book Antiqua" w:hAnsi="Book Antiqua"/>
        </w:rPr>
        <w:t xml:space="preserve"> erred </w:t>
      </w:r>
      <w:r w:rsidR="00010B3D">
        <w:rPr>
          <w:rFonts w:ascii="Book Antiqua" w:hAnsi="Book Antiqua"/>
        </w:rPr>
        <w:t>in law</w:t>
      </w:r>
      <w:r>
        <w:rPr>
          <w:rFonts w:ascii="Book Antiqua" w:hAnsi="Book Antiqua"/>
        </w:rPr>
        <w:t xml:space="preserve"> in failing to </w:t>
      </w:r>
      <w:r w:rsidR="00010B3D">
        <w:rPr>
          <w:rFonts w:ascii="Book Antiqua" w:hAnsi="Book Antiqua"/>
        </w:rPr>
        <w:t>properly</w:t>
      </w:r>
      <w:r>
        <w:rPr>
          <w:rFonts w:ascii="Book Antiqua" w:hAnsi="Book Antiqua"/>
        </w:rPr>
        <w:t xml:space="preserve"> apply country guidance.</w:t>
      </w:r>
    </w:p>
    <w:p w14:paraId="4B2703DE" w14:textId="77777777" w:rsidR="004C6A0D" w:rsidRDefault="004C6A0D" w:rsidP="00D924FE">
      <w:pPr>
        <w:ind w:left="567" w:hanging="567"/>
        <w:jc w:val="both"/>
        <w:rPr>
          <w:rFonts w:ascii="Book Antiqua" w:hAnsi="Book Antiqua"/>
        </w:rPr>
      </w:pPr>
    </w:p>
    <w:p w14:paraId="32CC2F1F" w14:textId="77777777" w:rsidR="004C6A0D" w:rsidRDefault="004C6A0D" w:rsidP="00D924FE">
      <w:pPr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6.</w:t>
      </w:r>
      <w:r>
        <w:rPr>
          <w:rFonts w:ascii="Book Antiqua" w:hAnsi="Book Antiqua"/>
        </w:rPr>
        <w:tab/>
        <w:t xml:space="preserve">Accordingly, in view of the Secretary of State’s concession and applying the </w:t>
      </w:r>
      <w:r w:rsidR="00010B3D">
        <w:rPr>
          <w:rFonts w:ascii="Book Antiqua" w:hAnsi="Book Antiqua"/>
        </w:rPr>
        <w:t>country</w:t>
      </w:r>
      <w:r>
        <w:rPr>
          <w:rFonts w:ascii="Book Antiqua" w:hAnsi="Book Antiqua"/>
        </w:rPr>
        <w:t xml:space="preserve"> guidance in </w:t>
      </w:r>
      <w:r>
        <w:rPr>
          <w:rFonts w:ascii="Book Antiqua" w:hAnsi="Book Antiqua"/>
          <w:u w:val="single"/>
        </w:rPr>
        <w:t>ZMM</w:t>
      </w:r>
      <w:r>
        <w:rPr>
          <w:rFonts w:ascii="Book Antiqua" w:hAnsi="Book Antiqua"/>
        </w:rPr>
        <w:t xml:space="preserve">, I find that there is an error of law in the decision </w:t>
      </w:r>
      <w:r w:rsidR="00010B3D">
        <w:rPr>
          <w:rFonts w:ascii="Book Antiqua" w:hAnsi="Book Antiqua"/>
        </w:rPr>
        <w:t>of</w:t>
      </w:r>
      <w:r>
        <w:rPr>
          <w:rFonts w:ascii="Book Antiqua" w:hAnsi="Book Antiqua"/>
        </w:rPr>
        <w:t xml:space="preserve"> 17 July 2017 dismissing the Appellant’s appeal on </w:t>
      </w:r>
      <w:r w:rsidR="00010B3D">
        <w:rPr>
          <w:rFonts w:ascii="Book Antiqua" w:hAnsi="Book Antiqua"/>
        </w:rPr>
        <w:t>humanitarian</w:t>
      </w:r>
      <w:r>
        <w:rPr>
          <w:rFonts w:ascii="Book Antiqua" w:hAnsi="Book Antiqua"/>
        </w:rPr>
        <w:t xml:space="preserve"> protection grounds. I set aside the decision in that respect and remake it. The Appellant’s appeal is allowed on </w:t>
      </w:r>
      <w:r w:rsidR="00010B3D">
        <w:rPr>
          <w:rFonts w:ascii="Book Antiqua" w:hAnsi="Book Antiqua"/>
        </w:rPr>
        <w:t>humanitarian</w:t>
      </w:r>
      <w:r>
        <w:rPr>
          <w:rFonts w:ascii="Book Antiqua" w:hAnsi="Book Antiqua"/>
        </w:rPr>
        <w:t xml:space="preserve"> </w:t>
      </w:r>
      <w:r w:rsidR="00010B3D">
        <w:rPr>
          <w:rFonts w:ascii="Book Antiqua" w:hAnsi="Book Antiqua"/>
        </w:rPr>
        <w:t>protection</w:t>
      </w:r>
      <w:r>
        <w:rPr>
          <w:rFonts w:ascii="Book Antiqua" w:hAnsi="Book Antiqua"/>
        </w:rPr>
        <w:t xml:space="preserve"> grounds.</w:t>
      </w:r>
    </w:p>
    <w:p w14:paraId="5E387913" w14:textId="77777777" w:rsidR="00010B3D" w:rsidRDefault="00010B3D" w:rsidP="00D924FE">
      <w:pPr>
        <w:ind w:left="567" w:hanging="567"/>
        <w:jc w:val="both"/>
        <w:rPr>
          <w:rFonts w:ascii="Book Antiqua" w:hAnsi="Book Antiqua"/>
        </w:rPr>
      </w:pPr>
    </w:p>
    <w:p w14:paraId="3789AC50" w14:textId="77777777" w:rsidR="00010B3D" w:rsidRDefault="00010B3D" w:rsidP="00D924FE">
      <w:pPr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7.</w:t>
      </w:r>
      <w:r>
        <w:rPr>
          <w:rFonts w:ascii="Book Antiqua" w:hAnsi="Book Antiqua"/>
        </w:rPr>
        <w:tab/>
        <w:t xml:space="preserve">The error of law hearing listed for 29 May 2018 is vacated. I have no jurisdiction to consider any challenge to the Respondent’s letter of 9 May 2018 in this statutory appeal. </w:t>
      </w:r>
    </w:p>
    <w:p w14:paraId="37A44DCF" w14:textId="77777777" w:rsidR="004C6A0D" w:rsidRDefault="004C6A0D" w:rsidP="00D924FE">
      <w:pPr>
        <w:ind w:left="567" w:hanging="567"/>
        <w:jc w:val="both"/>
        <w:rPr>
          <w:rFonts w:ascii="Book Antiqua" w:hAnsi="Book Antiqua"/>
        </w:rPr>
      </w:pPr>
    </w:p>
    <w:p w14:paraId="3549C263" w14:textId="77777777" w:rsidR="004C6A0D" w:rsidRDefault="004C6A0D" w:rsidP="00D924FE">
      <w:pPr>
        <w:ind w:left="567" w:hanging="567"/>
        <w:jc w:val="both"/>
        <w:rPr>
          <w:rFonts w:ascii="Book Antiqua" w:hAnsi="Book Antiqua"/>
        </w:rPr>
      </w:pPr>
    </w:p>
    <w:p w14:paraId="69B30EAD" w14:textId="77777777" w:rsidR="004C6A0D" w:rsidRPr="00010B3D" w:rsidRDefault="004C6A0D" w:rsidP="00D924FE">
      <w:pPr>
        <w:ind w:left="567" w:hanging="567"/>
        <w:jc w:val="both"/>
        <w:rPr>
          <w:rFonts w:ascii="Book Antiqua" w:hAnsi="Book Antiqua"/>
          <w:b/>
          <w:u w:val="single"/>
        </w:rPr>
      </w:pPr>
      <w:r w:rsidRPr="00010B3D">
        <w:rPr>
          <w:rFonts w:ascii="Book Antiqua" w:hAnsi="Book Antiqua"/>
          <w:b/>
          <w:u w:val="single"/>
        </w:rPr>
        <w:t>Notice of decision</w:t>
      </w:r>
    </w:p>
    <w:p w14:paraId="15470454" w14:textId="77777777" w:rsidR="004C6A0D" w:rsidRPr="00010B3D" w:rsidRDefault="004C6A0D" w:rsidP="00D924FE">
      <w:pPr>
        <w:ind w:left="567" w:hanging="567"/>
        <w:jc w:val="both"/>
        <w:rPr>
          <w:rFonts w:ascii="Book Antiqua" w:hAnsi="Book Antiqua"/>
          <w:b/>
          <w:u w:val="single"/>
        </w:rPr>
      </w:pPr>
    </w:p>
    <w:p w14:paraId="607DB932" w14:textId="77777777" w:rsidR="004C6A0D" w:rsidRPr="00010B3D" w:rsidRDefault="004C6A0D" w:rsidP="004C6A0D">
      <w:pPr>
        <w:jc w:val="both"/>
        <w:rPr>
          <w:rFonts w:ascii="Book Antiqua" w:hAnsi="Book Antiqua"/>
          <w:b/>
        </w:rPr>
      </w:pPr>
      <w:r w:rsidRPr="00010B3D">
        <w:rPr>
          <w:rFonts w:ascii="Book Antiqua" w:hAnsi="Book Antiqua"/>
          <w:b/>
        </w:rPr>
        <w:t>The Appellant’s appeal is allowed on humanitarian protection grounds.</w:t>
      </w:r>
    </w:p>
    <w:p w14:paraId="52369339" w14:textId="77777777" w:rsidR="005D5EFD" w:rsidRDefault="005D5EFD" w:rsidP="005B5EBA">
      <w:pPr>
        <w:jc w:val="both"/>
        <w:rPr>
          <w:rFonts w:ascii="Book Antiqua" w:hAnsi="Book Antiqua"/>
          <w:b/>
          <w:u w:val="single"/>
        </w:rPr>
      </w:pPr>
    </w:p>
    <w:p w14:paraId="22565496" w14:textId="77777777" w:rsidR="005D5EFD" w:rsidRDefault="005D5EFD" w:rsidP="00194649"/>
    <w:p w14:paraId="64F7C573" w14:textId="77777777" w:rsidR="00657700" w:rsidRDefault="00194649" w:rsidP="00657700">
      <w:pPr>
        <w:ind w:left="1418"/>
        <w:jc w:val="both"/>
        <w:rPr>
          <w:rFonts w:ascii="Lucida Handwriting" w:hAnsi="Lucida Handwriting"/>
          <w:b/>
        </w:rPr>
      </w:pPr>
      <w:r>
        <w:rPr>
          <w:rFonts w:ascii="Lucida Handwriting" w:hAnsi="Lucida Handwriting"/>
          <w:b/>
        </w:rPr>
        <w:t>J Frances</w:t>
      </w:r>
    </w:p>
    <w:p w14:paraId="105EA725" w14:textId="77777777" w:rsidR="006378F4" w:rsidRPr="00657700" w:rsidRDefault="006378F4" w:rsidP="00657700">
      <w:pPr>
        <w:ind w:left="1418"/>
        <w:jc w:val="both"/>
        <w:rPr>
          <w:rFonts w:ascii="Lucida Handwriting" w:hAnsi="Lucida Handwriting"/>
          <w:b/>
        </w:rPr>
      </w:pPr>
    </w:p>
    <w:p w14:paraId="1A3EEC2B" w14:textId="77777777" w:rsidR="00F0478D" w:rsidRPr="000704BB" w:rsidRDefault="00780F86" w:rsidP="00265B39">
      <w:pPr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Signed</w:t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="001F2716" w:rsidRPr="000704BB">
        <w:rPr>
          <w:rFonts w:ascii="Book Antiqua" w:hAnsi="Book Antiqua" w:cs="Arial"/>
        </w:rPr>
        <w:t>Date</w:t>
      </w:r>
      <w:r w:rsidR="00F8655C">
        <w:rPr>
          <w:rFonts w:ascii="Book Antiqua" w:hAnsi="Book Antiqua" w:cs="Arial"/>
        </w:rPr>
        <w:t xml:space="preserve"> </w:t>
      </w:r>
      <w:r w:rsidR="00D924FE">
        <w:rPr>
          <w:rFonts w:ascii="Book Antiqua" w:hAnsi="Book Antiqua" w:cs="Arial"/>
        </w:rPr>
        <w:t>18</w:t>
      </w:r>
      <w:r w:rsidR="00E15145">
        <w:rPr>
          <w:rFonts w:ascii="Book Antiqua" w:hAnsi="Book Antiqua" w:cs="Arial"/>
        </w:rPr>
        <w:t xml:space="preserve"> May</w:t>
      </w:r>
      <w:r w:rsidR="00327F52">
        <w:rPr>
          <w:rFonts w:ascii="Book Antiqua" w:hAnsi="Book Antiqua" w:cs="Arial"/>
        </w:rPr>
        <w:t xml:space="preserve"> 2018</w:t>
      </w:r>
    </w:p>
    <w:p w14:paraId="7AF6EA29" w14:textId="77777777" w:rsidR="00F0478D" w:rsidRPr="00F0478D" w:rsidRDefault="0014366D" w:rsidP="00847320">
      <w:pPr>
        <w:jc w:val="both"/>
        <w:rPr>
          <w:rFonts w:ascii="Book Antiqua" w:hAnsi="Book Antiqua" w:cs="Arial"/>
        </w:rPr>
      </w:pPr>
      <w:r w:rsidRPr="00D03807">
        <w:rPr>
          <w:rFonts w:ascii="Book Antiqua" w:hAnsi="Book Antiqua" w:cs="Arial"/>
        </w:rPr>
        <w:t>Upper Tribunal Judge Franc</w:t>
      </w:r>
      <w:r w:rsidR="00F8655C">
        <w:rPr>
          <w:rFonts w:ascii="Book Antiqua" w:hAnsi="Book Antiqua" w:cs="Arial"/>
        </w:rPr>
        <w:t>es</w:t>
      </w:r>
    </w:p>
    <w:sectPr w:rsidR="00F0478D" w:rsidRPr="00F0478D" w:rsidSect="00776E9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30597" w14:textId="77777777" w:rsidR="00C762FD" w:rsidRDefault="00C762FD">
      <w:r>
        <w:separator/>
      </w:r>
    </w:p>
  </w:endnote>
  <w:endnote w:type="continuationSeparator" w:id="0">
    <w:p w14:paraId="7F4FD953" w14:textId="77777777" w:rsidR="00C762FD" w:rsidRDefault="00C76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2EDE5" w14:textId="77777777" w:rsidR="001B1B78" w:rsidRPr="00FA7260" w:rsidRDefault="001B1B78" w:rsidP="00593795">
    <w:pPr>
      <w:pStyle w:val="Footer"/>
      <w:jc w:val="center"/>
      <w:rPr>
        <w:rFonts w:ascii="Arial" w:hAnsi="Arial" w:cs="Arial"/>
        <w:sz w:val="20"/>
        <w:szCs w:val="20"/>
      </w:rPr>
    </w:pPr>
    <w:r w:rsidRPr="00FA7260">
      <w:rPr>
        <w:rStyle w:val="PageNumber"/>
        <w:rFonts w:ascii="Arial" w:hAnsi="Arial" w:cs="Arial"/>
        <w:sz w:val="20"/>
        <w:szCs w:val="20"/>
      </w:rPr>
      <w:fldChar w:fldCharType="begin"/>
    </w:r>
    <w:r w:rsidRPr="00FA726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FA7260">
      <w:rPr>
        <w:rStyle w:val="PageNumber"/>
        <w:rFonts w:ascii="Arial" w:hAnsi="Arial" w:cs="Arial"/>
        <w:sz w:val="20"/>
        <w:szCs w:val="20"/>
      </w:rPr>
      <w:fldChar w:fldCharType="separate"/>
    </w:r>
    <w:r w:rsidR="003262EF" w:rsidRPr="00FA7260">
      <w:rPr>
        <w:rStyle w:val="PageNumber"/>
        <w:rFonts w:ascii="Arial" w:hAnsi="Arial" w:cs="Arial"/>
        <w:noProof/>
        <w:sz w:val="20"/>
        <w:szCs w:val="20"/>
      </w:rPr>
      <w:t>2</w:t>
    </w:r>
    <w:r w:rsidRPr="00FA7260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94454" w14:textId="77777777" w:rsidR="001B1B78" w:rsidRPr="003E33A9" w:rsidRDefault="001B1B78" w:rsidP="00DE5E10">
    <w:pPr>
      <w:jc w:val="center"/>
      <w:rPr>
        <w:rFonts w:ascii="Arial" w:hAnsi="Arial" w:cs="Arial"/>
        <w:b/>
      </w:rPr>
    </w:pPr>
    <w:r w:rsidRPr="003E33A9">
      <w:rPr>
        <w:rFonts w:ascii="Arial" w:hAnsi="Arial" w:cs="Arial"/>
        <w:b/>
        <w:spacing w:val="-6"/>
      </w:rPr>
      <w:t>©</w:t>
    </w:r>
    <w:r w:rsidR="00D7088E" w:rsidRPr="003E33A9">
      <w:rPr>
        <w:rFonts w:ascii="Arial" w:hAnsi="Arial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C4A1F" w14:textId="77777777" w:rsidR="00C762FD" w:rsidRDefault="00C762FD">
      <w:r>
        <w:separator/>
      </w:r>
    </w:p>
  </w:footnote>
  <w:footnote w:type="continuationSeparator" w:id="0">
    <w:p w14:paraId="7C96A888" w14:textId="77777777" w:rsidR="00C762FD" w:rsidRDefault="00C76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84D90" w14:textId="3B9619F2" w:rsidR="001B1B78" w:rsidRPr="00FA7260" w:rsidRDefault="00FA7260" w:rsidP="00593795">
    <w:pPr>
      <w:pStyle w:val="Header"/>
      <w:jc w:val="right"/>
      <w:rPr>
        <w:rFonts w:ascii="Arial" w:hAnsi="Arial" w:cs="Arial"/>
        <w:sz w:val="20"/>
        <w:szCs w:val="16"/>
      </w:rPr>
    </w:pPr>
    <w:r w:rsidRPr="00FA7260">
      <w:rPr>
        <w:rFonts w:ascii="Arial" w:hAnsi="Arial" w:cs="Arial"/>
        <w:color w:val="000000"/>
        <w:sz w:val="20"/>
        <w:szCs w:val="16"/>
      </w:rPr>
      <w:t>Appeal Numbers: PA/04588/2016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A68B1" w14:textId="77777777" w:rsidR="001B1B78" w:rsidRPr="000704BB" w:rsidRDefault="001B1B78">
    <w:pPr>
      <w:pStyle w:val="Header"/>
      <w:rPr>
        <w:rFonts w:ascii="Book Antiqua" w:hAnsi="Book Antiqua"/>
      </w:rPr>
    </w:pPr>
    <w:r w:rsidRPr="000704BB"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DB6"/>
    <w:rsid w:val="00000621"/>
    <w:rsid w:val="000036C2"/>
    <w:rsid w:val="00010B3D"/>
    <w:rsid w:val="00014C67"/>
    <w:rsid w:val="00024D27"/>
    <w:rsid w:val="00033D3D"/>
    <w:rsid w:val="00046259"/>
    <w:rsid w:val="000553C8"/>
    <w:rsid w:val="00062F02"/>
    <w:rsid w:val="00065DB6"/>
    <w:rsid w:val="0006773F"/>
    <w:rsid w:val="000704BB"/>
    <w:rsid w:val="00071A7E"/>
    <w:rsid w:val="000746C0"/>
    <w:rsid w:val="00074D1D"/>
    <w:rsid w:val="00082813"/>
    <w:rsid w:val="00092580"/>
    <w:rsid w:val="00093D4D"/>
    <w:rsid w:val="000A2B4E"/>
    <w:rsid w:val="000D5D94"/>
    <w:rsid w:val="000F1A0E"/>
    <w:rsid w:val="00113556"/>
    <w:rsid w:val="001165A7"/>
    <w:rsid w:val="00117E31"/>
    <w:rsid w:val="001361F9"/>
    <w:rsid w:val="0014366D"/>
    <w:rsid w:val="00144C70"/>
    <w:rsid w:val="00150C5F"/>
    <w:rsid w:val="00167D3A"/>
    <w:rsid w:val="00185FD1"/>
    <w:rsid w:val="00190911"/>
    <w:rsid w:val="00194649"/>
    <w:rsid w:val="001A07E6"/>
    <w:rsid w:val="001A3082"/>
    <w:rsid w:val="001A68A3"/>
    <w:rsid w:val="001B186A"/>
    <w:rsid w:val="001B1B78"/>
    <w:rsid w:val="001B2F75"/>
    <w:rsid w:val="001C2D96"/>
    <w:rsid w:val="001C468E"/>
    <w:rsid w:val="001C5B44"/>
    <w:rsid w:val="001E2FCA"/>
    <w:rsid w:val="001F2716"/>
    <w:rsid w:val="00207617"/>
    <w:rsid w:val="0021721E"/>
    <w:rsid w:val="0022369D"/>
    <w:rsid w:val="0023134B"/>
    <w:rsid w:val="002378A2"/>
    <w:rsid w:val="00265B39"/>
    <w:rsid w:val="0026669C"/>
    <w:rsid w:val="002738B9"/>
    <w:rsid w:val="00283659"/>
    <w:rsid w:val="00283B86"/>
    <w:rsid w:val="002A0895"/>
    <w:rsid w:val="002A661D"/>
    <w:rsid w:val="002C6BD4"/>
    <w:rsid w:val="002D5312"/>
    <w:rsid w:val="002D68BF"/>
    <w:rsid w:val="002F4FF0"/>
    <w:rsid w:val="002F6B98"/>
    <w:rsid w:val="00305E86"/>
    <w:rsid w:val="003262EF"/>
    <w:rsid w:val="00327F52"/>
    <w:rsid w:val="0033240F"/>
    <w:rsid w:val="00336CBF"/>
    <w:rsid w:val="00343FE3"/>
    <w:rsid w:val="003520D4"/>
    <w:rsid w:val="003546C8"/>
    <w:rsid w:val="00356224"/>
    <w:rsid w:val="00365E97"/>
    <w:rsid w:val="003749BC"/>
    <w:rsid w:val="0039262C"/>
    <w:rsid w:val="003A194F"/>
    <w:rsid w:val="003A7CF2"/>
    <w:rsid w:val="003C5CE5"/>
    <w:rsid w:val="003D732D"/>
    <w:rsid w:val="003E267B"/>
    <w:rsid w:val="003E33A9"/>
    <w:rsid w:val="003E43DE"/>
    <w:rsid w:val="003E530F"/>
    <w:rsid w:val="003E7CD1"/>
    <w:rsid w:val="00402B9E"/>
    <w:rsid w:val="004249CB"/>
    <w:rsid w:val="0044127D"/>
    <w:rsid w:val="004448DB"/>
    <w:rsid w:val="00445094"/>
    <w:rsid w:val="00446C9A"/>
    <w:rsid w:val="00452F2B"/>
    <w:rsid w:val="00477193"/>
    <w:rsid w:val="00481250"/>
    <w:rsid w:val="00483B99"/>
    <w:rsid w:val="004A107D"/>
    <w:rsid w:val="004A1848"/>
    <w:rsid w:val="004A3A42"/>
    <w:rsid w:val="004A6F4A"/>
    <w:rsid w:val="004C6395"/>
    <w:rsid w:val="004C6A0D"/>
    <w:rsid w:val="004C731A"/>
    <w:rsid w:val="004D5558"/>
    <w:rsid w:val="004E0F3D"/>
    <w:rsid w:val="004E4717"/>
    <w:rsid w:val="00507FEC"/>
    <w:rsid w:val="00510F0E"/>
    <w:rsid w:val="00535541"/>
    <w:rsid w:val="00535861"/>
    <w:rsid w:val="005479E1"/>
    <w:rsid w:val="00553E0A"/>
    <w:rsid w:val="005564C0"/>
    <w:rsid w:val="005570FD"/>
    <w:rsid w:val="005575EA"/>
    <w:rsid w:val="0057790C"/>
    <w:rsid w:val="00580FC5"/>
    <w:rsid w:val="00593795"/>
    <w:rsid w:val="005A1758"/>
    <w:rsid w:val="005A75FF"/>
    <w:rsid w:val="005B5EBA"/>
    <w:rsid w:val="005C2522"/>
    <w:rsid w:val="005D10AB"/>
    <w:rsid w:val="005D5EFD"/>
    <w:rsid w:val="005F5FA3"/>
    <w:rsid w:val="00601D8F"/>
    <w:rsid w:val="00612EE7"/>
    <w:rsid w:val="0062519A"/>
    <w:rsid w:val="006378F4"/>
    <w:rsid w:val="00643BFC"/>
    <w:rsid w:val="00647A89"/>
    <w:rsid w:val="00653E97"/>
    <w:rsid w:val="00657700"/>
    <w:rsid w:val="006701F7"/>
    <w:rsid w:val="00675EBD"/>
    <w:rsid w:val="00684A74"/>
    <w:rsid w:val="00686612"/>
    <w:rsid w:val="00690B8A"/>
    <w:rsid w:val="00694A30"/>
    <w:rsid w:val="006C7071"/>
    <w:rsid w:val="006C758F"/>
    <w:rsid w:val="006F2CF1"/>
    <w:rsid w:val="007038ED"/>
    <w:rsid w:val="00703BC3"/>
    <w:rsid w:val="00704B61"/>
    <w:rsid w:val="0070780B"/>
    <w:rsid w:val="0071355E"/>
    <w:rsid w:val="00713BE1"/>
    <w:rsid w:val="00737D7E"/>
    <w:rsid w:val="00751B5E"/>
    <w:rsid w:val="007552A9"/>
    <w:rsid w:val="00761858"/>
    <w:rsid w:val="007666BA"/>
    <w:rsid w:val="00767D59"/>
    <w:rsid w:val="00776E97"/>
    <w:rsid w:val="00780F86"/>
    <w:rsid w:val="007912AD"/>
    <w:rsid w:val="007952AC"/>
    <w:rsid w:val="00797649"/>
    <w:rsid w:val="007B0824"/>
    <w:rsid w:val="007B5D3C"/>
    <w:rsid w:val="007F2A46"/>
    <w:rsid w:val="00806249"/>
    <w:rsid w:val="00812FCA"/>
    <w:rsid w:val="00821B72"/>
    <w:rsid w:val="00823EF2"/>
    <w:rsid w:val="008303B8"/>
    <w:rsid w:val="00830442"/>
    <w:rsid w:val="00833DCE"/>
    <w:rsid w:val="00847320"/>
    <w:rsid w:val="00857E38"/>
    <w:rsid w:val="00871D34"/>
    <w:rsid w:val="008A5D70"/>
    <w:rsid w:val="008A680B"/>
    <w:rsid w:val="008B1ACE"/>
    <w:rsid w:val="008B270C"/>
    <w:rsid w:val="008B5078"/>
    <w:rsid w:val="008C335B"/>
    <w:rsid w:val="008C3D3D"/>
    <w:rsid w:val="008C61E2"/>
    <w:rsid w:val="008D4131"/>
    <w:rsid w:val="008E45AC"/>
    <w:rsid w:val="008F1932"/>
    <w:rsid w:val="00913820"/>
    <w:rsid w:val="00921062"/>
    <w:rsid w:val="00922C55"/>
    <w:rsid w:val="009256CB"/>
    <w:rsid w:val="00926732"/>
    <w:rsid w:val="00931794"/>
    <w:rsid w:val="00951CD0"/>
    <w:rsid w:val="00963566"/>
    <w:rsid w:val="00967526"/>
    <w:rsid w:val="00971EE2"/>
    <w:rsid w:val="009722BC"/>
    <w:rsid w:val="009727A3"/>
    <w:rsid w:val="009772BC"/>
    <w:rsid w:val="00977FC0"/>
    <w:rsid w:val="0098074D"/>
    <w:rsid w:val="00987774"/>
    <w:rsid w:val="009A11E8"/>
    <w:rsid w:val="009A70E2"/>
    <w:rsid w:val="009C16B5"/>
    <w:rsid w:val="009D3D00"/>
    <w:rsid w:val="009E21C5"/>
    <w:rsid w:val="009F4A7D"/>
    <w:rsid w:val="009F5220"/>
    <w:rsid w:val="00A15234"/>
    <w:rsid w:val="00A201AB"/>
    <w:rsid w:val="00A23E9B"/>
    <w:rsid w:val="00A31C8B"/>
    <w:rsid w:val="00A509FA"/>
    <w:rsid w:val="00A71C11"/>
    <w:rsid w:val="00A845DC"/>
    <w:rsid w:val="00AA6368"/>
    <w:rsid w:val="00AD009E"/>
    <w:rsid w:val="00AD159E"/>
    <w:rsid w:val="00AF1500"/>
    <w:rsid w:val="00B1111A"/>
    <w:rsid w:val="00B254F1"/>
    <w:rsid w:val="00B26AA2"/>
    <w:rsid w:val="00B3524D"/>
    <w:rsid w:val="00B40F69"/>
    <w:rsid w:val="00B46616"/>
    <w:rsid w:val="00B50B64"/>
    <w:rsid w:val="00B522F7"/>
    <w:rsid w:val="00B7040A"/>
    <w:rsid w:val="00B825D7"/>
    <w:rsid w:val="00B83391"/>
    <w:rsid w:val="00B95326"/>
    <w:rsid w:val="00BA15E4"/>
    <w:rsid w:val="00BC39D4"/>
    <w:rsid w:val="00BD02B4"/>
    <w:rsid w:val="00BD4196"/>
    <w:rsid w:val="00BF22CA"/>
    <w:rsid w:val="00BF23BB"/>
    <w:rsid w:val="00C033F5"/>
    <w:rsid w:val="00C26032"/>
    <w:rsid w:val="00C30B96"/>
    <w:rsid w:val="00C345E1"/>
    <w:rsid w:val="00C43BFD"/>
    <w:rsid w:val="00C50D86"/>
    <w:rsid w:val="00C643A0"/>
    <w:rsid w:val="00C762FD"/>
    <w:rsid w:val="00C77BDD"/>
    <w:rsid w:val="00C82528"/>
    <w:rsid w:val="00C86051"/>
    <w:rsid w:val="00C93A95"/>
    <w:rsid w:val="00C96F83"/>
    <w:rsid w:val="00CA3CD1"/>
    <w:rsid w:val="00CA76FD"/>
    <w:rsid w:val="00CB6E35"/>
    <w:rsid w:val="00CC7554"/>
    <w:rsid w:val="00CE1A46"/>
    <w:rsid w:val="00CE2D36"/>
    <w:rsid w:val="00D11364"/>
    <w:rsid w:val="00D14641"/>
    <w:rsid w:val="00D15652"/>
    <w:rsid w:val="00D17CC5"/>
    <w:rsid w:val="00D20757"/>
    <w:rsid w:val="00D22636"/>
    <w:rsid w:val="00D32925"/>
    <w:rsid w:val="00D32962"/>
    <w:rsid w:val="00D40FD9"/>
    <w:rsid w:val="00D41C8C"/>
    <w:rsid w:val="00D53769"/>
    <w:rsid w:val="00D6169E"/>
    <w:rsid w:val="00D7088E"/>
    <w:rsid w:val="00D85C13"/>
    <w:rsid w:val="00D90090"/>
    <w:rsid w:val="00D9111A"/>
    <w:rsid w:val="00D91BE3"/>
    <w:rsid w:val="00D924FE"/>
    <w:rsid w:val="00D92CE1"/>
    <w:rsid w:val="00D94AFC"/>
    <w:rsid w:val="00DB70AE"/>
    <w:rsid w:val="00DC0588"/>
    <w:rsid w:val="00DC4FF6"/>
    <w:rsid w:val="00DD5071"/>
    <w:rsid w:val="00DD5C39"/>
    <w:rsid w:val="00DE5E10"/>
    <w:rsid w:val="00DE7DB7"/>
    <w:rsid w:val="00E00A0A"/>
    <w:rsid w:val="00E04541"/>
    <w:rsid w:val="00E066DE"/>
    <w:rsid w:val="00E07F57"/>
    <w:rsid w:val="00E15145"/>
    <w:rsid w:val="00E21F28"/>
    <w:rsid w:val="00E300E3"/>
    <w:rsid w:val="00E30683"/>
    <w:rsid w:val="00E35217"/>
    <w:rsid w:val="00E453D8"/>
    <w:rsid w:val="00E458EF"/>
    <w:rsid w:val="00E50813"/>
    <w:rsid w:val="00E50BCE"/>
    <w:rsid w:val="00E574BF"/>
    <w:rsid w:val="00E61292"/>
    <w:rsid w:val="00E64FB0"/>
    <w:rsid w:val="00E65853"/>
    <w:rsid w:val="00E67837"/>
    <w:rsid w:val="00E77C4D"/>
    <w:rsid w:val="00E81D01"/>
    <w:rsid w:val="00EA3675"/>
    <w:rsid w:val="00EC4AF3"/>
    <w:rsid w:val="00EE05E3"/>
    <w:rsid w:val="00EE45D8"/>
    <w:rsid w:val="00EE5E0D"/>
    <w:rsid w:val="00EF32BD"/>
    <w:rsid w:val="00EF7151"/>
    <w:rsid w:val="00F0478D"/>
    <w:rsid w:val="00F10D52"/>
    <w:rsid w:val="00F22EDA"/>
    <w:rsid w:val="00F517D0"/>
    <w:rsid w:val="00F64AA5"/>
    <w:rsid w:val="00F77F3F"/>
    <w:rsid w:val="00F8655C"/>
    <w:rsid w:val="00F9433B"/>
    <w:rsid w:val="00FA3933"/>
    <w:rsid w:val="00FA6AAF"/>
    <w:rsid w:val="00FA7260"/>
    <w:rsid w:val="00FB791E"/>
    <w:rsid w:val="00FC1E6B"/>
    <w:rsid w:val="00FC7C35"/>
    <w:rsid w:val="00FD7AE5"/>
    <w:rsid w:val="00FE46AA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7034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customStyle="1" w:styleId="Body">
    <w:name w:val="Body"/>
    <w:rsid w:val="00194649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Arial Unicode MS" w:eastAsia="Arial Unicode MS" w:hAnsi="Arial Unicode MS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2018-06-15T11:42:00Z</dcterms:created>
  <dcterms:modified xsi:type="dcterms:W3CDTF">2018-06-15T11:42:00Z</dcterms:modified>
</cp:coreProperties>
</file>