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254F9A" w:rsidRDefault="00254F9A" w:rsidP="00254F9A">
      <w:pPr>
        <w:jc w:val="center"/>
        <w:rPr>
          <w:rFonts w:ascii="Book Antiqua" w:hAnsi="Book Antiqua" w:cs="Arial"/>
          <w:color w:val="000000"/>
          <w:sz w:val="16"/>
          <w:szCs w:val="16"/>
        </w:rPr>
      </w:pPr>
      <w:r w:rsidRPr="00254F9A">
        <w:rPr>
          <w:noProof/>
          <w:sz w:val="16"/>
          <w:szCs w:val="16"/>
        </w:rPr>
        <w:drawing>
          <wp:inline distT="0" distB="0" distL="0" distR="0" wp14:anchorId="206C8667" wp14:editId="7E6CCE1E">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F97703" w:rsidRPr="00254F9A" w:rsidRDefault="00F97703" w:rsidP="00254F9A">
      <w:pPr>
        <w:jc w:val="center"/>
        <w:rPr>
          <w:rFonts w:ascii="Book Antiqua" w:hAnsi="Book Antiqua" w:cs="Arial"/>
          <w:color w:val="000000"/>
          <w:sz w:val="16"/>
          <w:szCs w:val="16"/>
        </w:rPr>
      </w:pPr>
    </w:p>
    <w:p w:rsidR="00F97703" w:rsidRPr="00DB51FF" w:rsidRDefault="00611011" w:rsidP="00780F86">
      <w:pPr>
        <w:tabs>
          <w:tab w:val="right" w:pos="9720"/>
        </w:tabs>
        <w:ind w:right="-82"/>
        <w:rPr>
          <w:rFonts w:ascii="Book Antiqua" w:hAnsi="Book Antiqua" w:cs="Arial"/>
          <w:b/>
          <w:color w:val="000000"/>
        </w:rPr>
      </w:pPr>
      <w:r w:rsidRPr="00DB51FF">
        <w:rPr>
          <w:rFonts w:ascii="Book Antiqua" w:hAnsi="Book Antiqua" w:cs="Arial"/>
          <w:b/>
          <w:color w:val="000000"/>
        </w:rPr>
        <w:t>Upper</w:t>
      </w:r>
      <w:r w:rsidR="00F97703" w:rsidRPr="00DB51FF">
        <w:rPr>
          <w:rFonts w:ascii="Book Antiqua" w:hAnsi="Book Antiqua" w:cs="Arial"/>
          <w:b/>
          <w:color w:val="000000"/>
        </w:rPr>
        <w:t xml:space="preserve"> Tribunal </w:t>
      </w:r>
    </w:p>
    <w:p w:rsidR="007B0824" w:rsidRPr="00DB51FF" w:rsidRDefault="00F97703" w:rsidP="00780F86">
      <w:pPr>
        <w:tabs>
          <w:tab w:val="right" w:pos="9720"/>
        </w:tabs>
        <w:ind w:right="-82"/>
        <w:rPr>
          <w:rFonts w:ascii="Book Antiqua" w:hAnsi="Book Antiqua" w:cs="Arial"/>
          <w:color w:val="000000"/>
        </w:rPr>
      </w:pPr>
      <w:r w:rsidRPr="00DB51FF">
        <w:rPr>
          <w:rFonts w:ascii="Book Antiqua" w:hAnsi="Book Antiqua" w:cs="Arial"/>
          <w:b/>
          <w:color w:val="000000"/>
        </w:rPr>
        <w:t>(Immigration and Asylum Chamber)</w:t>
      </w:r>
      <w:r w:rsidR="00DB70AE" w:rsidRPr="00DB51FF">
        <w:rPr>
          <w:rFonts w:ascii="Book Antiqua" w:hAnsi="Book Antiqua" w:cs="Arial"/>
          <w:b/>
          <w:color w:val="000000"/>
        </w:rPr>
        <w:tab/>
      </w:r>
      <w:r w:rsidR="00B3524D" w:rsidRPr="00DB51FF">
        <w:rPr>
          <w:rFonts w:ascii="Book Antiqua" w:hAnsi="Book Antiqua" w:cs="Arial"/>
          <w:color w:val="000000"/>
        </w:rPr>
        <w:t>Appeal Number</w:t>
      </w:r>
      <w:r w:rsidR="00D53769" w:rsidRPr="00DB51FF">
        <w:rPr>
          <w:rFonts w:ascii="Book Antiqua" w:hAnsi="Book Antiqua" w:cs="Arial"/>
          <w:color w:val="000000"/>
        </w:rPr>
        <w:t>:</w:t>
      </w:r>
      <w:r w:rsidR="00B3524D" w:rsidRPr="00DB51FF">
        <w:rPr>
          <w:rFonts w:ascii="Book Antiqua" w:hAnsi="Book Antiqua" w:cs="Arial"/>
          <w:color w:val="000000"/>
        </w:rPr>
        <w:t xml:space="preserve"> </w:t>
      </w:r>
      <w:bookmarkStart w:id="0" w:name="_GoBack"/>
      <w:r w:rsidR="00BA10C4" w:rsidRPr="00DB51FF">
        <w:rPr>
          <w:rFonts w:ascii="Book Antiqua" w:hAnsi="Book Antiqua" w:cs="Arial"/>
          <w:caps/>
          <w:color w:val="000000"/>
        </w:rPr>
        <w:t>PA/04602/2017</w:t>
      </w:r>
      <w:bookmarkEnd w:id="0"/>
    </w:p>
    <w:p w:rsidR="00C345E1" w:rsidRPr="00DB51FF" w:rsidRDefault="00C345E1" w:rsidP="00C345E1">
      <w:pPr>
        <w:jc w:val="center"/>
        <w:rPr>
          <w:rFonts w:ascii="Book Antiqua" w:hAnsi="Book Antiqua" w:cs="Arial"/>
          <w:color w:val="000000"/>
        </w:rPr>
      </w:pPr>
    </w:p>
    <w:p w:rsidR="00254F9A" w:rsidRDefault="00254F9A" w:rsidP="00C345E1">
      <w:pPr>
        <w:jc w:val="center"/>
        <w:rPr>
          <w:rFonts w:ascii="Book Antiqua" w:hAnsi="Book Antiqua" w:cs="Arial"/>
          <w:b/>
          <w:color w:val="000000"/>
          <w:u w:val="single"/>
        </w:rPr>
      </w:pPr>
    </w:p>
    <w:p w:rsidR="00C345E1" w:rsidRDefault="00C345E1" w:rsidP="00C345E1">
      <w:pPr>
        <w:jc w:val="center"/>
        <w:rPr>
          <w:rFonts w:ascii="Book Antiqua" w:hAnsi="Book Antiqua" w:cs="Arial"/>
          <w:b/>
          <w:color w:val="000000"/>
          <w:u w:val="single"/>
        </w:rPr>
      </w:pPr>
      <w:r w:rsidRPr="00DB51FF">
        <w:rPr>
          <w:rFonts w:ascii="Book Antiqua" w:hAnsi="Book Antiqua" w:cs="Arial"/>
          <w:b/>
          <w:color w:val="000000"/>
          <w:u w:val="single"/>
        </w:rPr>
        <w:t>THE IMMIGRATION ACTS</w:t>
      </w:r>
    </w:p>
    <w:p w:rsidR="00254F9A" w:rsidRPr="00DB51FF" w:rsidRDefault="00254F9A" w:rsidP="00C345E1">
      <w:pPr>
        <w:jc w:val="center"/>
        <w:rPr>
          <w:rFonts w:ascii="Book Antiqua" w:hAnsi="Book Antiqua" w:cs="Arial"/>
          <w:b/>
          <w:color w:val="000000"/>
          <w:u w:val="single"/>
        </w:rPr>
      </w:pPr>
    </w:p>
    <w:p w:rsidR="00C345E1" w:rsidRPr="00DB51FF"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4686"/>
        <w:gridCol w:w="4952"/>
      </w:tblGrid>
      <w:tr w:rsidR="00D22636" w:rsidRPr="00DB51FF" w:rsidTr="00096DD5">
        <w:tc>
          <w:tcPr>
            <w:tcW w:w="4786" w:type="dxa"/>
            <w:shd w:val="clear" w:color="auto" w:fill="auto"/>
          </w:tcPr>
          <w:p w:rsidR="00D22636" w:rsidRPr="00DB51FF" w:rsidRDefault="00F22430" w:rsidP="000D0CB5">
            <w:pPr>
              <w:jc w:val="both"/>
              <w:rPr>
                <w:rFonts w:ascii="Book Antiqua" w:hAnsi="Book Antiqua" w:cs="Arial"/>
                <w:b/>
              </w:rPr>
            </w:pPr>
            <w:r w:rsidRPr="00DB51FF">
              <w:rPr>
                <w:rFonts w:ascii="Book Antiqua" w:hAnsi="Book Antiqua" w:cs="Arial"/>
                <w:b/>
              </w:rPr>
              <w:t xml:space="preserve">Heard at </w:t>
            </w:r>
            <w:r w:rsidR="000060DE" w:rsidRPr="00DB51FF">
              <w:rPr>
                <w:rFonts w:ascii="Book Antiqua" w:hAnsi="Book Antiqua" w:cs="Arial"/>
                <w:b/>
              </w:rPr>
              <w:t xml:space="preserve">Field House </w:t>
            </w:r>
          </w:p>
        </w:tc>
        <w:tc>
          <w:tcPr>
            <w:tcW w:w="5042" w:type="dxa"/>
            <w:shd w:val="clear" w:color="auto" w:fill="auto"/>
          </w:tcPr>
          <w:p w:rsidR="00D22636" w:rsidRPr="00DB51FF" w:rsidRDefault="00D51814" w:rsidP="000D0CB5">
            <w:pPr>
              <w:jc w:val="both"/>
              <w:rPr>
                <w:rFonts w:ascii="Book Antiqua" w:hAnsi="Book Antiqua" w:cs="Arial"/>
                <w:b/>
                <w:color w:val="000000"/>
              </w:rPr>
            </w:pPr>
            <w:r w:rsidRPr="00DB51FF">
              <w:rPr>
                <w:rFonts w:ascii="Book Antiqua" w:hAnsi="Book Antiqua" w:cs="Arial"/>
                <w:b/>
                <w:color w:val="000000"/>
              </w:rPr>
              <w:t xml:space="preserve">Decision </w:t>
            </w:r>
            <w:r w:rsidR="00096DD5">
              <w:rPr>
                <w:rFonts w:ascii="Book Antiqua" w:hAnsi="Book Antiqua" w:cs="Arial"/>
                <w:b/>
                <w:color w:val="000000"/>
              </w:rPr>
              <w:t>and Reasons Promulgated</w:t>
            </w:r>
          </w:p>
        </w:tc>
      </w:tr>
      <w:tr w:rsidR="000060DE" w:rsidRPr="00DB51FF" w:rsidTr="00096DD5">
        <w:tc>
          <w:tcPr>
            <w:tcW w:w="4786" w:type="dxa"/>
            <w:shd w:val="clear" w:color="auto" w:fill="auto"/>
          </w:tcPr>
          <w:p w:rsidR="000060DE" w:rsidRPr="00DB51FF" w:rsidRDefault="000060DE" w:rsidP="000D0CB5">
            <w:pPr>
              <w:jc w:val="both"/>
              <w:rPr>
                <w:rFonts w:ascii="Book Antiqua" w:hAnsi="Book Antiqua" w:cs="Arial"/>
                <w:b/>
              </w:rPr>
            </w:pPr>
          </w:p>
        </w:tc>
        <w:tc>
          <w:tcPr>
            <w:tcW w:w="5042" w:type="dxa"/>
            <w:vMerge w:val="restart"/>
            <w:shd w:val="clear" w:color="auto" w:fill="auto"/>
          </w:tcPr>
          <w:p w:rsidR="000060DE" w:rsidRPr="00DB51FF" w:rsidRDefault="00096DD5" w:rsidP="000D0CB5">
            <w:pPr>
              <w:spacing w:before="240"/>
              <w:jc w:val="both"/>
              <w:rPr>
                <w:rFonts w:ascii="Book Antiqua" w:hAnsi="Book Antiqua" w:cs="Arial"/>
                <w:b/>
              </w:rPr>
            </w:pPr>
            <w:r w:rsidRPr="00096DD5">
              <w:rPr>
                <w:rFonts w:ascii="Book Antiqua" w:hAnsi="Book Antiqua" w:cs="Arial"/>
                <w:b/>
              </w:rPr>
              <w:t>On 10 September 2018</w:t>
            </w:r>
          </w:p>
        </w:tc>
      </w:tr>
      <w:tr w:rsidR="000060DE" w:rsidRPr="00DB51FF" w:rsidTr="00096DD5">
        <w:trPr>
          <w:trHeight w:val="239"/>
        </w:trPr>
        <w:tc>
          <w:tcPr>
            <w:tcW w:w="4786" w:type="dxa"/>
            <w:shd w:val="clear" w:color="auto" w:fill="auto"/>
          </w:tcPr>
          <w:p w:rsidR="000060DE" w:rsidRPr="00DB51FF" w:rsidRDefault="00096DD5" w:rsidP="000D0CB5">
            <w:pPr>
              <w:jc w:val="both"/>
              <w:rPr>
                <w:rFonts w:ascii="Book Antiqua" w:hAnsi="Book Antiqua" w:cs="Arial"/>
                <w:b/>
              </w:rPr>
            </w:pPr>
            <w:r w:rsidRPr="00096DD5">
              <w:rPr>
                <w:rFonts w:ascii="Book Antiqua" w:hAnsi="Book Antiqua" w:cs="Arial"/>
                <w:b/>
              </w:rPr>
              <w:t>On 9 August 2018</w:t>
            </w:r>
          </w:p>
        </w:tc>
        <w:tc>
          <w:tcPr>
            <w:tcW w:w="5042" w:type="dxa"/>
            <w:vMerge/>
            <w:shd w:val="clear" w:color="auto" w:fill="auto"/>
          </w:tcPr>
          <w:p w:rsidR="000060DE" w:rsidRPr="00DB51FF" w:rsidRDefault="000060DE" w:rsidP="000D0CB5">
            <w:pPr>
              <w:jc w:val="both"/>
              <w:rPr>
                <w:rFonts w:ascii="Book Antiqua" w:hAnsi="Book Antiqua" w:cs="Arial"/>
                <w:b/>
              </w:rPr>
            </w:pPr>
          </w:p>
        </w:tc>
      </w:tr>
    </w:tbl>
    <w:p w:rsidR="00A15234" w:rsidRPr="00DB51FF" w:rsidRDefault="00A15234" w:rsidP="00A15234">
      <w:pPr>
        <w:jc w:val="center"/>
        <w:rPr>
          <w:rFonts w:ascii="Book Antiqua" w:hAnsi="Book Antiqua" w:cs="Arial"/>
        </w:rPr>
      </w:pPr>
    </w:p>
    <w:p w:rsidR="00254F9A" w:rsidRDefault="00254F9A" w:rsidP="00A15234">
      <w:pPr>
        <w:jc w:val="center"/>
        <w:rPr>
          <w:rFonts w:ascii="Book Antiqua" w:hAnsi="Book Antiqua" w:cs="Arial"/>
          <w:b/>
        </w:rPr>
      </w:pPr>
    </w:p>
    <w:p w:rsidR="00A15234" w:rsidRPr="00DB51FF" w:rsidRDefault="00207617" w:rsidP="00A15234">
      <w:pPr>
        <w:jc w:val="center"/>
        <w:rPr>
          <w:rFonts w:ascii="Book Antiqua" w:hAnsi="Book Antiqua" w:cs="Arial"/>
          <w:b/>
        </w:rPr>
      </w:pPr>
      <w:r w:rsidRPr="00DB51FF">
        <w:rPr>
          <w:rFonts w:ascii="Book Antiqua" w:hAnsi="Book Antiqua" w:cs="Arial"/>
          <w:b/>
        </w:rPr>
        <w:t>Befo</w:t>
      </w:r>
      <w:r w:rsidR="00A15234" w:rsidRPr="00DB51FF">
        <w:rPr>
          <w:rFonts w:ascii="Book Antiqua" w:hAnsi="Book Antiqua" w:cs="Arial"/>
          <w:b/>
        </w:rPr>
        <w:t>re</w:t>
      </w:r>
    </w:p>
    <w:p w:rsidR="00A15234" w:rsidRPr="00DB51FF" w:rsidRDefault="00A15234" w:rsidP="00A15234">
      <w:pPr>
        <w:jc w:val="center"/>
        <w:rPr>
          <w:rFonts w:ascii="Book Antiqua" w:hAnsi="Book Antiqua" w:cs="Arial"/>
          <w:b/>
        </w:rPr>
      </w:pPr>
    </w:p>
    <w:p w:rsidR="001B186A" w:rsidRPr="00DB51FF" w:rsidRDefault="00AD7978" w:rsidP="00A15234">
      <w:pPr>
        <w:jc w:val="center"/>
        <w:rPr>
          <w:rFonts w:ascii="Book Antiqua" w:hAnsi="Book Antiqua" w:cs="Arial"/>
          <w:b/>
          <w:color w:val="000000"/>
          <w:sz w:val="26"/>
        </w:rPr>
      </w:pPr>
      <w:r w:rsidRPr="00DB51FF">
        <w:rPr>
          <w:rFonts w:ascii="Book Antiqua" w:hAnsi="Book Antiqua" w:cs="Arial"/>
          <w:b/>
          <w:color w:val="000000"/>
          <w:sz w:val="26"/>
        </w:rPr>
        <w:t xml:space="preserve">UPPER TRIBUNAL </w:t>
      </w:r>
      <w:r w:rsidR="001B2F75" w:rsidRPr="00DB51FF">
        <w:rPr>
          <w:rFonts w:ascii="Book Antiqua" w:hAnsi="Book Antiqua" w:cs="Arial"/>
          <w:b/>
          <w:color w:val="000000"/>
          <w:sz w:val="26"/>
        </w:rPr>
        <w:t xml:space="preserve">JUDGE </w:t>
      </w:r>
      <w:r w:rsidR="00F22430" w:rsidRPr="00DB51FF">
        <w:rPr>
          <w:rFonts w:ascii="Book Antiqua" w:hAnsi="Book Antiqua" w:cs="Arial"/>
          <w:b/>
          <w:color w:val="000000"/>
          <w:sz w:val="26"/>
        </w:rPr>
        <w:t>GLEESON</w:t>
      </w:r>
    </w:p>
    <w:p w:rsidR="001B186A" w:rsidRPr="00DB51FF" w:rsidRDefault="001B186A" w:rsidP="00A15234">
      <w:pPr>
        <w:jc w:val="center"/>
        <w:rPr>
          <w:rFonts w:ascii="Book Antiqua" w:hAnsi="Book Antiqua" w:cs="Arial"/>
          <w:b/>
          <w:color w:val="000000"/>
        </w:rPr>
      </w:pPr>
    </w:p>
    <w:p w:rsidR="000E01B8" w:rsidRPr="00DB51FF" w:rsidRDefault="000E01B8" w:rsidP="00A15234">
      <w:pPr>
        <w:jc w:val="center"/>
        <w:rPr>
          <w:rFonts w:ascii="Book Antiqua" w:hAnsi="Book Antiqua" w:cs="Arial"/>
          <w:b/>
        </w:rPr>
      </w:pPr>
    </w:p>
    <w:p w:rsidR="00A845DC" w:rsidRPr="00DB51FF" w:rsidRDefault="00A845DC" w:rsidP="00A15234">
      <w:pPr>
        <w:jc w:val="center"/>
        <w:rPr>
          <w:rFonts w:ascii="Book Antiqua" w:hAnsi="Book Antiqua" w:cs="Arial"/>
          <w:b/>
        </w:rPr>
      </w:pPr>
      <w:r w:rsidRPr="00DB51FF">
        <w:rPr>
          <w:rFonts w:ascii="Book Antiqua" w:hAnsi="Book Antiqua" w:cs="Arial"/>
          <w:b/>
        </w:rPr>
        <w:t>Between</w:t>
      </w:r>
    </w:p>
    <w:p w:rsidR="00A845DC" w:rsidRPr="00DB51FF" w:rsidRDefault="00A845DC" w:rsidP="00A15234">
      <w:pPr>
        <w:jc w:val="center"/>
        <w:rPr>
          <w:rFonts w:ascii="Book Antiqua" w:hAnsi="Book Antiqua" w:cs="Arial"/>
          <w:b/>
        </w:rPr>
      </w:pPr>
    </w:p>
    <w:p w:rsidR="00AD7978" w:rsidRPr="00DB51FF" w:rsidRDefault="00BA10C4" w:rsidP="00A15234">
      <w:pPr>
        <w:jc w:val="center"/>
        <w:rPr>
          <w:rFonts w:ascii="Book Antiqua" w:hAnsi="Book Antiqua" w:cs="Arial"/>
          <w:b/>
          <w:caps/>
        </w:rPr>
      </w:pPr>
      <w:r w:rsidRPr="00DB51FF">
        <w:rPr>
          <w:rFonts w:ascii="Book Antiqua" w:hAnsi="Book Antiqua" w:cs="Arial"/>
          <w:b/>
          <w:caps/>
          <w:sz w:val="26"/>
        </w:rPr>
        <w:t>S M H</w:t>
      </w:r>
    </w:p>
    <w:p w:rsidR="00A845DC" w:rsidRPr="00DB51FF" w:rsidRDefault="00AD7978" w:rsidP="00BA10C4">
      <w:pPr>
        <w:jc w:val="center"/>
        <w:rPr>
          <w:rFonts w:ascii="Book Antiqua" w:hAnsi="Book Antiqua" w:cs="Arial"/>
          <w:b/>
          <w:caps/>
        </w:rPr>
      </w:pPr>
      <w:r w:rsidRPr="00DB51FF">
        <w:rPr>
          <w:rFonts w:ascii="Book Antiqua" w:hAnsi="Book Antiqua" w:cs="Arial"/>
          <w:b/>
          <w:caps/>
        </w:rPr>
        <w:t>[</w:t>
      </w:r>
      <w:r w:rsidRPr="00DB51FF">
        <w:rPr>
          <w:rFonts w:ascii="Book Antiqua" w:hAnsi="Book Antiqua" w:cs="Arial"/>
          <w:b/>
          <w:caps/>
          <w:sz w:val="22"/>
        </w:rPr>
        <w:t>ANONYMITY ORDER</w:t>
      </w:r>
      <w:r w:rsidR="00BA10C4" w:rsidRPr="00DB51FF">
        <w:rPr>
          <w:rFonts w:ascii="Book Antiqua" w:hAnsi="Book Antiqua" w:cs="Arial"/>
          <w:b/>
          <w:caps/>
          <w:sz w:val="22"/>
        </w:rPr>
        <w:t xml:space="preserve"> made</w:t>
      </w:r>
      <w:r w:rsidRPr="00DB51FF">
        <w:rPr>
          <w:rFonts w:ascii="Book Antiqua" w:hAnsi="Book Antiqua" w:cs="Arial"/>
          <w:b/>
          <w:caps/>
        </w:rPr>
        <w:t xml:space="preserve">] </w:t>
      </w:r>
    </w:p>
    <w:p w:rsidR="00704B61" w:rsidRPr="00DB51FF" w:rsidRDefault="00704B61" w:rsidP="00704B61">
      <w:pPr>
        <w:jc w:val="right"/>
        <w:rPr>
          <w:rFonts w:ascii="Book Antiqua" w:hAnsi="Book Antiqua" w:cs="Arial"/>
          <w:u w:val="single"/>
        </w:rPr>
      </w:pPr>
      <w:r w:rsidRPr="00DB51FF">
        <w:rPr>
          <w:rFonts w:ascii="Book Antiqua" w:hAnsi="Book Antiqua" w:cs="Arial"/>
          <w:u w:val="single"/>
        </w:rPr>
        <w:t>Appellant</w:t>
      </w:r>
    </w:p>
    <w:p w:rsidR="00704B61" w:rsidRPr="00DB51FF" w:rsidRDefault="00DD5071" w:rsidP="00704B61">
      <w:pPr>
        <w:jc w:val="center"/>
        <w:rPr>
          <w:rFonts w:ascii="Book Antiqua" w:hAnsi="Book Antiqua" w:cs="Arial"/>
          <w:b/>
        </w:rPr>
      </w:pPr>
      <w:r w:rsidRPr="00DB51FF">
        <w:rPr>
          <w:rFonts w:ascii="Book Antiqua" w:hAnsi="Book Antiqua" w:cs="Arial"/>
          <w:b/>
        </w:rPr>
        <w:t>and</w:t>
      </w:r>
    </w:p>
    <w:p w:rsidR="00DD5071" w:rsidRPr="00DB51FF" w:rsidRDefault="00DD5071" w:rsidP="00704B61">
      <w:pPr>
        <w:jc w:val="center"/>
        <w:rPr>
          <w:rFonts w:ascii="Book Antiqua" w:hAnsi="Book Antiqua" w:cs="Arial"/>
          <w:b/>
        </w:rPr>
      </w:pPr>
    </w:p>
    <w:p w:rsidR="00DD5071" w:rsidRPr="00DB51FF" w:rsidRDefault="00AD7978" w:rsidP="00704B61">
      <w:pPr>
        <w:jc w:val="center"/>
        <w:rPr>
          <w:rFonts w:ascii="Book Antiqua" w:hAnsi="Book Antiqua" w:cs="Arial"/>
          <w:b/>
          <w:sz w:val="26"/>
        </w:rPr>
      </w:pPr>
      <w:r w:rsidRPr="00DB51FF">
        <w:rPr>
          <w:rFonts w:ascii="Book Antiqua" w:hAnsi="Book Antiqua" w:cs="Arial"/>
          <w:b/>
          <w:sz w:val="26"/>
        </w:rPr>
        <w:t xml:space="preserve">THE SECRETARY OF STATE FOR THE HOME DEPARTMENT  </w:t>
      </w:r>
    </w:p>
    <w:p w:rsidR="00DD5071" w:rsidRPr="00DB51FF" w:rsidRDefault="00DD5071" w:rsidP="00DD5071">
      <w:pPr>
        <w:jc w:val="right"/>
        <w:rPr>
          <w:rFonts w:ascii="Book Antiqua" w:hAnsi="Book Antiqua" w:cs="Arial"/>
          <w:u w:val="single"/>
        </w:rPr>
      </w:pPr>
      <w:r w:rsidRPr="00DB51FF">
        <w:rPr>
          <w:rFonts w:ascii="Book Antiqua" w:hAnsi="Book Antiqua" w:cs="Arial"/>
          <w:u w:val="single"/>
        </w:rPr>
        <w:t>Respondent</w:t>
      </w:r>
    </w:p>
    <w:p w:rsidR="00BA10C4" w:rsidRDefault="00BA10C4" w:rsidP="00DD5071">
      <w:pPr>
        <w:rPr>
          <w:rFonts w:ascii="Book Antiqua" w:hAnsi="Book Antiqua" w:cs="Arial"/>
          <w:u w:val="single"/>
        </w:rPr>
      </w:pPr>
    </w:p>
    <w:p w:rsidR="00254F9A" w:rsidRPr="00DB51FF" w:rsidRDefault="00254F9A" w:rsidP="00DD5071">
      <w:pPr>
        <w:rPr>
          <w:rFonts w:ascii="Book Antiqua" w:hAnsi="Book Antiqua" w:cs="Arial"/>
          <w:u w:val="single"/>
        </w:rPr>
      </w:pPr>
    </w:p>
    <w:p w:rsidR="00496861" w:rsidRPr="00DB51FF" w:rsidRDefault="00496861" w:rsidP="00DD5071">
      <w:pPr>
        <w:rPr>
          <w:rFonts w:ascii="Book Antiqua" w:hAnsi="Book Antiqua" w:cs="Arial"/>
          <w:u w:val="single"/>
        </w:rPr>
      </w:pPr>
      <w:r w:rsidRPr="00DB51FF">
        <w:rPr>
          <w:rFonts w:ascii="Book Antiqua" w:hAnsi="Book Antiqua" w:cs="Arial"/>
          <w:u w:val="single"/>
        </w:rPr>
        <w:t>Representation:</w:t>
      </w:r>
    </w:p>
    <w:p w:rsidR="00BA10C4" w:rsidRPr="00DB51FF" w:rsidRDefault="00496861" w:rsidP="00BA10C4">
      <w:pPr>
        <w:spacing w:before="240"/>
        <w:rPr>
          <w:rFonts w:ascii="Book Antiqua" w:hAnsi="Book Antiqua" w:cs="Arial"/>
        </w:rPr>
      </w:pPr>
      <w:r w:rsidRPr="00DB51FF">
        <w:rPr>
          <w:rFonts w:ascii="Book Antiqua" w:hAnsi="Book Antiqua" w:cs="Arial"/>
        </w:rPr>
        <w:t>For the appellant:</w:t>
      </w:r>
      <w:r w:rsidRPr="00DB51FF">
        <w:rPr>
          <w:rFonts w:ascii="Book Antiqua" w:hAnsi="Book Antiqua" w:cs="Arial"/>
        </w:rPr>
        <w:tab/>
      </w:r>
      <w:r w:rsidR="00BA10C4" w:rsidRPr="00DB51FF">
        <w:rPr>
          <w:rFonts w:ascii="Book Antiqua" w:hAnsi="Book Antiqua" w:cs="Arial"/>
        </w:rPr>
        <w:tab/>
        <w:t xml:space="preserve">Mr Rudolph Spurling, Counsel instructed by Barnes </w:t>
      </w:r>
      <w:proofErr w:type="spellStart"/>
      <w:r w:rsidR="00BA10C4" w:rsidRPr="00DB51FF">
        <w:rPr>
          <w:rFonts w:ascii="Book Antiqua" w:hAnsi="Book Antiqua" w:cs="Arial"/>
        </w:rPr>
        <w:t>Harrild</w:t>
      </w:r>
      <w:proofErr w:type="spellEnd"/>
      <w:r w:rsidR="00BA10C4" w:rsidRPr="00DB51FF">
        <w:rPr>
          <w:rFonts w:ascii="Book Antiqua" w:hAnsi="Book Antiqua" w:cs="Arial"/>
        </w:rPr>
        <w:t xml:space="preserve"> &amp;</w:t>
      </w:r>
    </w:p>
    <w:p w:rsidR="00496861" w:rsidRPr="00DB51FF" w:rsidRDefault="00BA10C4" w:rsidP="00BA10C4">
      <w:pPr>
        <w:rPr>
          <w:rFonts w:ascii="Book Antiqua" w:hAnsi="Book Antiqua" w:cs="Arial"/>
        </w:rPr>
      </w:pPr>
      <w:r w:rsidRPr="00DB51FF">
        <w:rPr>
          <w:rFonts w:ascii="Book Antiqua" w:hAnsi="Book Antiqua" w:cs="Arial"/>
        </w:rPr>
        <w:tab/>
      </w:r>
      <w:r w:rsidRPr="00DB51FF">
        <w:rPr>
          <w:rFonts w:ascii="Book Antiqua" w:hAnsi="Book Antiqua" w:cs="Arial"/>
        </w:rPr>
        <w:tab/>
      </w:r>
      <w:r w:rsidRPr="00DB51FF">
        <w:rPr>
          <w:rFonts w:ascii="Book Antiqua" w:hAnsi="Book Antiqua" w:cs="Arial"/>
        </w:rPr>
        <w:tab/>
      </w:r>
      <w:r w:rsidRPr="00DB51FF">
        <w:rPr>
          <w:rFonts w:ascii="Book Antiqua" w:hAnsi="Book Antiqua" w:cs="Arial"/>
        </w:rPr>
        <w:tab/>
      </w:r>
      <w:r w:rsidRPr="00DB51FF">
        <w:rPr>
          <w:rFonts w:ascii="Book Antiqua" w:hAnsi="Book Antiqua" w:cs="Arial"/>
        </w:rPr>
        <w:tab/>
        <w:t xml:space="preserve">Dyer, solicitors </w:t>
      </w:r>
    </w:p>
    <w:p w:rsidR="00496861" w:rsidRPr="00DB51FF" w:rsidRDefault="00496861" w:rsidP="00BA10C4">
      <w:pPr>
        <w:rPr>
          <w:rFonts w:ascii="Book Antiqua" w:hAnsi="Book Antiqua" w:cs="Arial"/>
        </w:rPr>
      </w:pPr>
      <w:r w:rsidRPr="00DB51FF">
        <w:rPr>
          <w:rFonts w:ascii="Book Antiqua" w:hAnsi="Book Antiqua" w:cs="Arial"/>
        </w:rPr>
        <w:t>For the respondent:</w:t>
      </w:r>
      <w:r w:rsidRPr="00DB51FF">
        <w:rPr>
          <w:rFonts w:ascii="Book Antiqua" w:hAnsi="Book Antiqua" w:cs="Arial"/>
        </w:rPr>
        <w:tab/>
      </w:r>
      <w:r w:rsidR="00BA10C4" w:rsidRPr="00DB51FF">
        <w:rPr>
          <w:rFonts w:ascii="Book Antiqua" w:hAnsi="Book Antiqua" w:cs="Arial"/>
        </w:rPr>
        <w:tab/>
        <w:t xml:space="preserve">Mr Tony Melvin, a Senior Home Office Presenting Officer </w:t>
      </w:r>
    </w:p>
    <w:p w:rsidR="00DE7DB7" w:rsidRPr="00DB51FF" w:rsidRDefault="0060752B" w:rsidP="000E01B8">
      <w:pPr>
        <w:tabs>
          <w:tab w:val="left" w:pos="2520"/>
        </w:tabs>
        <w:spacing w:before="240"/>
        <w:jc w:val="center"/>
        <w:rPr>
          <w:rFonts w:ascii="Book Antiqua" w:hAnsi="Book Antiqua" w:cs="Arial"/>
          <w:sz w:val="28"/>
        </w:rPr>
      </w:pPr>
      <w:r w:rsidRPr="00DB51FF">
        <w:rPr>
          <w:rFonts w:ascii="Book Antiqua" w:hAnsi="Book Antiqua" w:cs="Arial"/>
          <w:b/>
          <w:sz w:val="28"/>
          <w:u w:val="single"/>
        </w:rPr>
        <w:t xml:space="preserve">DECISION AND </w:t>
      </w:r>
      <w:r w:rsidR="000E01B8" w:rsidRPr="00DB51FF">
        <w:rPr>
          <w:rFonts w:ascii="Book Antiqua" w:hAnsi="Book Antiqua" w:cs="Arial"/>
          <w:b/>
          <w:sz w:val="28"/>
          <w:u w:val="single"/>
        </w:rPr>
        <w:t>REASONS</w:t>
      </w:r>
    </w:p>
    <w:p w:rsidR="002C650D" w:rsidRPr="00DB51FF" w:rsidRDefault="002C650D" w:rsidP="002C650D">
      <w:pPr>
        <w:tabs>
          <w:tab w:val="left" w:pos="567"/>
        </w:tabs>
        <w:spacing w:before="240"/>
        <w:rPr>
          <w:rFonts w:ascii="Book Antiqua" w:hAnsi="Book Antiqua" w:cs="Arial"/>
          <w:b/>
        </w:rPr>
      </w:pPr>
      <w:r w:rsidRPr="00DB51FF">
        <w:rPr>
          <w:rFonts w:ascii="Book Antiqua" w:hAnsi="Book Antiqua" w:cs="Arial"/>
          <w:b/>
        </w:rPr>
        <w:t>Anonymity order</w:t>
      </w:r>
    </w:p>
    <w:p w:rsidR="002C650D" w:rsidRPr="00DB51FF" w:rsidRDefault="00BA10C4" w:rsidP="00BA10C4">
      <w:pPr>
        <w:spacing w:before="240"/>
        <w:jc w:val="both"/>
        <w:rPr>
          <w:rFonts w:ascii="Book Antiqua" w:hAnsi="Book Antiqua" w:cs="Arial"/>
          <w:i/>
        </w:rPr>
      </w:pPr>
      <w:r w:rsidRPr="00DB51FF">
        <w:rPr>
          <w:rFonts w:ascii="Book Antiqua" w:hAnsi="Book Antiqua" w:cs="Arial"/>
          <w:i/>
        </w:rPr>
        <w:t xml:space="preserve">Pursuant to Rule 14 of the Tribunal Procedure (Upper Tribunal) Rules 2008, I make an anonymity order in this appeal.  The appellant will be referred to in these proceedings only as S M H.  Unless the Upper Tribunal or a Court directs otherwise, no report of these proceedings or any form of </w:t>
      </w:r>
      <w:r w:rsidRPr="00DB51FF">
        <w:rPr>
          <w:rFonts w:ascii="Book Antiqua" w:hAnsi="Book Antiqua" w:cs="Arial"/>
          <w:i/>
        </w:rPr>
        <w:lastRenderedPageBreak/>
        <w:t>publication thereof shall identify the original appellant, whether directly or indirectly. This order applies to, amongst others, all parties. Any failure to comply with this order could give rise to contempt of court proceedings.</w:t>
      </w:r>
    </w:p>
    <w:p w:rsidR="002C650D" w:rsidRPr="00DB51FF" w:rsidRDefault="002C650D" w:rsidP="002C650D">
      <w:pPr>
        <w:tabs>
          <w:tab w:val="left" w:pos="567"/>
        </w:tabs>
        <w:spacing w:before="240"/>
        <w:jc w:val="both"/>
        <w:rPr>
          <w:rFonts w:ascii="Book Antiqua" w:hAnsi="Book Antiqua" w:cs="Arial"/>
          <w:b/>
        </w:rPr>
      </w:pPr>
      <w:r w:rsidRPr="00DB51FF">
        <w:rPr>
          <w:rFonts w:ascii="Book Antiqua" w:hAnsi="Book Antiqua" w:cs="Arial"/>
          <w:b/>
        </w:rPr>
        <w:t>Decision and reasons</w:t>
      </w:r>
    </w:p>
    <w:p w:rsidR="00306236" w:rsidRPr="00DB51FF" w:rsidRDefault="00D51814" w:rsidP="00D51814">
      <w:pPr>
        <w:numPr>
          <w:ilvl w:val="0"/>
          <w:numId w:val="1"/>
        </w:numPr>
        <w:tabs>
          <w:tab w:val="clear" w:pos="720"/>
          <w:tab w:val="num" w:pos="360"/>
          <w:tab w:val="left" w:pos="567"/>
        </w:tabs>
        <w:spacing w:before="240"/>
        <w:ind w:left="357" w:hanging="357"/>
        <w:jc w:val="both"/>
        <w:rPr>
          <w:rFonts w:ascii="Book Antiqua" w:hAnsi="Book Antiqua" w:cs="Arial"/>
        </w:rPr>
      </w:pPr>
      <w:r w:rsidRPr="00DB51FF">
        <w:rPr>
          <w:rFonts w:ascii="Book Antiqua" w:hAnsi="Book Antiqua" w:cs="Arial"/>
        </w:rPr>
        <w:t xml:space="preserve">The appellant appeals with permission against the decision of the First-tier Tribunal </w:t>
      </w:r>
      <w:r w:rsidR="00BA10C4" w:rsidRPr="00DB51FF">
        <w:rPr>
          <w:rFonts w:ascii="Book Antiqua" w:hAnsi="Book Antiqua" w:cs="Arial"/>
        </w:rPr>
        <w:t>dismissing his appeal against the respondent’s decision to refuse him international protection under the Refugee Convention, humanitarian protection, or leave to remain in the United Kingdom on human rights grounds</w:t>
      </w:r>
      <w:r w:rsidRPr="00DB51FF">
        <w:rPr>
          <w:rFonts w:ascii="Book Antiqua" w:hAnsi="Book Antiqua" w:cs="Arial"/>
        </w:rPr>
        <w:t xml:space="preserve">.  The appellant is a citizen of </w:t>
      </w:r>
      <w:r w:rsidR="00BA10C4" w:rsidRPr="00DB51FF">
        <w:rPr>
          <w:rFonts w:ascii="Book Antiqua" w:hAnsi="Book Antiqua" w:cs="Arial"/>
        </w:rPr>
        <w:t xml:space="preserve">Iran, 20 years old, </w:t>
      </w:r>
      <w:r w:rsidR="00CC5FDD" w:rsidRPr="00DB51FF">
        <w:rPr>
          <w:rFonts w:ascii="Book Antiqua" w:hAnsi="Book Antiqua" w:cs="Arial"/>
        </w:rPr>
        <w:t xml:space="preserve">a Muslim, </w:t>
      </w:r>
      <w:r w:rsidR="00BA10C4" w:rsidRPr="00DB51FF">
        <w:rPr>
          <w:rFonts w:ascii="Book Antiqua" w:hAnsi="Book Antiqua" w:cs="Arial"/>
        </w:rPr>
        <w:t>and of Kurdish ethnicity</w:t>
      </w:r>
      <w:r w:rsidRPr="00DB51FF">
        <w:rPr>
          <w:rFonts w:ascii="Book Antiqua" w:hAnsi="Book Antiqua" w:cs="Arial"/>
        </w:rPr>
        <w:t xml:space="preserve">. </w:t>
      </w:r>
    </w:p>
    <w:p w:rsidR="00D51814" w:rsidRPr="00DB51FF" w:rsidRDefault="00D51814" w:rsidP="00D51814">
      <w:pPr>
        <w:tabs>
          <w:tab w:val="left" w:pos="567"/>
        </w:tabs>
        <w:spacing w:before="240"/>
        <w:jc w:val="both"/>
        <w:rPr>
          <w:rFonts w:ascii="Book Antiqua" w:hAnsi="Book Antiqua" w:cs="Arial"/>
        </w:rPr>
      </w:pPr>
      <w:r w:rsidRPr="00DB51FF">
        <w:rPr>
          <w:rFonts w:ascii="Book Antiqua" w:hAnsi="Book Antiqua" w:cs="Arial"/>
          <w:b/>
        </w:rPr>
        <w:t>Background</w:t>
      </w:r>
      <w:r w:rsidRPr="00DB51FF">
        <w:rPr>
          <w:rFonts w:ascii="Book Antiqua" w:hAnsi="Book Antiqua" w:cs="Arial"/>
        </w:rPr>
        <w:t xml:space="preserve"> </w:t>
      </w:r>
    </w:p>
    <w:p w:rsidR="00E147B4" w:rsidRPr="00DB51FF" w:rsidRDefault="00BA10C4" w:rsidP="00E147B4">
      <w:pPr>
        <w:numPr>
          <w:ilvl w:val="0"/>
          <w:numId w:val="1"/>
        </w:numPr>
        <w:tabs>
          <w:tab w:val="clear" w:pos="720"/>
          <w:tab w:val="num" w:pos="360"/>
          <w:tab w:val="left" w:pos="567"/>
        </w:tabs>
        <w:spacing w:before="240"/>
        <w:ind w:left="360"/>
        <w:jc w:val="both"/>
        <w:rPr>
          <w:rFonts w:ascii="Book Antiqua" w:hAnsi="Book Antiqua" w:cs="Arial"/>
        </w:rPr>
      </w:pPr>
      <w:r w:rsidRPr="00DB51FF">
        <w:rPr>
          <w:rFonts w:ascii="Book Antiqua" w:hAnsi="Book Antiqua" w:cs="Arial"/>
        </w:rPr>
        <w:t xml:space="preserve">The appellant arrived in the United Kingdom clandestinely in November 2015 and claimed asylum on arrival.  The basis of the appellant’s claim is that while in Iran he was involved with PJAK (which at interview he misnamed as the PKK) and that following refusal of his asylum claim, he </w:t>
      </w:r>
      <w:r w:rsidR="00DB51FF">
        <w:rPr>
          <w:rFonts w:ascii="Book Antiqua" w:hAnsi="Book Antiqua" w:cs="Arial"/>
        </w:rPr>
        <w:t xml:space="preserve">posted or reposted a number of anti-government statements and photographs on his Facebook account, </w:t>
      </w:r>
      <w:r w:rsidRPr="00DB51FF">
        <w:rPr>
          <w:rFonts w:ascii="Book Antiqua" w:hAnsi="Book Antiqua" w:cs="Arial"/>
        </w:rPr>
        <w:t xml:space="preserve">and is now, therefore, a </w:t>
      </w:r>
      <w:r w:rsidRPr="00DB51FF">
        <w:rPr>
          <w:rFonts w:ascii="Book Antiqua" w:hAnsi="Book Antiqua" w:cs="Arial"/>
          <w:i/>
        </w:rPr>
        <w:t xml:space="preserve">sur place </w:t>
      </w:r>
      <w:r w:rsidRPr="00DB51FF">
        <w:rPr>
          <w:rFonts w:ascii="Book Antiqua" w:hAnsi="Book Antiqua" w:cs="Arial"/>
        </w:rPr>
        <w:t>refugee because of the view that the Iranian authorities are likely to take of his actions when he is returned.</w:t>
      </w:r>
    </w:p>
    <w:p w:rsidR="00D51814" w:rsidRPr="00DB51FF" w:rsidRDefault="00D51814" w:rsidP="00D51814">
      <w:pPr>
        <w:tabs>
          <w:tab w:val="left" w:pos="567"/>
        </w:tabs>
        <w:spacing w:before="240"/>
        <w:jc w:val="both"/>
        <w:rPr>
          <w:rFonts w:ascii="Book Antiqua" w:hAnsi="Book Antiqua" w:cs="Arial"/>
          <w:b/>
        </w:rPr>
      </w:pPr>
      <w:r w:rsidRPr="00DB51FF">
        <w:rPr>
          <w:rFonts w:ascii="Book Antiqua" w:hAnsi="Book Antiqua" w:cs="Arial"/>
          <w:b/>
        </w:rPr>
        <w:t xml:space="preserve">First-tier Tribunal decision </w:t>
      </w:r>
    </w:p>
    <w:p w:rsidR="00BA10C4" w:rsidRPr="00DB51FF" w:rsidRDefault="00BA10C4" w:rsidP="007A26D4">
      <w:pPr>
        <w:numPr>
          <w:ilvl w:val="0"/>
          <w:numId w:val="1"/>
        </w:numPr>
        <w:tabs>
          <w:tab w:val="clear" w:pos="720"/>
          <w:tab w:val="num" w:pos="360"/>
          <w:tab w:val="left" w:pos="567"/>
        </w:tabs>
        <w:spacing w:before="240"/>
        <w:ind w:left="360"/>
        <w:jc w:val="both"/>
        <w:rPr>
          <w:rFonts w:ascii="Book Antiqua" w:hAnsi="Book Antiqua" w:cs="Arial"/>
        </w:rPr>
      </w:pPr>
      <w:r w:rsidRPr="00DB51FF">
        <w:rPr>
          <w:rFonts w:ascii="Book Antiqua" w:hAnsi="Book Antiqua" w:cs="Arial"/>
        </w:rPr>
        <w:t>There was no reliance before the First-tier Tribunal on Article 8 ECHR.   The appellant gave evidence in Kurdish (Sorani).</w:t>
      </w:r>
      <w:r w:rsidR="00CC5FDD" w:rsidRPr="00DB51FF">
        <w:rPr>
          <w:rFonts w:ascii="Book Antiqua" w:hAnsi="Book Antiqua" w:cs="Arial"/>
        </w:rPr>
        <w:t xml:space="preserve">  The Judge rejected the appellant’s account of having been recruited by PJAK in Iran.  </w:t>
      </w:r>
      <w:r w:rsidRPr="00DB51FF">
        <w:rPr>
          <w:rFonts w:ascii="Book Antiqua" w:hAnsi="Book Antiqua" w:cs="Arial"/>
        </w:rPr>
        <w:t xml:space="preserve">The First-tier Judge accepted part of what it described as the appellant’s ‘tale’, but only his nationality (Iranian) and ethnicity (Kurdish).  </w:t>
      </w:r>
    </w:p>
    <w:p w:rsidR="00BA10C4" w:rsidRPr="00DB51FF" w:rsidRDefault="00BA10C4" w:rsidP="00E147B4">
      <w:pPr>
        <w:numPr>
          <w:ilvl w:val="0"/>
          <w:numId w:val="1"/>
        </w:numPr>
        <w:tabs>
          <w:tab w:val="clear" w:pos="720"/>
          <w:tab w:val="num" w:pos="360"/>
          <w:tab w:val="left" w:pos="567"/>
        </w:tabs>
        <w:spacing w:before="240"/>
        <w:ind w:left="360"/>
        <w:jc w:val="both"/>
        <w:rPr>
          <w:rFonts w:ascii="Book Antiqua" w:hAnsi="Book Antiqua" w:cs="Arial"/>
        </w:rPr>
      </w:pPr>
      <w:r w:rsidRPr="00DB51FF">
        <w:rPr>
          <w:rFonts w:ascii="Book Antiqua" w:hAnsi="Book Antiqua" w:cs="Arial"/>
        </w:rPr>
        <w:t>The Judge also accepted, at least implicitly, the appellant’s evidence that he had a Facebook account which he had opened three or four months before the First-tier Tribunal hearing (August or September 2017). The appellant’s evidence was that such an account was not possible in Iran.  The appellant showed the Facebook posts to the First-tier Judge on his mobile telephone: they were live</w:t>
      </w:r>
      <w:r w:rsidR="00DB51FF">
        <w:rPr>
          <w:rFonts w:ascii="Book Antiqua" w:hAnsi="Book Antiqua" w:cs="Arial"/>
        </w:rPr>
        <w:t xml:space="preserve"> on the internet</w:t>
      </w:r>
      <w:r w:rsidRPr="00DB51FF">
        <w:rPr>
          <w:rFonts w:ascii="Book Antiqua" w:hAnsi="Book Antiqua" w:cs="Arial"/>
        </w:rPr>
        <w:t xml:space="preserve"> at the hearing in November 2017. </w:t>
      </w:r>
    </w:p>
    <w:p w:rsidR="00CC5FDD" w:rsidRPr="00DB51FF" w:rsidRDefault="00CC5FDD" w:rsidP="00E147B4">
      <w:pPr>
        <w:numPr>
          <w:ilvl w:val="0"/>
          <w:numId w:val="1"/>
        </w:numPr>
        <w:tabs>
          <w:tab w:val="clear" w:pos="720"/>
          <w:tab w:val="num" w:pos="360"/>
          <w:tab w:val="left" w:pos="567"/>
        </w:tabs>
        <w:spacing w:before="240"/>
        <w:ind w:left="360"/>
        <w:jc w:val="both"/>
        <w:rPr>
          <w:rFonts w:ascii="Book Antiqua" w:hAnsi="Book Antiqua" w:cs="Arial"/>
        </w:rPr>
      </w:pPr>
      <w:r w:rsidRPr="00DB51FF">
        <w:rPr>
          <w:rFonts w:ascii="Book Antiqua" w:hAnsi="Book Antiqua" w:cs="Arial"/>
        </w:rPr>
        <w:t xml:space="preserve">The Judge rejected the appellant’s </w:t>
      </w:r>
      <w:r w:rsidR="00DB51FF">
        <w:rPr>
          <w:rFonts w:ascii="Book Antiqua" w:hAnsi="Book Antiqua" w:cs="Arial"/>
        </w:rPr>
        <w:t>account</w:t>
      </w:r>
      <w:r w:rsidRPr="00DB51FF">
        <w:rPr>
          <w:rFonts w:ascii="Book Antiqua" w:hAnsi="Book Antiqua" w:cs="Arial"/>
        </w:rPr>
        <w:t xml:space="preserve"> of having been</w:t>
      </w:r>
      <w:r w:rsidR="00DB51FF">
        <w:rPr>
          <w:rFonts w:ascii="Book Antiqua" w:hAnsi="Book Antiqua" w:cs="Arial"/>
        </w:rPr>
        <w:t xml:space="preserve"> lost his father when he was 3 years old, fled with his mother to Iraqi Kurdistan, but returned when she too died and he was an orphan.  The Judge found it improbable that the appellant had managed to return without difficulty or that he was then</w:t>
      </w:r>
      <w:r w:rsidRPr="00DB51FF">
        <w:rPr>
          <w:rFonts w:ascii="Book Antiqua" w:hAnsi="Book Antiqua" w:cs="Arial"/>
        </w:rPr>
        <w:t xml:space="preserve"> adopted by a friend of his father</w:t>
      </w:r>
      <w:r w:rsidR="00DB51FF">
        <w:rPr>
          <w:rFonts w:ascii="Book Antiqua" w:hAnsi="Book Antiqua" w:cs="Arial"/>
        </w:rPr>
        <w:t>.</w:t>
      </w:r>
    </w:p>
    <w:p w:rsidR="00CC5FDD" w:rsidRPr="00DB51FF" w:rsidRDefault="00BA10C4" w:rsidP="00E147B4">
      <w:pPr>
        <w:numPr>
          <w:ilvl w:val="0"/>
          <w:numId w:val="1"/>
        </w:numPr>
        <w:tabs>
          <w:tab w:val="clear" w:pos="720"/>
          <w:tab w:val="num" w:pos="360"/>
          <w:tab w:val="left" w:pos="567"/>
        </w:tabs>
        <w:spacing w:before="240"/>
        <w:ind w:left="360"/>
        <w:jc w:val="both"/>
        <w:rPr>
          <w:rFonts w:ascii="Book Antiqua" w:hAnsi="Book Antiqua" w:cs="Arial"/>
        </w:rPr>
      </w:pPr>
      <w:r w:rsidRPr="00DB51FF">
        <w:rPr>
          <w:rFonts w:ascii="Book Antiqua" w:hAnsi="Book Antiqua" w:cs="Arial"/>
        </w:rPr>
        <w:t>The First-tier Judge excluded</w:t>
      </w:r>
      <w:r w:rsidR="00CC5FDD" w:rsidRPr="00DB51FF">
        <w:rPr>
          <w:rFonts w:ascii="Book Antiqua" w:hAnsi="Book Antiqua" w:cs="Arial"/>
        </w:rPr>
        <w:t xml:space="preserve"> from consideration an updated country report from Dr George Joffé, prepared for a different appeal, which dealt with generic country conditions.  </w:t>
      </w:r>
    </w:p>
    <w:p w:rsidR="00CC5FDD" w:rsidRPr="00DB51FF" w:rsidRDefault="00CC5FDD" w:rsidP="00CC5FDD">
      <w:pPr>
        <w:numPr>
          <w:ilvl w:val="0"/>
          <w:numId w:val="1"/>
        </w:numPr>
        <w:tabs>
          <w:tab w:val="clear" w:pos="720"/>
          <w:tab w:val="num" w:pos="360"/>
          <w:tab w:val="left" w:pos="567"/>
        </w:tabs>
        <w:spacing w:before="240"/>
        <w:ind w:left="360"/>
        <w:jc w:val="both"/>
        <w:rPr>
          <w:rFonts w:ascii="Book Antiqua" w:hAnsi="Book Antiqua" w:cs="Arial"/>
        </w:rPr>
      </w:pPr>
      <w:r w:rsidRPr="00DB51FF">
        <w:rPr>
          <w:rFonts w:ascii="Book Antiqua" w:hAnsi="Book Antiqua" w:cs="Arial"/>
        </w:rPr>
        <w:t xml:space="preserve">The First-tier Tribunal found the appellant’s evidence overall to be below the standard of reasonable likelihood or real risk, and that the appellant’s claims ‘viewed as a whole and in the </w:t>
      </w:r>
      <w:proofErr w:type="gramStart"/>
      <w:r w:rsidRPr="00DB51FF">
        <w:rPr>
          <w:rFonts w:ascii="Book Antiqua" w:hAnsi="Book Antiqua" w:cs="Arial"/>
        </w:rPr>
        <w:t>round</w:t>
      </w:r>
      <w:proofErr w:type="gramEnd"/>
      <w:r w:rsidRPr="00DB51FF">
        <w:rPr>
          <w:rFonts w:ascii="Book Antiqua" w:hAnsi="Book Antiqua" w:cs="Arial"/>
        </w:rPr>
        <w:t xml:space="preserve"> are improbable and implausible’.  The Judge did not go on to consider </w:t>
      </w:r>
      <w:r w:rsidRPr="00DB51FF">
        <w:rPr>
          <w:rFonts w:ascii="Book Antiqua" w:hAnsi="Book Antiqua" w:cs="Arial"/>
        </w:rPr>
        <w:lastRenderedPageBreak/>
        <w:t>what might happen if the appellant were telling the truth, because ‘the appellant’s story is so unworthy of belief that any such analysis is neither feasible nor necessary’.</w:t>
      </w:r>
    </w:p>
    <w:p w:rsidR="00BA10C4" w:rsidRPr="00DB51FF" w:rsidRDefault="00CC5FDD" w:rsidP="00E147B4">
      <w:pPr>
        <w:numPr>
          <w:ilvl w:val="0"/>
          <w:numId w:val="1"/>
        </w:numPr>
        <w:tabs>
          <w:tab w:val="clear" w:pos="720"/>
          <w:tab w:val="num" w:pos="360"/>
          <w:tab w:val="left" w:pos="567"/>
        </w:tabs>
        <w:spacing w:before="240"/>
        <w:ind w:left="360"/>
        <w:jc w:val="both"/>
        <w:rPr>
          <w:rFonts w:ascii="Book Antiqua" w:hAnsi="Book Antiqua" w:cs="Arial"/>
        </w:rPr>
      </w:pPr>
      <w:r w:rsidRPr="00DB51FF">
        <w:rPr>
          <w:rFonts w:ascii="Book Antiqua" w:hAnsi="Book Antiqua" w:cs="Arial"/>
        </w:rPr>
        <w:t xml:space="preserve">The First-tier Judge dismissed the appeal and the appellant appealed to the Upper Tribunal. </w:t>
      </w:r>
    </w:p>
    <w:p w:rsidR="00D51814" w:rsidRPr="00DB51FF" w:rsidRDefault="00D51814" w:rsidP="00D51814">
      <w:pPr>
        <w:tabs>
          <w:tab w:val="left" w:pos="567"/>
        </w:tabs>
        <w:spacing w:before="240"/>
        <w:jc w:val="both"/>
        <w:rPr>
          <w:rFonts w:ascii="Book Antiqua" w:hAnsi="Book Antiqua" w:cs="Arial"/>
          <w:b/>
        </w:rPr>
      </w:pPr>
      <w:r w:rsidRPr="00DB51FF">
        <w:rPr>
          <w:rFonts w:ascii="Book Antiqua" w:hAnsi="Book Antiqua" w:cs="Arial"/>
          <w:b/>
        </w:rPr>
        <w:t xml:space="preserve">Permission to appeal </w:t>
      </w:r>
    </w:p>
    <w:p w:rsidR="00D51814" w:rsidRPr="00DB51FF" w:rsidRDefault="00CC5FDD" w:rsidP="00E147B4">
      <w:pPr>
        <w:numPr>
          <w:ilvl w:val="0"/>
          <w:numId w:val="1"/>
        </w:numPr>
        <w:tabs>
          <w:tab w:val="clear" w:pos="720"/>
          <w:tab w:val="num" w:pos="360"/>
          <w:tab w:val="left" w:pos="567"/>
        </w:tabs>
        <w:spacing w:before="240"/>
        <w:ind w:left="360"/>
        <w:jc w:val="both"/>
        <w:rPr>
          <w:rFonts w:ascii="Book Antiqua" w:hAnsi="Book Antiqua" w:cs="Arial"/>
        </w:rPr>
      </w:pPr>
      <w:r w:rsidRPr="00DB51FF">
        <w:rPr>
          <w:rFonts w:ascii="Book Antiqua" w:hAnsi="Book Antiqua" w:cs="Arial"/>
        </w:rPr>
        <w:t>Permission to appeal was granted by Upper Tribunal Judge Lindsley, who summarised the appellant’s renewal grounds as follows:</w:t>
      </w:r>
    </w:p>
    <w:p w:rsidR="00CC5FDD" w:rsidRPr="00DB51FF" w:rsidRDefault="00CC5FDD" w:rsidP="00254F9A">
      <w:pPr>
        <w:numPr>
          <w:ilvl w:val="0"/>
          <w:numId w:val="2"/>
        </w:numPr>
        <w:spacing w:before="120"/>
        <w:ind w:left="924" w:hanging="357"/>
        <w:jc w:val="both"/>
        <w:rPr>
          <w:rFonts w:ascii="Book Antiqua" w:hAnsi="Book Antiqua" w:cs="Arial"/>
        </w:rPr>
      </w:pPr>
      <w:r w:rsidRPr="00DB51FF">
        <w:rPr>
          <w:rFonts w:ascii="Book Antiqua" w:hAnsi="Book Antiqua" w:cs="Arial"/>
        </w:rPr>
        <w:t>The First-tier Judge reached an unreasoned decision, without evidence, that the appellant had not been adopted by his late father’s friend;</w:t>
      </w:r>
    </w:p>
    <w:p w:rsidR="00CC5FDD" w:rsidRPr="00DB51FF" w:rsidRDefault="00E544EC" w:rsidP="00254F9A">
      <w:pPr>
        <w:numPr>
          <w:ilvl w:val="0"/>
          <w:numId w:val="2"/>
        </w:numPr>
        <w:spacing w:before="120"/>
        <w:ind w:left="924" w:hanging="357"/>
        <w:jc w:val="both"/>
        <w:rPr>
          <w:rFonts w:ascii="Book Antiqua" w:hAnsi="Book Antiqua" w:cs="Arial"/>
        </w:rPr>
      </w:pPr>
      <w:bookmarkStart w:id="1" w:name="_Hlk523493688"/>
      <w:r w:rsidRPr="00DB51FF">
        <w:rPr>
          <w:rFonts w:ascii="Book Antiqua" w:hAnsi="Book Antiqua" w:cs="Arial"/>
        </w:rPr>
        <w:t>The</w:t>
      </w:r>
      <w:r w:rsidR="00CC5FDD" w:rsidRPr="00DB51FF">
        <w:rPr>
          <w:rFonts w:ascii="Book Antiqua" w:hAnsi="Book Antiqua" w:cs="Arial"/>
        </w:rPr>
        <w:t xml:space="preserve"> First-tier Judge failed to apply </w:t>
      </w:r>
      <w:r w:rsidR="00CC5FDD" w:rsidRPr="00DB51FF">
        <w:rPr>
          <w:rFonts w:ascii="Book Antiqua" w:hAnsi="Book Antiqua" w:cs="Arial"/>
          <w:i/>
        </w:rPr>
        <w:t xml:space="preserve">Danian v Secretary of State for the Home Department </w:t>
      </w:r>
      <w:r w:rsidR="00CC5FDD" w:rsidRPr="00DB51FF">
        <w:rPr>
          <w:rFonts w:ascii="Book Antiqua" w:hAnsi="Book Antiqua" w:cs="Arial"/>
        </w:rPr>
        <w:t>[1999] EWCA Civ 3000 and look at how the appellant’s Kurdish separatist Facebook posts would be interpreted by the Iranian authorities, and their likely reaction to those posts, focusing instead on the genuineness of the appellant’s beliefs;</w:t>
      </w:r>
    </w:p>
    <w:p w:rsidR="00CC5FDD" w:rsidRPr="00DB51FF" w:rsidRDefault="00CC5FDD" w:rsidP="00254F9A">
      <w:pPr>
        <w:numPr>
          <w:ilvl w:val="0"/>
          <w:numId w:val="2"/>
        </w:numPr>
        <w:spacing w:before="120"/>
        <w:ind w:left="924" w:hanging="357"/>
        <w:jc w:val="both"/>
        <w:rPr>
          <w:rFonts w:ascii="Book Antiqua" w:hAnsi="Book Antiqua" w:cs="Arial"/>
        </w:rPr>
      </w:pPr>
      <w:r w:rsidRPr="00DB51FF">
        <w:rPr>
          <w:rFonts w:ascii="Book Antiqua" w:hAnsi="Book Antiqua" w:cs="Arial"/>
        </w:rPr>
        <w:t xml:space="preserve">The First-tier Judge failed to </w:t>
      </w:r>
      <w:r w:rsidR="00E544EC" w:rsidRPr="00DB51FF">
        <w:rPr>
          <w:rFonts w:ascii="Book Antiqua" w:hAnsi="Book Antiqua" w:cs="Arial"/>
        </w:rPr>
        <w:t>apply</w:t>
      </w:r>
      <w:r w:rsidRPr="00DB51FF">
        <w:rPr>
          <w:rFonts w:ascii="Book Antiqua" w:hAnsi="Book Antiqua" w:cs="Arial"/>
        </w:rPr>
        <w:t xml:space="preserve"> </w:t>
      </w:r>
      <w:r w:rsidRPr="00DB51FF">
        <w:rPr>
          <w:rFonts w:ascii="Book Antiqua" w:hAnsi="Book Antiqua" w:cs="Arial"/>
          <w:i/>
        </w:rPr>
        <w:t xml:space="preserve">AB and others </w:t>
      </w:r>
      <w:r w:rsidRPr="00DB51FF">
        <w:rPr>
          <w:rFonts w:ascii="Book Antiqua" w:hAnsi="Book Antiqua" w:cs="Arial"/>
        </w:rPr>
        <w:t xml:space="preserve">(internet activity – state of evidence) Iran [2015] UKUT 257 (IAC); </w:t>
      </w:r>
    </w:p>
    <w:p w:rsidR="00CC5FDD" w:rsidRPr="00DB51FF" w:rsidRDefault="00CC5FDD" w:rsidP="00254F9A">
      <w:pPr>
        <w:numPr>
          <w:ilvl w:val="0"/>
          <w:numId w:val="2"/>
        </w:numPr>
        <w:spacing w:before="120"/>
        <w:ind w:left="924" w:hanging="357"/>
        <w:jc w:val="both"/>
        <w:rPr>
          <w:rFonts w:ascii="Book Antiqua" w:hAnsi="Book Antiqua" w:cs="Arial"/>
        </w:rPr>
      </w:pPr>
      <w:r w:rsidRPr="00DB51FF">
        <w:rPr>
          <w:rFonts w:ascii="Book Antiqua" w:hAnsi="Book Antiqua" w:cs="Arial"/>
        </w:rPr>
        <w:t xml:space="preserve">The First-tier Judge should not have relied upon </w:t>
      </w:r>
      <w:r w:rsidRPr="00DB51FF">
        <w:rPr>
          <w:rFonts w:ascii="Book Antiqua" w:hAnsi="Book Antiqua" w:cs="Arial"/>
          <w:i/>
        </w:rPr>
        <w:t xml:space="preserve">SSH and HR </w:t>
      </w:r>
      <w:r w:rsidRPr="00DB51FF">
        <w:rPr>
          <w:rFonts w:ascii="Book Antiqua" w:hAnsi="Book Antiqua" w:cs="Arial"/>
        </w:rPr>
        <w:t xml:space="preserve">(illegal exit: failed asylum seeker) Iran CG [2016] UKUT 00308 (IAC) which did not purport to provide guidance on the risks </w:t>
      </w:r>
      <w:r w:rsidR="00E544EC" w:rsidRPr="00DB51FF">
        <w:rPr>
          <w:rFonts w:ascii="Book Antiqua" w:hAnsi="Book Antiqua" w:cs="Arial"/>
        </w:rPr>
        <w:t xml:space="preserve">in Iran </w:t>
      </w:r>
      <w:r w:rsidRPr="00DB51FF">
        <w:rPr>
          <w:rFonts w:ascii="Book Antiqua" w:hAnsi="Book Antiqua" w:cs="Arial"/>
        </w:rPr>
        <w:t>to returning failed Kurdish asylum seekers</w:t>
      </w:r>
      <w:r w:rsidR="00E544EC" w:rsidRPr="00DB51FF">
        <w:rPr>
          <w:rFonts w:ascii="Book Antiqua" w:hAnsi="Book Antiqua" w:cs="Arial"/>
        </w:rPr>
        <w:t>; and</w:t>
      </w:r>
    </w:p>
    <w:p w:rsidR="00E544EC" w:rsidRPr="00DB51FF" w:rsidRDefault="00E544EC" w:rsidP="00254F9A">
      <w:pPr>
        <w:numPr>
          <w:ilvl w:val="0"/>
          <w:numId w:val="2"/>
        </w:numPr>
        <w:spacing w:before="120"/>
        <w:ind w:left="924" w:hanging="357"/>
        <w:jc w:val="both"/>
        <w:rPr>
          <w:rFonts w:ascii="Book Antiqua" w:hAnsi="Book Antiqua" w:cs="Arial"/>
        </w:rPr>
      </w:pPr>
      <w:r w:rsidRPr="00DB51FF">
        <w:rPr>
          <w:rFonts w:ascii="Book Antiqua" w:hAnsi="Book Antiqua" w:cs="Arial"/>
        </w:rPr>
        <w:t xml:space="preserve">The First-tier Judge erred in law in excluding from consideration Professor Joffé’s updating report, on the basis that it was confidential and copyright, when in fact it was a background report on conditions and risk in Iran.  </w:t>
      </w:r>
    </w:p>
    <w:bookmarkEnd w:id="1"/>
    <w:p w:rsidR="00CC5FDD" w:rsidRPr="00DB51FF" w:rsidRDefault="00CC5FDD" w:rsidP="00E147B4">
      <w:pPr>
        <w:numPr>
          <w:ilvl w:val="0"/>
          <w:numId w:val="1"/>
        </w:numPr>
        <w:tabs>
          <w:tab w:val="clear" w:pos="720"/>
          <w:tab w:val="num" w:pos="360"/>
          <w:tab w:val="left" w:pos="567"/>
        </w:tabs>
        <w:spacing w:before="240"/>
        <w:ind w:left="360"/>
        <w:jc w:val="both"/>
        <w:rPr>
          <w:rFonts w:ascii="Book Antiqua" w:hAnsi="Book Antiqua" w:cs="Arial"/>
        </w:rPr>
      </w:pPr>
      <w:r w:rsidRPr="00DB51FF">
        <w:rPr>
          <w:rFonts w:ascii="Book Antiqua" w:hAnsi="Book Antiqua" w:cs="Arial"/>
        </w:rPr>
        <w:t>Permission to appeal was granted on all grounds.</w:t>
      </w:r>
    </w:p>
    <w:p w:rsidR="00D51814" w:rsidRPr="00DB51FF" w:rsidRDefault="00D51814" w:rsidP="00D51814">
      <w:pPr>
        <w:tabs>
          <w:tab w:val="left" w:pos="567"/>
        </w:tabs>
        <w:spacing w:before="240"/>
        <w:jc w:val="both"/>
        <w:rPr>
          <w:rFonts w:ascii="Book Antiqua" w:hAnsi="Book Antiqua" w:cs="Arial"/>
          <w:b/>
        </w:rPr>
      </w:pPr>
      <w:r w:rsidRPr="00DB51FF">
        <w:rPr>
          <w:rFonts w:ascii="Book Antiqua" w:hAnsi="Book Antiqua" w:cs="Arial"/>
          <w:b/>
        </w:rPr>
        <w:t>Rule 24 Reply</w:t>
      </w:r>
    </w:p>
    <w:p w:rsidR="00D51814" w:rsidRPr="00DB51FF" w:rsidRDefault="00017F3D" w:rsidP="00E147B4">
      <w:pPr>
        <w:numPr>
          <w:ilvl w:val="0"/>
          <w:numId w:val="1"/>
        </w:numPr>
        <w:tabs>
          <w:tab w:val="clear" w:pos="720"/>
          <w:tab w:val="num" w:pos="360"/>
          <w:tab w:val="left" w:pos="567"/>
        </w:tabs>
        <w:spacing w:before="240"/>
        <w:ind w:left="360"/>
        <w:jc w:val="both"/>
        <w:rPr>
          <w:rFonts w:ascii="Book Antiqua" w:hAnsi="Book Antiqua" w:cs="Arial"/>
        </w:rPr>
      </w:pPr>
      <w:r w:rsidRPr="00DB51FF">
        <w:rPr>
          <w:rFonts w:ascii="Book Antiqua" w:hAnsi="Book Antiqua" w:cs="Arial"/>
        </w:rPr>
        <w:t xml:space="preserve">There was no Rule 24 Reply on behalf of the respondent. </w:t>
      </w:r>
    </w:p>
    <w:p w:rsidR="00D51814" w:rsidRPr="00DB51FF" w:rsidRDefault="00D51814" w:rsidP="00E147B4">
      <w:pPr>
        <w:numPr>
          <w:ilvl w:val="0"/>
          <w:numId w:val="1"/>
        </w:numPr>
        <w:tabs>
          <w:tab w:val="clear" w:pos="720"/>
          <w:tab w:val="num" w:pos="360"/>
          <w:tab w:val="left" w:pos="567"/>
        </w:tabs>
        <w:spacing w:before="240"/>
        <w:ind w:left="360"/>
        <w:jc w:val="both"/>
        <w:rPr>
          <w:rFonts w:ascii="Book Antiqua" w:hAnsi="Book Antiqua" w:cs="Arial"/>
        </w:rPr>
      </w:pPr>
      <w:r w:rsidRPr="00DB51FF">
        <w:rPr>
          <w:rFonts w:ascii="Book Antiqua" w:hAnsi="Book Antiqua" w:cs="Arial"/>
        </w:rPr>
        <w:t>That is the basis on which this appeal came before the Upper Tribunal.</w:t>
      </w:r>
    </w:p>
    <w:p w:rsidR="00D51814" w:rsidRPr="00DB51FF" w:rsidRDefault="00D51814" w:rsidP="00D51814">
      <w:pPr>
        <w:tabs>
          <w:tab w:val="left" w:pos="567"/>
        </w:tabs>
        <w:spacing w:before="240"/>
        <w:jc w:val="both"/>
        <w:rPr>
          <w:rFonts w:ascii="Book Antiqua" w:hAnsi="Book Antiqua" w:cs="Arial"/>
          <w:b/>
        </w:rPr>
      </w:pPr>
      <w:r w:rsidRPr="00DB51FF">
        <w:rPr>
          <w:rFonts w:ascii="Book Antiqua" w:hAnsi="Book Antiqua" w:cs="Arial"/>
          <w:b/>
        </w:rPr>
        <w:t>Upper Tribunal hearing</w:t>
      </w:r>
    </w:p>
    <w:p w:rsidR="00D51814" w:rsidRPr="00DB51FF" w:rsidRDefault="00017F3D" w:rsidP="00E147B4">
      <w:pPr>
        <w:numPr>
          <w:ilvl w:val="0"/>
          <w:numId w:val="1"/>
        </w:numPr>
        <w:tabs>
          <w:tab w:val="clear" w:pos="720"/>
          <w:tab w:val="num" w:pos="360"/>
          <w:tab w:val="left" w:pos="567"/>
        </w:tabs>
        <w:spacing w:before="240"/>
        <w:ind w:left="360"/>
        <w:jc w:val="both"/>
        <w:rPr>
          <w:rFonts w:ascii="Book Antiqua" w:hAnsi="Book Antiqua" w:cs="Arial"/>
        </w:rPr>
      </w:pPr>
      <w:r w:rsidRPr="00DB51FF">
        <w:rPr>
          <w:rFonts w:ascii="Book Antiqua" w:hAnsi="Book Antiqua" w:cs="Arial"/>
        </w:rPr>
        <w:t xml:space="preserve">For the appellant, Mr Spurling produced emails </w:t>
      </w:r>
      <w:r w:rsidR="00A03E03" w:rsidRPr="00DB51FF">
        <w:rPr>
          <w:rFonts w:ascii="Book Antiqua" w:hAnsi="Book Antiqua" w:cs="Arial"/>
        </w:rPr>
        <w:t xml:space="preserve">dated 26 April 2017, before the First-tier Tribunal hearing, </w:t>
      </w:r>
      <w:r w:rsidRPr="00DB51FF">
        <w:rPr>
          <w:rFonts w:ascii="Book Antiqua" w:hAnsi="Book Antiqua" w:cs="Arial"/>
        </w:rPr>
        <w:t>showing that Professor Joffé did consent to the reuse of his report.  It is unclear whether those emails were before the First-tier Tribunal.  Mr Spurling relied on pages 10-11 of the report which he contended was relevant to credibility and thus its omission was material.</w:t>
      </w:r>
    </w:p>
    <w:p w:rsidR="00017F3D" w:rsidRPr="00DB51FF" w:rsidRDefault="00017F3D" w:rsidP="00E147B4">
      <w:pPr>
        <w:numPr>
          <w:ilvl w:val="0"/>
          <w:numId w:val="1"/>
        </w:numPr>
        <w:tabs>
          <w:tab w:val="clear" w:pos="720"/>
          <w:tab w:val="num" w:pos="360"/>
          <w:tab w:val="left" w:pos="567"/>
        </w:tabs>
        <w:spacing w:before="240"/>
        <w:ind w:left="360"/>
        <w:jc w:val="both"/>
        <w:rPr>
          <w:rFonts w:ascii="Book Antiqua" w:hAnsi="Book Antiqua" w:cs="Arial"/>
        </w:rPr>
      </w:pPr>
      <w:r w:rsidRPr="00DB51FF">
        <w:rPr>
          <w:rFonts w:ascii="Book Antiqua" w:hAnsi="Book Antiqua" w:cs="Arial"/>
        </w:rPr>
        <w:t xml:space="preserve">In relation to </w:t>
      </w:r>
      <w:r w:rsidRPr="00DB51FF">
        <w:rPr>
          <w:rFonts w:ascii="Book Antiqua" w:hAnsi="Book Antiqua" w:cs="Arial"/>
          <w:i/>
        </w:rPr>
        <w:t xml:space="preserve">AB and others, </w:t>
      </w:r>
      <w:r w:rsidRPr="00DB51FF">
        <w:rPr>
          <w:rFonts w:ascii="Book Antiqua" w:hAnsi="Book Antiqua" w:cs="Arial"/>
        </w:rPr>
        <w:t xml:space="preserve">Mr Spurling reminded the Tribunal that the decision was reported only for the findings of fact it contained and was not a country guidance case.  He continued to rely on </w:t>
      </w:r>
      <w:r w:rsidRPr="00DB51FF">
        <w:rPr>
          <w:rFonts w:ascii="Book Antiqua" w:hAnsi="Book Antiqua" w:cs="Arial"/>
          <w:i/>
        </w:rPr>
        <w:t xml:space="preserve">SSH and HR </w:t>
      </w:r>
      <w:r w:rsidRPr="00DB51FF">
        <w:rPr>
          <w:rFonts w:ascii="Book Antiqua" w:hAnsi="Book Antiqua" w:cs="Arial"/>
        </w:rPr>
        <w:t xml:space="preserve">which dealt with failed asylum seekers and illegal </w:t>
      </w:r>
      <w:r w:rsidRPr="00DB51FF">
        <w:rPr>
          <w:rFonts w:ascii="Book Antiqua" w:hAnsi="Book Antiqua" w:cs="Arial"/>
        </w:rPr>
        <w:lastRenderedPageBreak/>
        <w:t xml:space="preserve">exit.  Merely being Kurdish was insufficient to create a risk of persecution on return; about 20% of the population of Iran were Kurds.  </w:t>
      </w:r>
      <w:r w:rsidR="007A26D4" w:rsidRPr="00DB51FF">
        <w:rPr>
          <w:rFonts w:ascii="Book Antiqua" w:hAnsi="Book Antiqua" w:cs="Arial"/>
        </w:rPr>
        <w:t xml:space="preserve"> </w:t>
      </w:r>
    </w:p>
    <w:p w:rsidR="00017F3D" w:rsidRPr="00DB51FF" w:rsidRDefault="00017F3D" w:rsidP="00E147B4">
      <w:pPr>
        <w:numPr>
          <w:ilvl w:val="0"/>
          <w:numId w:val="1"/>
        </w:numPr>
        <w:tabs>
          <w:tab w:val="clear" w:pos="720"/>
          <w:tab w:val="num" w:pos="360"/>
          <w:tab w:val="left" w:pos="567"/>
        </w:tabs>
        <w:spacing w:before="240"/>
        <w:ind w:left="360"/>
        <w:jc w:val="both"/>
        <w:rPr>
          <w:rFonts w:ascii="Book Antiqua" w:hAnsi="Book Antiqua" w:cs="Arial"/>
        </w:rPr>
      </w:pPr>
      <w:r w:rsidRPr="00DB51FF">
        <w:rPr>
          <w:rFonts w:ascii="Book Antiqua" w:hAnsi="Book Antiqua" w:cs="Arial"/>
        </w:rPr>
        <w:t xml:space="preserve">The appellant also relied on </w:t>
      </w:r>
      <w:r w:rsidRPr="00DB51FF">
        <w:rPr>
          <w:rFonts w:ascii="Book Antiqua" w:hAnsi="Book Antiqua" w:cs="Arial"/>
          <w:i/>
        </w:rPr>
        <w:t xml:space="preserve">BA </w:t>
      </w:r>
      <w:r w:rsidRPr="00DB51FF">
        <w:rPr>
          <w:rFonts w:ascii="Book Antiqua" w:hAnsi="Book Antiqua" w:cs="Arial"/>
        </w:rPr>
        <w:t xml:space="preserve">(Demonstrators in Britain - risk on return) Iran CG [2011] UKUT 36 (IAC) at [65], which dealt with physical demonstrations and </w:t>
      </w:r>
      <w:r w:rsidRPr="00DB51FF">
        <w:rPr>
          <w:rFonts w:ascii="Book Antiqua" w:hAnsi="Book Antiqua" w:cs="Arial"/>
          <w:i/>
        </w:rPr>
        <w:t xml:space="preserve">sur place </w:t>
      </w:r>
      <w:r w:rsidRPr="00DB51FF">
        <w:rPr>
          <w:rFonts w:ascii="Book Antiqua" w:hAnsi="Book Antiqua" w:cs="Arial"/>
        </w:rPr>
        <w:t>risk:</w:t>
      </w:r>
    </w:p>
    <w:p w:rsidR="00017F3D" w:rsidRPr="00254F9A" w:rsidRDefault="00017F3D" w:rsidP="00254F9A">
      <w:pPr>
        <w:tabs>
          <w:tab w:val="left" w:pos="567"/>
        </w:tabs>
        <w:spacing w:before="120"/>
        <w:ind w:left="567" w:right="567"/>
        <w:jc w:val="both"/>
        <w:rPr>
          <w:rFonts w:ascii="Book Antiqua" w:hAnsi="Book Antiqua" w:cs="Arial"/>
          <w:sz w:val="22"/>
          <w:szCs w:val="22"/>
        </w:rPr>
      </w:pPr>
      <w:r w:rsidRPr="00254F9A">
        <w:rPr>
          <w:rFonts w:ascii="Book Antiqua" w:hAnsi="Book Antiqua" w:cs="Arial"/>
          <w:sz w:val="22"/>
          <w:szCs w:val="22"/>
        </w:rPr>
        <w:t xml:space="preserve">“65.        As regards the relevance of these factors to the instant case, of especial relevance is identification risk.  We are persuaded that the Iranian authorities attempt to identify persons participating in demonstrations outside the Iranian Embassy in London.  The practice of filming demonstrations supports that.  The evidence suggests that there may well have been persons in the crowd to assist in the process.  There is insufficient evidence to establish that the regime has facial recognition technology in use in the UK, but it seems clear that the Iranian security apparatus attempts to match names to faces of demonstrators from photographs. We believe that the information gathered here is available in Iran. While it may well be that an appellant’s participation in demonstrations is opportunistic, the evidence suggests that this is not likely to be a major influence on the perception of the regime.  Although, expressing dissent itself will be sufficient to result in a person having in the eyes of the regime a significant political profile, we consider that the nature of the level of the </w:t>
      </w:r>
      <w:r w:rsidRPr="00254F9A">
        <w:rPr>
          <w:rFonts w:ascii="Book Antiqua" w:hAnsi="Book Antiqua" w:cs="Arial"/>
          <w:i/>
          <w:sz w:val="22"/>
          <w:szCs w:val="22"/>
        </w:rPr>
        <w:t>sur place</w:t>
      </w:r>
      <w:r w:rsidRPr="00254F9A">
        <w:rPr>
          <w:rFonts w:ascii="Book Antiqua" w:hAnsi="Book Antiqua" w:cs="Arial"/>
          <w:sz w:val="22"/>
          <w:szCs w:val="22"/>
        </w:rPr>
        <w:t xml:space="preserve"> activity will clearly heighten the determination of the Iranian authorities to identify the demonstrator while in Britain and to identify him on return. That, combined with the factors which might trigger enquiry would lead to an increased likelihood of questioning and of ill treatment on return.”</w:t>
      </w:r>
    </w:p>
    <w:p w:rsidR="00017F3D" w:rsidRPr="00DB51FF" w:rsidRDefault="007A26D4" w:rsidP="00E147B4">
      <w:pPr>
        <w:numPr>
          <w:ilvl w:val="0"/>
          <w:numId w:val="1"/>
        </w:numPr>
        <w:tabs>
          <w:tab w:val="clear" w:pos="720"/>
          <w:tab w:val="num" w:pos="360"/>
          <w:tab w:val="left" w:pos="567"/>
        </w:tabs>
        <w:spacing w:before="240"/>
        <w:ind w:left="360"/>
        <w:jc w:val="both"/>
        <w:rPr>
          <w:rFonts w:ascii="Book Antiqua" w:hAnsi="Book Antiqua" w:cs="Arial"/>
        </w:rPr>
      </w:pPr>
      <w:r w:rsidRPr="00DB51FF">
        <w:rPr>
          <w:rFonts w:ascii="Book Antiqua" w:hAnsi="Book Antiqua" w:cs="Arial"/>
        </w:rPr>
        <w:t xml:space="preserve">The Iranian authorities were twitch and more responsive to criticism than other regimes.  In this appeal, the pinch point would be at the airport on return: if questioned, the appellant could not be expected to lie about whether he had a Facebook account, and even if he did, the authorities could search online for it.  His evidence was that he had left Iran illegally and never possessed a valid passport. </w:t>
      </w:r>
    </w:p>
    <w:p w:rsidR="007A26D4" w:rsidRPr="00DB51FF" w:rsidRDefault="007A26D4" w:rsidP="00E147B4">
      <w:pPr>
        <w:numPr>
          <w:ilvl w:val="0"/>
          <w:numId w:val="1"/>
        </w:numPr>
        <w:tabs>
          <w:tab w:val="clear" w:pos="720"/>
          <w:tab w:val="num" w:pos="360"/>
          <w:tab w:val="left" w:pos="567"/>
        </w:tabs>
        <w:spacing w:before="240"/>
        <w:ind w:left="360"/>
        <w:jc w:val="both"/>
        <w:rPr>
          <w:rFonts w:ascii="Book Antiqua" w:hAnsi="Book Antiqua" w:cs="Arial"/>
        </w:rPr>
      </w:pPr>
      <w:r w:rsidRPr="00DB51FF">
        <w:rPr>
          <w:rFonts w:ascii="Book Antiqua" w:hAnsi="Book Antiqua" w:cs="Arial"/>
        </w:rPr>
        <w:t>Copies of the appellant’s Facebook posts were in the bundle and the originals had been demonstrably live at the hearing before the First-tier Judge. The reasoning regarding the appellant’s adoption was unsustainable (see [21] of the decision).</w:t>
      </w:r>
    </w:p>
    <w:p w:rsidR="007A26D4" w:rsidRPr="00DB51FF" w:rsidRDefault="007A26D4" w:rsidP="00E147B4">
      <w:pPr>
        <w:numPr>
          <w:ilvl w:val="0"/>
          <w:numId w:val="1"/>
        </w:numPr>
        <w:tabs>
          <w:tab w:val="clear" w:pos="720"/>
          <w:tab w:val="num" w:pos="360"/>
          <w:tab w:val="left" w:pos="567"/>
        </w:tabs>
        <w:spacing w:before="240"/>
        <w:ind w:left="360"/>
        <w:jc w:val="both"/>
        <w:rPr>
          <w:rFonts w:ascii="Book Antiqua" w:hAnsi="Book Antiqua" w:cs="Arial"/>
        </w:rPr>
      </w:pPr>
      <w:r w:rsidRPr="00DB51FF">
        <w:rPr>
          <w:rFonts w:ascii="Book Antiqua" w:hAnsi="Book Antiqua" w:cs="Arial"/>
        </w:rPr>
        <w:t xml:space="preserve">Mr </w:t>
      </w:r>
      <w:r w:rsidR="00E15ACF" w:rsidRPr="00DB51FF">
        <w:rPr>
          <w:rFonts w:ascii="Book Antiqua" w:hAnsi="Book Antiqua" w:cs="Arial"/>
        </w:rPr>
        <w:t>Spurling</w:t>
      </w:r>
      <w:r w:rsidRPr="00DB51FF">
        <w:rPr>
          <w:rFonts w:ascii="Book Antiqua" w:hAnsi="Book Antiqua" w:cs="Arial"/>
        </w:rPr>
        <w:t xml:space="preserve"> asked me to find an error of law and allow the appeal.</w:t>
      </w:r>
    </w:p>
    <w:p w:rsidR="007A26D4" w:rsidRPr="00DB51FF" w:rsidRDefault="007A26D4" w:rsidP="00E147B4">
      <w:pPr>
        <w:numPr>
          <w:ilvl w:val="0"/>
          <w:numId w:val="1"/>
        </w:numPr>
        <w:tabs>
          <w:tab w:val="clear" w:pos="720"/>
          <w:tab w:val="num" w:pos="360"/>
          <w:tab w:val="left" w:pos="567"/>
        </w:tabs>
        <w:spacing w:before="240"/>
        <w:ind w:left="360"/>
        <w:jc w:val="both"/>
        <w:rPr>
          <w:rFonts w:ascii="Book Antiqua" w:hAnsi="Book Antiqua" w:cs="Arial"/>
        </w:rPr>
      </w:pPr>
      <w:r w:rsidRPr="00DB51FF">
        <w:rPr>
          <w:rFonts w:ascii="Book Antiqua" w:hAnsi="Book Antiqua" w:cs="Arial"/>
        </w:rPr>
        <w:t xml:space="preserve">For the respondent, Mr Melvin said that he could not see how the Judge could have done anything different, nor how he could have interpreted the Facebook page, which was in Arabic. The appellant could delete his Facebook page at any time, for example before returning to Iran, and then there would be no risk.  He noted that in </w:t>
      </w:r>
      <w:r w:rsidRPr="00DB51FF">
        <w:rPr>
          <w:rFonts w:ascii="Book Antiqua" w:hAnsi="Book Antiqua" w:cs="Arial"/>
          <w:i/>
        </w:rPr>
        <w:t xml:space="preserve">SSH and HR, </w:t>
      </w:r>
      <w:r w:rsidRPr="00DB51FF">
        <w:rPr>
          <w:rFonts w:ascii="Book Antiqua" w:hAnsi="Book Antiqua" w:cs="Arial"/>
        </w:rPr>
        <w:t>both appeals had been dismissed.</w:t>
      </w:r>
    </w:p>
    <w:p w:rsidR="007A26D4" w:rsidRPr="00DB51FF" w:rsidRDefault="007A26D4" w:rsidP="00E147B4">
      <w:pPr>
        <w:numPr>
          <w:ilvl w:val="0"/>
          <w:numId w:val="1"/>
        </w:numPr>
        <w:tabs>
          <w:tab w:val="clear" w:pos="720"/>
          <w:tab w:val="num" w:pos="360"/>
          <w:tab w:val="left" w:pos="567"/>
        </w:tabs>
        <w:spacing w:before="240"/>
        <w:ind w:left="360"/>
        <w:jc w:val="both"/>
        <w:rPr>
          <w:rFonts w:ascii="Book Antiqua" w:hAnsi="Book Antiqua" w:cs="Arial"/>
        </w:rPr>
      </w:pPr>
      <w:r w:rsidRPr="00DB51FF">
        <w:rPr>
          <w:rFonts w:ascii="Book Antiqua" w:hAnsi="Book Antiqua" w:cs="Arial"/>
        </w:rPr>
        <w:t xml:space="preserve">I reserved my decision, which I now give. </w:t>
      </w:r>
    </w:p>
    <w:p w:rsidR="007A26D4" w:rsidRPr="00DB51FF" w:rsidRDefault="007A26D4" w:rsidP="007A26D4">
      <w:pPr>
        <w:tabs>
          <w:tab w:val="left" w:pos="567"/>
        </w:tabs>
        <w:spacing w:before="240"/>
        <w:jc w:val="both"/>
        <w:rPr>
          <w:rFonts w:ascii="Book Antiqua" w:hAnsi="Book Antiqua" w:cs="Arial"/>
          <w:b/>
        </w:rPr>
      </w:pPr>
      <w:r w:rsidRPr="00DB51FF">
        <w:rPr>
          <w:rFonts w:ascii="Book Antiqua" w:hAnsi="Book Antiqua" w:cs="Arial"/>
          <w:b/>
        </w:rPr>
        <w:t xml:space="preserve">Post-hearing </w:t>
      </w:r>
      <w:r w:rsidR="00B71741" w:rsidRPr="00DB51FF">
        <w:rPr>
          <w:rFonts w:ascii="Book Antiqua" w:hAnsi="Book Antiqua" w:cs="Arial"/>
          <w:b/>
        </w:rPr>
        <w:t>application under rule 15(2A)</w:t>
      </w:r>
      <w:r w:rsidRPr="00DB51FF">
        <w:rPr>
          <w:rFonts w:ascii="Book Antiqua" w:hAnsi="Book Antiqua" w:cs="Arial"/>
          <w:b/>
        </w:rPr>
        <w:t xml:space="preserve"> </w:t>
      </w:r>
    </w:p>
    <w:p w:rsidR="007A26D4" w:rsidRPr="00DB51FF" w:rsidRDefault="007A26D4" w:rsidP="00E147B4">
      <w:pPr>
        <w:numPr>
          <w:ilvl w:val="0"/>
          <w:numId w:val="1"/>
        </w:numPr>
        <w:tabs>
          <w:tab w:val="clear" w:pos="720"/>
          <w:tab w:val="num" w:pos="360"/>
          <w:tab w:val="left" w:pos="567"/>
        </w:tabs>
        <w:spacing w:before="240"/>
        <w:ind w:left="360"/>
        <w:jc w:val="both"/>
        <w:rPr>
          <w:rFonts w:ascii="Book Antiqua" w:hAnsi="Book Antiqua" w:cs="Arial"/>
        </w:rPr>
      </w:pPr>
      <w:r w:rsidRPr="00DB51FF">
        <w:rPr>
          <w:rFonts w:ascii="Book Antiqua" w:hAnsi="Book Antiqua" w:cs="Arial"/>
        </w:rPr>
        <w:t xml:space="preserve">On 13 August 2018, </w:t>
      </w:r>
      <w:r w:rsidR="00B71741" w:rsidRPr="00DB51FF">
        <w:rPr>
          <w:rFonts w:ascii="Book Antiqua" w:hAnsi="Book Antiqua" w:cs="Arial"/>
        </w:rPr>
        <w:t xml:space="preserve">four days after the hearing, </w:t>
      </w:r>
      <w:r w:rsidRPr="00DB51FF">
        <w:rPr>
          <w:rFonts w:ascii="Book Antiqua" w:hAnsi="Book Antiqua" w:cs="Arial"/>
        </w:rPr>
        <w:t>Mr Melvin sent to the Tribunal an unreported Upper Tribunal decision by Upper Tribunal Judge Hanson promulgated on 2 May 2018, dealing with the question of Facebook posts.  It came with a covering letter, stating that:</w:t>
      </w:r>
    </w:p>
    <w:p w:rsidR="007A26D4" w:rsidRPr="00DB51FF" w:rsidRDefault="007A26D4" w:rsidP="00254F9A">
      <w:pPr>
        <w:tabs>
          <w:tab w:val="left" w:pos="567"/>
        </w:tabs>
        <w:spacing w:before="120"/>
        <w:ind w:left="567"/>
        <w:jc w:val="both"/>
        <w:rPr>
          <w:rFonts w:ascii="Book Antiqua" w:hAnsi="Book Antiqua" w:cs="Arial"/>
          <w:b/>
          <w:sz w:val="22"/>
        </w:rPr>
      </w:pPr>
      <w:r w:rsidRPr="00DB51FF">
        <w:rPr>
          <w:rFonts w:ascii="Book Antiqua" w:hAnsi="Book Antiqua" w:cs="Arial"/>
          <w:b/>
          <w:sz w:val="22"/>
        </w:rPr>
        <w:t>“Application under rule 15(2A) of the Procedure Rules</w:t>
      </w:r>
    </w:p>
    <w:p w:rsidR="007A26D4" w:rsidRPr="00DB51FF" w:rsidRDefault="007A26D4" w:rsidP="00254F9A">
      <w:pPr>
        <w:tabs>
          <w:tab w:val="left" w:pos="567"/>
        </w:tabs>
        <w:spacing w:before="120"/>
        <w:ind w:left="567"/>
        <w:jc w:val="both"/>
        <w:rPr>
          <w:rFonts w:ascii="Book Antiqua" w:hAnsi="Book Antiqua" w:cs="Arial"/>
          <w:sz w:val="22"/>
        </w:rPr>
      </w:pPr>
      <w:r w:rsidRPr="00DB51FF">
        <w:rPr>
          <w:rFonts w:ascii="Book Antiqua" w:hAnsi="Book Antiqua" w:cs="Arial"/>
          <w:sz w:val="22"/>
        </w:rPr>
        <w:lastRenderedPageBreak/>
        <w:t xml:space="preserve">I appeared before you in the above appeal on Thursday 9 August 2018.  At the conclusion of the appeal you reserved your decision.  It has been drawn to my attention that the Upper Tribunal are in the process of reporting a detailed decision on this exact point [Facebook] (Upper Tribunal Judge Hanson) which was promulgated on 2 May 2018.  </w:t>
      </w:r>
    </w:p>
    <w:p w:rsidR="007A26D4" w:rsidRPr="00DB51FF" w:rsidRDefault="007A26D4" w:rsidP="00254F9A">
      <w:pPr>
        <w:tabs>
          <w:tab w:val="left" w:pos="567"/>
        </w:tabs>
        <w:spacing w:before="120"/>
        <w:ind w:left="567"/>
        <w:jc w:val="both"/>
        <w:rPr>
          <w:rFonts w:ascii="Book Antiqua" w:hAnsi="Book Antiqua" w:cs="Arial"/>
          <w:sz w:val="22"/>
        </w:rPr>
      </w:pPr>
      <w:r w:rsidRPr="00DB51FF">
        <w:rPr>
          <w:rFonts w:ascii="Book Antiqua" w:hAnsi="Book Antiqua" w:cs="Arial"/>
          <w:sz w:val="22"/>
        </w:rPr>
        <w:t>I apologise for not making an application for this, currently unreported decision to be before you at Thursday’s hearing.  I feel that the Tribunal would benefit from considering this decision whether there has been an error of law in the decision of the First-tier Tribunal.</w:t>
      </w:r>
    </w:p>
    <w:p w:rsidR="007A26D4" w:rsidRPr="00DB51FF" w:rsidRDefault="007A26D4" w:rsidP="00254F9A">
      <w:pPr>
        <w:tabs>
          <w:tab w:val="left" w:pos="567"/>
        </w:tabs>
        <w:spacing w:before="120"/>
        <w:ind w:left="567"/>
        <w:jc w:val="both"/>
        <w:rPr>
          <w:rFonts w:ascii="Book Antiqua" w:hAnsi="Book Antiqua" w:cs="Arial"/>
          <w:sz w:val="22"/>
        </w:rPr>
      </w:pPr>
      <w:r w:rsidRPr="00DB51FF">
        <w:rPr>
          <w:rFonts w:ascii="Book Antiqua" w:hAnsi="Book Antiqua" w:cs="Arial"/>
          <w:sz w:val="22"/>
        </w:rPr>
        <w:t>A copy of this letter and the unreported decision have been forwarded to the appellant’s representatives.</w:t>
      </w:r>
      <w:r w:rsidRPr="00DB51FF">
        <w:rPr>
          <w:rFonts w:ascii="Book Antiqua" w:hAnsi="Book Antiqua" w:cs="Arial"/>
        </w:rPr>
        <w:t>”</w:t>
      </w:r>
    </w:p>
    <w:p w:rsidR="007A26D4" w:rsidRPr="00DB51FF" w:rsidRDefault="007A26D4" w:rsidP="00E147B4">
      <w:pPr>
        <w:numPr>
          <w:ilvl w:val="0"/>
          <w:numId w:val="1"/>
        </w:numPr>
        <w:tabs>
          <w:tab w:val="clear" w:pos="720"/>
          <w:tab w:val="num" w:pos="360"/>
          <w:tab w:val="left" w:pos="567"/>
        </w:tabs>
        <w:spacing w:before="240"/>
        <w:ind w:left="360"/>
        <w:jc w:val="both"/>
        <w:rPr>
          <w:rFonts w:ascii="Book Antiqua" w:hAnsi="Book Antiqua" w:cs="Arial"/>
        </w:rPr>
      </w:pPr>
      <w:r w:rsidRPr="00DB51FF">
        <w:rPr>
          <w:rFonts w:ascii="Book Antiqua" w:hAnsi="Book Antiqua" w:cs="Arial"/>
        </w:rPr>
        <w:t>The letter does not indicate exactly what in this decision is considered to be likely to interest the Tribunal.</w:t>
      </w:r>
    </w:p>
    <w:p w:rsidR="00B71741" w:rsidRPr="00DB51FF" w:rsidRDefault="00B71741" w:rsidP="00E147B4">
      <w:pPr>
        <w:numPr>
          <w:ilvl w:val="0"/>
          <w:numId w:val="1"/>
        </w:numPr>
        <w:tabs>
          <w:tab w:val="clear" w:pos="720"/>
          <w:tab w:val="num" w:pos="360"/>
          <w:tab w:val="left" w:pos="567"/>
        </w:tabs>
        <w:spacing w:before="240"/>
        <w:ind w:left="360"/>
        <w:jc w:val="both"/>
        <w:rPr>
          <w:rFonts w:ascii="Book Antiqua" w:hAnsi="Book Antiqua" w:cs="Arial"/>
        </w:rPr>
      </w:pPr>
      <w:r w:rsidRPr="00DB51FF">
        <w:rPr>
          <w:rFonts w:ascii="Book Antiqua" w:hAnsi="Book Antiqua" w:cs="Arial"/>
        </w:rPr>
        <w:t xml:space="preserve">Rule 15(2A) is not the appropriate rule: that Rule deals with the introduction of evidence which was not before the First-tier Tribunal, not of unreported decisions. </w:t>
      </w:r>
    </w:p>
    <w:p w:rsidR="00B71741" w:rsidRPr="00DB51FF" w:rsidRDefault="00B71741" w:rsidP="00E147B4">
      <w:pPr>
        <w:numPr>
          <w:ilvl w:val="0"/>
          <w:numId w:val="1"/>
        </w:numPr>
        <w:tabs>
          <w:tab w:val="clear" w:pos="720"/>
          <w:tab w:val="num" w:pos="360"/>
          <w:tab w:val="left" w:pos="567"/>
        </w:tabs>
        <w:spacing w:before="240"/>
        <w:ind w:left="360"/>
        <w:jc w:val="both"/>
        <w:rPr>
          <w:rFonts w:ascii="Book Antiqua" w:hAnsi="Book Antiqua" w:cs="Arial"/>
        </w:rPr>
      </w:pPr>
      <w:r w:rsidRPr="00DB51FF">
        <w:rPr>
          <w:rFonts w:ascii="Book Antiqua" w:hAnsi="Book Antiqua" w:cs="Arial"/>
        </w:rPr>
        <w:t>The introduction of unreported decisions is governed by the Practice Directions of the Immigration and Asylum Chambers of the First-tier Tribunal as amended on 13 November 2014, at [11] thereof:</w:t>
      </w:r>
    </w:p>
    <w:p w:rsidR="00B71741" w:rsidRPr="00DB51FF" w:rsidRDefault="00B71741" w:rsidP="00254F9A">
      <w:pPr>
        <w:tabs>
          <w:tab w:val="left" w:pos="567"/>
        </w:tabs>
        <w:spacing w:before="120"/>
        <w:ind w:left="567"/>
        <w:jc w:val="both"/>
        <w:rPr>
          <w:rFonts w:ascii="Book Antiqua" w:hAnsi="Book Antiqua" w:cs="Arial"/>
        </w:rPr>
      </w:pPr>
      <w:r w:rsidRPr="00DB51FF">
        <w:rPr>
          <w:rFonts w:ascii="Book Antiqua" w:hAnsi="Book Antiqua" w:cs="Arial"/>
        </w:rPr>
        <w:t>“</w:t>
      </w:r>
      <w:r w:rsidRPr="00DB51FF">
        <w:rPr>
          <w:rFonts w:ascii="Book Antiqua" w:hAnsi="Book Antiqua" w:cs="Arial"/>
          <w:b/>
          <w:bCs/>
          <w:sz w:val="22"/>
        </w:rPr>
        <w:t xml:space="preserve">11 </w:t>
      </w:r>
      <w:r w:rsidRPr="00DB51FF">
        <w:rPr>
          <w:rFonts w:ascii="Book Antiqua" w:hAnsi="Book Antiqua" w:cs="Arial"/>
          <w:b/>
          <w:bCs/>
          <w:i/>
          <w:iCs/>
          <w:sz w:val="22"/>
        </w:rPr>
        <w:t xml:space="preserve">Citation of unreported determinations </w:t>
      </w:r>
    </w:p>
    <w:p w:rsidR="00B71741" w:rsidRPr="00DB51FF" w:rsidRDefault="00B71741" w:rsidP="00254F9A">
      <w:pPr>
        <w:tabs>
          <w:tab w:val="left" w:pos="567"/>
        </w:tabs>
        <w:spacing w:before="120"/>
        <w:ind w:left="567"/>
        <w:jc w:val="both"/>
        <w:rPr>
          <w:rFonts w:ascii="Book Antiqua" w:hAnsi="Book Antiqua" w:cs="Arial"/>
          <w:sz w:val="22"/>
        </w:rPr>
      </w:pPr>
      <w:r w:rsidRPr="00DB51FF">
        <w:rPr>
          <w:rFonts w:ascii="Book Antiqua" w:hAnsi="Book Antiqua" w:cs="Arial"/>
          <w:sz w:val="22"/>
        </w:rPr>
        <w:t xml:space="preserve">11.1 A determination of the Tribunal which has not been reported may not be cited in proceedings before the Tribunal unless: …(b) the Tribunal gives permission. </w:t>
      </w:r>
    </w:p>
    <w:p w:rsidR="00B71741" w:rsidRPr="00DB51FF" w:rsidRDefault="00B71741" w:rsidP="00254F9A">
      <w:pPr>
        <w:tabs>
          <w:tab w:val="left" w:pos="567"/>
        </w:tabs>
        <w:spacing w:before="120"/>
        <w:ind w:left="567"/>
        <w:jc w:val="both"/>
        <w:rPr>
          <w:rFonts w:ascii="Book Antiqua" w:hAnsi="Book Antiqua" w:cs="Arial"/>
          <w:sz w:val="22"/>
        </w:rPr>
      </w:pPr>
      <w:r w:rsidRPr="00DB51FF">
        <w:rPr>
          <w:rFonts w:ascii="Book Antiqua" w:hAnsi="Book Antiqua" w:cs="Arial"/>
          <w:sz w:val="22"/>
        </w:rPr>
        <w:t>11.2 An application for permission to cite a determination which has not been reported must:</w:t>
      </w:r>
    </w:p>
    <w:p w:rsidR="00B71741" w:rsidRPr="00DB51FF" w:rsidRDefault="00B71741" w:rsidP="00254F9A">
      <w:pPr>
        <w:tabs>
          <w:tab w:val="left" w:pos="567"/>
        </w:tabs>
        <w:spacing w:before="120"/>
        <w:ind w:left="567"/>
        <w:jc w:val="both"/>
        <w:rPr>
          <w:rFonts w:ascii="Book Antiqua" w:hAnsi="Book Antiqua" w:cs="Arial"/>
          <w:sz w:val="22"/>
        </w:rPr>
      </w:pPr>
      <w:r w:rsidRPr="00DB51FF">
        <w:rPr>
          <w:rFonts w:ascii="Book Antiqua" w:hAnsi="Book Antiqua" w:cs="Arial"/>
          <w:sz w:val="22"/>
        </w:rPr>
        <w:t xml:space="preserve">(a) include a </w:t>
      </w:r>
      <w:r w:rsidRPr="00DB51FF">
        <w:rPr>
          <w:rFonts w:ascii="Book Antiqua" w:hAnsi="Book Antiqua" w:cs="Arial"/>
          <w:b/>
          <w:bCs/>
          <w:sz w:val="22"/>
        </w:rPr>
        <w:t xml:space="preserve">full </w:t>
      </w:r>
      <w:r w:rsidRPr="00DB51FF">
        <w:rPr>
          <w:rFonts w:ascii="Book Antiqua" w:hAnsi="Book Antiqua" w:cs="Arial"/>
          <w:sz w:val="22"/>
        </w:rPr>
        <w:t xml:space="preserve">transcript of the determination; </w:t>
      </w:r>
    </w:p>
    <w:p w:rsidR="00B71741" w:rsidRPr="00DB51FF" w:rsidRDefault="00B71741" w:rsidP="00254F9A">
      <w:pPr>
        <w:tabs>
          <w:tab w:val="left" w:pos="567"/>
        </w:tabs>
        <w:spacing w:before="120"/>
        <w:ind w:left="567"/>
        <w:jc w:val="both"/>
        <w:rPr>
          <w:rFonts w:ascii="Book Antiqua" w:hAnsi="Book Antiqua" w:cs="Arial"/>
          <w:sz w:val="22"/>
        </w:rPr>
      </w:pPr>
      <w:r w:rsidRPr="00DB51FF">
        <w:rPr>
          <w:rFonts w:ascii="Book Antiqua" w:hAnsi="Book Antiqua" w:cs="Arial"/>
          <w:sz w:val="22"/>
        </w:rPr>
        <w:t xml:space="preserve">(b) identify the proposition for which the determination is to be cited; and </w:t>
      </w:r>
    </w:p>
    <w:p w:rsidR="00B71741" w:rsidRPr="00DB51FF" w:rsidRDefault="00B71741" w:rsidP="00254F9A">
      <w:pPr>
        <w:tabs>
          <w:tab w:val="left" w:pos="567"/>
        </w:tabs>
        <w:spacing w:before="120"/>
        <w:ind w:left="567"/>
        <w:jc w:val="both"/>
        <w:rPr>
          <w:rFonts w:ascii="Book Antiqua" w:hAnsi="Book Antiqua" w:cs="Arial"/>
          <w:sz w:val="22"/>
        </w:rPr>
      </w:pPr>
      <w:r w:rsidRPr="00DB51FF">
        <w:rPr>
          <w:rFonts w:ascii="Book Antiqua" w:hAnsi="Book Antiqua" w:cs="Arial"/>
          <w:sz w:val="22"/>
        </w:rPr>
        <w:t xml:space="preserve">(c) certify that the proposition is not to be found in any reported determination of the Tribunal, the IAT or the AIT and had not been superseded by the decision of a higher authority. </w:t>
      </w:r>
    </w:p>
    <w:p w:rsidR="00B71741" w:rsidRPr="00DB51FF" w:rsidRDefault="00B71741" w:rsidP="00254F9A">
      <w:pPr>
        <w:tabs>
          <w:tab w:val="left" w:pos="567"/>
        </w:tabs>
        <w:spacing w:before="120"/>
        <w:ind w:left="567"/>
        <w:jc w:val="both"/>
        <w:rPr>
          <w:rFonts w:ascii="Book Antiqua" w:hAnsi="Book Antiqua" w:cs="Arial"/>
          <w:sz w:val="22"/>
        </w:rPr>
      </w:pPr>
      <w:r w:rsidRPr="00DB51FF">
        <w:rPr>
          <w:rFonts w:ascii="Book Antiqua" w:hAnsi="Book Antiqua" w:cs="Arial"/>
          <w:sz w:val="22"/>
        </w:rPr>
        <w:t>11.3 Permission under paragraph 11.1 will be given only where the Tribunal considers that it would be materially assisted by citation of the determination, as distinct from the adoption in argument of the reasoning to be found in the determination. Such instances are likely to be rare; in particular, in the case of determinations which were unreportable (see Practice Statement 11 (reporting of determinations)). It should be emphasised that the Tribunal will not exclude good arguments from consideration but it will be rare for such an argument to be capable of being made only by reference to an unreported determination. ..</w:t>
      </w:r>
      <w:r w:rsidRPr="00DB51FF">
        <w:rPr>
          <w:rFonts w:ascii="Book Antiqua" w:hAnsi="Book Antiqua" w:cs="Arial"/>
        </w:rPr>
        <w:t>.”</w:t>
      </w:r>
    </w:p>
    <w:p w:rsidR="00B71741" w:rsidRPr="00DB51FF" w:rsidRDefault="00B71741" w:rsidP="00E147B4">
      <w:pPr>
        <w:numPr>
          <w:ilvl w:val="0"/>
          <w:numId w:val="1"/>
        </w:numPr>
        <w:tabs>
          <w:tab w:val="clear" w:pos="720"/>
          <w:tab w:val="num" w:pos="360"/>
          <w:tab w:val="left" w:pos="567"/>
        </w:tabs>
        <w:spacing w:before="240"/>
        <w:ind w:left="360"/>
        <w:jc w:val="both"/>
        <w:rPr>
          <w:rFonts w:ascii="Book Antiqua" w:hAnsi="Book Antiqua" w:cs="Arial"/>
        </w:rPr>
      </w:pPr>
      <w:r w:rsidRPr="00DB51FF">
        <w:rPr>
          <w:rFonts w:ascii="Book Antiqua" w:hAnsi="Book Antiqua" w:cs="Arial"/>
        </w:rPr>
        <w:t xml:space="preserve">Mr Melvin’s letter does not identify the proposition for which the decision is to be cited, nor does it certify that such proposition is not to be found in any reported decision of the Tribunal, the IAT or the AIT, and I am not satisfied that I would be materially assisted by citation (as opposed to adoption of the reasoning) of this decision. </w:t>
      </w:r>
    </w:p>
    <w:p w:rsidR="00B71741" w:rsidRPr="00DB51FF" w:rsidRDefault="00B71741" w:rsidP="00E147B4">
      <w:pPr>
        <w:numPr>
          <w:ilvl w:val="0"/>
          <w:numId w:val="1"/>
        </w:numPr>
        <w:tabs>
          <w:tab w:val="clear" w:pos="720"/>
          <w:tab w:val="num" w:pos="360"/>
          <w:tab w:val="left" w:pos="567"/>
        </w:tabs>
        <w:spacing w:before="240"/>
        <w:ind w:left="360"/>
        <w:jc w:val="both"/>
        <w:rPr>
          <w:rFonts w:ascii="Book Antiqua" w:hAnsi="Book Antiqua" w:cs="Arial"/>
        </w:rPr>
      </w:pPr>
      <w:r w:rsidRPr="00DB51FF">
        <w:rPr>
          <w:rFonts w:ascii="Book Antiqua" w:hAnsi="Book Antiqua" w:cs="Arial"/>
        </w:rPr>
        <w:t>I therefore refused to permit Mr Melvin to rely on the decision.  I also indicated, in a response from the Field House administration, that submissions had closed and that such application should have been made at the hearing: the decision was handed down in May 2018 and the hearing was in August 2018.</w:t>
      </w:r>
    </w:p>
    <w:p w:rsidR="00254F9A" w:rsidRDefault="00254F9A" w:rsidP="00D51814">
      <w:pPr>
        <w:tabs>
          <w:tab w:val="left" w:pos="567"/>
        </w:tabs>
        <w:spacing w:before="240"/>
        <w:jc w:val="both"/>
        <w:rPr>
          <w:rFonts w:ascii="Book Antiqua" w:hAnsi="Book Antiqua" w:cs="Arial"/>
          <w:b/>
        </w:rPr>
      </w:pPr>
    </w:p>
    <w:p w:rsidR="00D51814" w:rsidRPr="00DB51FF" w:rsidRDefault="00D51814" w:rsidP="00D51814">
      <w:pPr>
        <w:tabs>
          <w:tab w:val="left" w:pos="567"/>
        </w:tabs>
        <w:spacing w:before="240"/>
        <w:jc w:val="both"/>
        <w:rPr>
          <w:rFonts w:ascii="Book Antiqua" w:hAnsi="Book Antiqua" w:cs="Arial"/>
          <w:b/>
        </w:rPr>
      </w:pPr>
      <w:r w:rsidRPr="00DB51FF">
        <w:rPr>
          <w:rFonts w:ascii="Book Antiqua" w:hAnsi="Book Antiqua" w:cs="Arial"/>
          <w:b/>
        </w:rPr>
        <w:lastRenderedPageBreak/>
        <w:t xml:space="preserve">Discussion </w:t>
      </w:r>
    </w:p>
    <w:p w:rsidR="00D51814" w:rsidRPr="00DB51FF" w:rsidRDefault="007A26D4" w:rsidP="00E147B4">
      <w:pPr>
        <w:numPr>
          <w:ilvl w:val="0"/>
          <w:numId w:val="1"/>
        </w:numPr>
        <w:tabs>
          <w:tab w:val="clear" w:pos="720"/>
          <w:tab w:val="num" w:pos="360"/>
          <w:tab w:val="left" w:pos="567"/>
        </w:tabs>
        <w:spacing w:before="240"/>
        <w:ind w:left="360"/>
        <w:jc w:val="both"/>
        <w:rPr>
          <w:rFonts w:ascii="Book Antiqua" w:hAnsi="Book Antiqua" w:cs="Arial"/>
        </w:rPr>
      </w:pPr>
      <w:r w:rsidRPr="00DB51FF">
        <w:rPr>
          <w:rFonts w:ascii="Book Antiqua" w:hAnsi="Book Antiqua" w:cs="Arial"/>
        </w:rPr>
        <w:t xml:space="preserve">I begin by considering the adoption question.  </w:t>
      </w:r>
      <w:r w:rsidR="00E15ACF" w:rsidRPr="00DB51FF">
        <w:rPr>
          <w:rFonts w:ascii="Book Antiqua" w:hAnsi="Book Antiqua" w:cs="Arial"/>
        </w:rPr>
        <w:t>The First-tier Judge found that:</w:t>
      </w:r>
    </w:p>
    <w:p w:rsidR="00E15ACF" w:rsidRPr="00DB51FF" w:rsidRDefault="00E15ACF" w:rsidP="00254F9A">
      <w:pPr>
        <w:tabs>
          <w:tab w:val="left" w:pos="567"/>
          <w:tab w:val="right" w:pos="9071"/>
        </w:tabs>
        <w:spacing w:before="120"/>
        <w:ind w:left="567" w:right="567"/>
        <w:rPr>
          <w:rFonts w:ascii="Book Antiqua" w:hAnsi="Book Antiqua" w:cs="Arial"/>
        </w:rPr>
      </w:pPr>
      <w:r w:rsidRPr="00DB51FF">
        <w:rPr>
          <w:rFonts w:ascii="Book Antiqua" w:hAnsi="Book Antiqua" w:cs="Arial"/>
        </w:rPr>
        <w:t>“</w:t>
      </w:r>
      <w:r w:rsidRPr="00DB51FF">
        <w:rPr>
          <w:rFonts w:ascii="Book Antiqua" w:hAnsi="Book Antiqua" w:cs="Arial"/>
          <w:sz w:val="20"/>
        </w:rPr>
        <w:t>His</w:t>
      </w:r>
      <w:r w:rsidRPr="00DB51FF">
        <w:rPr>
          <w:rFonts w:ascii="Book Antiqua" w:hAnsi="Book Antiqua" w:cs="Arial"/>
          <w:sz w:val="22"/>
        </w:rPr>
        <w:t xml:space="preserve"> claim to have been an orphan was not impossible</w:t>
      </w:r>
      <w:r w:rsidRPr="00DB51FF">
        <w:rPr>
          <w:rFonts w:ascii="Book Antiqua" w:hAnsi="Book Antiqua" w:cs="Arial"/>
        </w:rPr>
        <w:t xml:space="preserve">, </w:t>
      </w:r>
      <w:r w:rsidRPr="00DB51FF">
        <w:rPr>
          <w:rFonts w:ascii="Book Antiqua" w:hAnsi="Book Antiqua" w:cs="Arial"/>
          <w:sz w:val="22"/>
        </w:rPr>
        <w:t>but</w:t>
      </w:r>
      <w:r w:rsidRPr="00DB51FF">
        <w:rPr>
          <w:rFonts w:ascii="Book Antiqua" w:hAnsi="Book Antiqua" w:cs="Arial"/>
        </w:rPr>
        <w:t xml:space="preserve"> </w:t>
      </w:r>
      <w:r w:rsidRPr="00DB51FF">
        <w:rPr>
          <w:rFonts w:ascii="Book Antiqua" w:hAnsi="Book Antiqua" w:cs="Arial"/>
          <w:sz w:val="22"/>
        </w:rPr>
        <w:t xml:space="preserve">the story of unhindered travel and return to Iran was improbably, seen against the country background evidence, if his father had been known as a Kurdish fighter and that the family had been forced to flee Iran in consequence. The appellant had not claimed that he had returned to a large city where some degree of anonymity might have been possible.  </w:t>
      </w:r>
      <w:r w:rsidRPr="00DB51FF">
        <w:rPr>
          <w:rFonts w:ascii="Book Antiqua" w:hAnsi="Book Antiqua" w:cs="Arial"/>
          <w:i/>
          <w:sz w:val="22"/>
        </w:rPr>
        <w:t>Given the tribal nature of Kurdish society, the appellant is unlikely to have been ‘adopted’ by a friend of his father’s.  He and his sister, if orphaned, are more likely to have been claimed by a close relative, within the extended family structure.  Kurdish families tend to be large and it is accordingly improbable that the appellant had no known relatives on either side as he asserted. …</w:t>
      </w:r>
      <w:r w:rsidRPr="00DB51FF">
        <w:rPr>
          <w:rFonts w:ascii="Book Antiqua" w:hAnsi="Book Antiqua" w:cs="Arial"/>
        </w:rPr>
        <w:t>”</w:t>
      </w:r>
      <w:r w:rsidR="00254F9A">
        <w:rPr>
          <w:rFonts w:ascii="Book Antiqua" w:hAnsi="Book Antiqua" w:cs="Arial"/>
        </w:rPr>
        <w:tab/>
      </w:r>
      <w:r w:rsidRPr="00DB51FF">
        <w:rPr>
          <w:rFonts w:ascii="Book Antiqua" w:hAnsi="Book Antiqua" w:cs="Arial"/>
        </w:rPr>
        <w:t>[</w:t>
      </w:r>
      <w:r w:rsidRPr="00DB51FF">
        <w:rPr>
          <w:rFonts w:ascii="Book Antiqua" w:hAnsi="Book Antiqua" w:cs="Arial"/>
          <w:i/>
          <w:sz w:val="22"/>
        </w:rPr>
        <w:t>Emphasis added</w:t>
      </w:r>
      <w:r w:rsidRPr="00DB51FF">
        <w:rPr>
          <w:rFonts w:ascii="Book Antiqua" w:hAnsi="Book Antiqua" w:cs="Arial"/>
        </w:rPr>
        <w:t>]</w:t>
      </w:r>
    </w:p>
    <w:p w:rsidR="00E15ACF" w:rsidRPr="00DB51FF" w:rsidRDefault="00E15ACF" w:rsidP="00E147B4">
      <w:pPr>
        <w:numPr>
          <w:ilvl w:val="0"/>
          <w:numId w:val="1"/>
        </w:numPr>
        <w:tabs>
          <w:tab w:val="clear" w:pos="720"/>
          <w:tab w:val="num" w:pos="360"/>
          <w:tab w:val="left" w:pos="567"/>
        </w:tabs>
        <w:spacing w:before="240"/>
        <w:ind w:left="360"/>
        <w:jc w:val="both"/>
        <w:rPr>
          <w:rFonts w:ascii="Book Antiqua" w:hAnsi="Book Antiqua" w:cs="Arial"/>
        </w:rPr>
      </w:pPr>
      <w:r w:rsidRPr="00DB51FF">
        <w:rPr>
          <w:rFonts w:ascii="Book Antiqua" w:hAnsi="Book Antiqua" w:cs="Arial"/>
        </w:rPr>
        <w:t xml:space="preserve">There appears to be no evidence advanced by either party to support these suppositions, and the standard of proof applied (not impossible, more likely, improbable) does not appear to be the lower standard of proof applicable in international protection claims.   </w:t>
      </w:r>
    </w:p>
    <w:p w:rsidR="00A03E03" w:rsidRPr="00DB51FF" w:rsidRDefault="00A03E03" w:rsidP="00A03E03">
      <w:pPr>
        <w:numPr>
          <w:ilvl w:val="0"/>
          <w:numId w:val="1"/>
        </w:numPr>
        <w:tabs>
          <w:tab w:val="clear" w:pos="720"/>
          <w:tab w:val="left" w:pos="567"/>
        </w:tabs>
        <w:spacing w:before="240"/>
        <w:ind w:left="360"/>
        <w:jc w:val="both"/>
        <w:rPr>
          <w:rFonts w:ascii="Book Antiqua" w:hAnsi="Book Antiqua" w:cs="Arial"/>
          <w:i/>
        </w:rPr>
      </w:pPr>
      <w:r w:rsidRPr="00DB51FF">
        <w:rPr>
          <w:rFonts w:ascii="Book Antiqua" w:hAnsi="Book Antiqua" w:cs="Arial"/>
        </w:rPr>
        <w:t xml:space="preserve">Dealing next with </w:t>
      </w:r>
      <w:r w:rsidRPr="00DB51FF">
        <w:rPr>
          <w:rFonts w:ascii="Book Antiqua" w:hAnsi="Book Antiqua" w:cs="Arial"/>
          <w:i/>
        </w:rPr>
        <w:t xml:space="preserve">SSH and HR, </w:t>
      </w:r>
      <w:r w:rsidRPr="00DB51FF">
        <w:rPr>
          <w:rFonts w:ascii="Book Antiqua" w:hAnsi="Book Antiqua" w:cs="Arial"/>
        </w:rPr>
        <w:t>in that decision the Upper Tribunal</w:t>
      </w:r>
      <w:r w:rsidRPr="00DB51FF">
        <w:rPr>
          <w:rFonts w:ascii="Book Antiqua" w:hAnsi="Book Antiqua" w:cs="Arial"/>
          <w:i/>
        </w:rPr>
        <w:t xml:space="preserve"> </w:t>
      </w:r>
      <w:r w:rsidRPr="00DB51FF">
        <w:rPr>
          <w:rFonts w:ascii="Book Antiqua" w:hAnsi="Book Antiqua" w:cs="Arial"/>
        </w:rPr>
        <w:t>held that:</w:t>
      </w:r>
    </w:p>
    <w:p w:rsidR="00A03E03" w:rsidRPr="00DB51FF" w:rsidRDefault="00A03E03" w:rsidP="00254F9A">
      <w:pPr>
        <w:tabs>
          <w:tab w:val="left" w:pos="567"/>
        </w:tabs>
        <w:spacing w:before="120"/>
        <w:ind w:left="567" w:right="567"/>
        <w:jc w:val="both"/>
        <w:rPr>
          <w:rFonts w:ascii="Book Antiqua" w:hAnsi="Book Antiqua" w:cs="Arial"/>
          <w:i/>
          <w:sz w:val="22"/>
        </w:rPr>
      </w:pPr>
      <w:r w:rsidRPr="00DB51FF">
        <w:rPr>
          <w:rFonts w:ascii="Book Antiqua" w:hAnsi="Book Antiqua" w:cs="Arial"/>
          <w:i/>
        </w:rPr>
        <w:t>“</w:t>
      </w:r>
      <w:r w:rsidRPr="00DB51FF">
        <w:rPr>
          <w:rFonts w:ascii="Book Antiqua" w:hAnsi="Book Antiqua" w:cs="Arial"/>
          <w:i/>
          <w:sz w:val="22"/>
        </w:rPr>
        <w:t>(a) An Iranian male whom it is sought to return to Iran, who does not possess a passport, will be returnable on a laissez passer, which he can obtain from the Iranian Embassy on proof of identity and nationality.</w:t>
      </w:r>
    </w:p>
    <w:p w:rsidR="00A03E03" w:rsidRPr="00DB51FF" w:rsidRDefault="00A03E03" w:rsidP="00254F9A">
      <w:pPr>
        <w:tabs>
          <w:tab w:val="left" w:pos="567"/>
        </w:tabs>
        <w:spacing w:before="120"/>
        <w:ind w:left="567" w:right="567"/>
        <w:jc w:val="both"/>
        <w:rPr>
          <w:rFonts w:ascii="Book Antiqua" w:hAnsi="Book Antiqua" w:cs="Arial"/>
          <w:i/>
        </w:rPr>
      </w:pPr>
      <w:r w:rsidRPr="00DB51FF">
        <w:rPr>
          <w:rFonts w:ascii="Book Antiqua" w:hAnsi="Book Antiqua" w:cs="Arial"/>
          <w:i/>
          <w:sz w:val="22"/>
        </w:rPr>
        <w:t>(b) An Iranian male in respect of whom no adverse interest has previously been manifested by the Iranian State does not face a real risk of persecution/breach of his Article 3 rights on return to Iran on account of having left Iran illegally and/or being a failed asylum seeker. No such risk exists at the time of questioning on return to Iran nor after the facts (i.e. of illegal exit and being a failed asylum seeker) have been established. In particular, there is not a real risk of prosecution leading to imprisonment</w:t>
      </w:r>
      <w:r w:rsidRPr="00DB51FF">
        <w:rPr>
          <w:rFonts w:ascii="Book Antiqua" w:hAnsi="Book Antiqua" w:cs="Arial"/>
          <w:i/>
        </w:rPr>
        <w:t>.”</w:t>
      </w:r>
    </w:p>
    <w:p w:rsidR="00A03E03" w:rsidRPr="00DB51FF" w:rsidRDefault="00A03E03" w:rsidP="00E15ACF">
      <w:pPr>
        <w:numPr>
          <w:ilvl w:val="0"/>
          <w:numId w:val="1"/>
        </w:numPr>
        <w:tabs>
          <w:tab w:val="clear" w:pos="720"/>
          <w:tab w:val="left" w:pos="567"/>
        </w:tabs>
        <w:spacing w:before="240"/>
        <w:ind w:left="360"/>
        <w:jc w:val="both"/>
        <w:rPr>
          <w:rFonts w:ascii="Book Antiqua" w:hAnsi="Book Antiqua" w:cs="Arial"/>
        </w:rPr>
      </w:pPr>
      <w:r w:rsidRPr="00DB51FF">
        <w:rPr>
          <w:rFonts w:ascii="Book Antiqua" w:hAnsi="Book Antiqua" w:cs="Arial"/>
        </w:rPr>
        <w:t>The appellant having exited illegally (if he did) or having no passport now, is not enough to put him at risk.</w:t>
      </w:r>
    </w:p>
    <w:p w:rsidR="00A03E03" w:rsidRPr="00DB51FF" w:rsidRDefault="00A03E03" w:rsidP="00E15ACF">
      <w:pPr>
        <w:numPr>
          <w:ilvl w:val="0"/>
          <w:numId w:val="1"/>
        </w:numPr>
        <w:tabs>
          <w:tab w:val="clear" w:pos="720"/>
          <w:tab w:val="left" w:pos="567"/>
        </w:tabs>
        <w:spacing w:before="240"/>
        <w:ind w:left="360"/>
        <w:jc w:val="both"/>
        <w:rPr>
          <w:rFonts w:ascii="Book Antiqua" w:hAnsi="Book Antiqua" w:cs="Arial"/>
        </w:rPr>
      </w:pPr>
      <w:r w:rsidRPr="00DB51FF">
        <w:rPr>
          <w:rFonts w:ascii="Book Antiqua" w:hAnsi="Book Antiqua" w:cs="Arial"/>
        </w:rPr>
        <w:t xml:space="preserve">The real risk, if any, arises from the </w:t>
      </w:r>
      <w:r w:rsidRPr="00DB51FF">
        <w:rPr>
          <w:rFonts w:ascii="Book Antiqua" w:hAnsi="Book Antiqua" w:cs="Arial"/>
          <w:i/>
        </w:rPr>
        <w:t xml:space="preserve">sur place </w:t>
      </w:r>
      <w:r w:rsidRPr="00DB51FF">
        <w:rPr>
          <w:rFonts w:ascii="Book Antiqua" w:hAnsi="Book Antiqua" w:cs="Arial"/>
        </w:rPr>
        <w:t>claim (</w:t>
      </w:r>
      <w:r w:rsidR="00E15ACF" w:rsidRPr="00DB51FF">
        <w:rPr>
          <w:rFonts w:ascii="Book Antiqua" w:hAnsi="Book Antiqua" w:cs="Arial"/>
        </w:rPr>
        <w:t xml:space="preserve">the </w:t>
      </w:r>
      <w:r w:rsidR="00E15ACF" w:rsidRPr="00DB51FF">
        <w:rPr>
          <w:rFonts w:ascii="Book Antiqua" w:hAnsi="Book Antiqua" w:cs="Arial"/>
          <w:i/>
        </w:rPr>
        <w:t>Danian</w:t>
      </w:r>
      <w:r w:rsidR="00E15ACF" w:rsidRPr="00DB51FF">
        <w:rPr>
          <w:rFonts w:ascii="Book Antiqua" w:hAnsi="Book Antiqua" w:cs="Arial"/>
        </w:rPr>
        <w:t xml:space="preserve"> question</w:t>
      </w:r>
      <w:r w:rsidRPr="00DB51FF">
        <w:rPr>
          <w:rFonts w:ascii="Book Antiqua" w:hAnsi="Book Antiqua" w:cs="Arial"/>
        </w:rPr>
        <w:t>):</w:t>
      </w:r>
      <w:r w:rsidR="00E15ACF" w:rsidRPr="00DB51FF">
        <w:rPr>
          <w:rFonts w:ascii="Book Antiqua" w:hAnsi="Book Antiqua" w:cs="Arial"/>
        </w:rPr>
        <w:t xml:space="preserve"> there was evidence at the date of hearing of live Facebook posts </w:t>
      </w:r>
      <w:r w:rsidRPr="00DB51FF">
        <w:rPr>
          <w:rFonts w:ascii="Book Antiqua" w:hAnsi="Book Antiqua" w:cs="Arial"/>
        </w:rPr>
        <w:t>in trenchantly anti-government terms, from a Facebook page apparently</w:t>
      </w:r>
      <w:r w:rsidR="00E15ACF" w:rsidRPr="00DB51FF">
        <w:rPr>
          <w:rFonts w:ascii="Book Antiqua" w:hAnsi="Book Antiqua" w:cs="Arial"/>
        </w:rPr>
        <w:t xml:space="preserve"> </w:t>
      </w:r>
      <w:r w:rsidRPr="00DB51FF">
        <w:rPr>
          <w:rFonts w:ascii="Book Antiqua" w:hAnsi="Book Antiqua" w:cs="Arial"/>
        </w:rPr>
        <w:t>created for that express purpose, just a few months before the hearing, on which the posts were live at the date of hearing</w:t>
      </w:r>
      <w:r w:rsidR="00E15ACF" w:rsidRPr="00DB51FF">
        <w:rPr>
          <w:rFonts w:ascii="Book Antiqua" w:hAnsi="Book Antiqua" w:cs="Arial"/>
        </w:rPr>
        <w:t xml:space="preserve">.  </w:t>
      </w:r>
    </w:p>
    <w:p w:rsidR="008D246B" w:rsidRPr="00DB51FF" w:rsidRDefault="00A03E03" w:rsidP="00E15ACF">
      <w:pPr>
        <w:numPr>
          <w:ilvl w:val="0"/>
          <w:numId w:val="1"/>
        </w:numPr>
        <w:tabs>
          <w:tab w:val="clear" w:pos="720"/>
          <w:tab w:val="left" w:pos="567"/>
        </w:tabs>
        <w:spacing w:before="240"/>
        <w:ind w:left="360"/>
        <w:jc w:val="both"/>
        <w:rPr>
          <w:rFonts w:ascii="Book Antiqua" w:hAnsi="Book Antiqua" w:cs="Arial"/>
        </w:rPr>
      </w:pPr>
      <w:r w:rsidRPr="00DB51FF">
        <w:rPr>
          <w:rFonts w:ascii="Book Antiqua" w:hAnsi="Book Antiqua" w:cs="Arial"/>
        </w:rPr>
        <w:t xml:space="preserve">The posts are not subtle either as to their wording, or their intended effect.  </w:t>
      </w:r>
      <w:r w:rsidR="00E15ACF" w:rsidRPr="00DB51FF">
        <w:rPr>
          <w:rFonts w:ascii="Book Antiqua" w:hAnsi="Book Antiqua" w:cs="Arial"/>
        </w:rPr>
        <w:t xml:space="preserve">The appellant’s Facebook page, as shown in the photocopies in the file, </w:t>
      </w:r>
      <w:r w:rsidR="008D246B" w:rsidRPr="00DB51FF">
        <w:rPr>
          <w:rFonts w:ascii="Book Antiqua" w:hAnsi="Book Antiqua" w:cs="Arial"/>
        </w:rPr>
        <w:t xml:space="preserve">has as its main picture a photograph with the words </w:t>
      </w:r>
      <w:r w:rsidR="008D246B" w:rsidRPr="00DB51FF">
        <w:rPr>
          <w:rFonts w:ascii="Book Antiqua" w:hAnsi="Book Antiqua" w:cs="Arial"/>
          <w:i/>
        </w:rPr>
        <w:t>PJAK Activities</w:t>
      </w:r>
      <w:r w:rsidR="008D246B" w:rsidRPr="00DB51FF">
        <w:rPr>
          <w:rFonts w:ascii="Book Antiqua" w:hAnsi="Book Antiqua" w:cs="Arial"/>
        </w:rPr>
        <w:t xml:space="preserve"> endorsed on it.  The translations of his posts refer to execution of 4 Kurdish citizens in </w:t>
      </w:r>
      <w:proofErr w:type="spellStart"/>
      <w:r w:rsidR="008D246B" w:rsidRPr="00DB51FF">
        <w:rPr>
          <w:rFonts w:ascii="Book Antiqua" w:hAnsi="Book Antiqua" w:cs="Arial"/>
        </w:rPr>
        <w:t>Urmya</w:t>
      </w:r>
      <w:proofErr w:type="spellEnd"/>
      <w:r w:rsidR="008D246B" w:rsidRPr="00DB51FF">
        <w:rPr>
          <w:rFonts w:ascii="Book Antiqua" w:hAnsi="Book Antiqua" w:cs="Arial"/>
        </w:rPr>
        <w:t xml:space="preserve"> prison, more than 2300 children living in Iranian prisons, the sharing of a post by the KDPI Scotland about another person being sentenced for 11 years, another link about the ‘execution machine of the Islamic republic’ having executed a Kurdish woman, and so on.  There is a photograph of someone who seems to have been badly beaten, and a page in English saying that Iran executes 1 person every 8 hours.</w:t>
      </w:r>
    </w:p>
    <w:p w:rsidR="00DB51FF" w:rsidRPr="00DB51FF" w:rsidRDefault="00A03E03" w:rsidP="006207FD">
      <w:pPr>
        <w:numPr>
          <w:ilvl w:val="0"/>
          <w:numId w:val="1"/>
        </w:numPr>
        <w:tabs>
          <w:tab w:val="clear" w:pos="720"/>
          <w:tab w:val="left" w:pos="567"/>
        </w:tabs>
        <w:spacing w:before="240"/>
        <w:ind w:left="360"/>
        <w:jc w:val="both"/>
        <w:rPr>
          <w:rFonts w:ascii="Book Antiqua" w:hAnsi="Book Antiqua" w:cs="Arial"/>
        </w:rPr>
      </w:pPr>
      <w:r w:rsidRPr="00DB51FF">
        <w:rPr>
          <w:rFonts w:ascii="Book Antiqua" w:hAnsi="Book Antiqua" w:cs="Arial"/>
        </w:rPr>
        <w:lastRenderedPageBreak/>
        <w:t>Whatever one’s reservations about the reason for creating a page of that type, i</w:t>
      </w:r>
      <w:r w:rsidR="008D246B" w:rsidRPr="00DB51FF">
        <w:rPr>
          <w:rFonts w:ascii="Book Antiqua" w:hAnsi="Book Antiqua" w:cs="Arial"/>
        </w:rPr>
        <w:t xml:space="preserve">t </w:t>
      </w:r>
      <w:r w:rsidRPr="00DB51FF">
        <w:rPr>
          <w:rFonts w:ascii="Book Antiqua" w:hAnsi="Book Antiqua" w:cs="Arial"/>
        </w:rPr>
        <w:t>was</w:t>
      </w:r>
      <w:r w:rsidR="008D246B" w:rsidRPr="00DB51FF">
        <w:rPr>
          <w:rFonts w:ascii="Book Antiqua" w:hAnsi="Book Antiqua" w:cs="Arial"/>
        </w:rPr>
        <w:t xml:space="preserve"> necessary, therefore, for the Judge to consider how </w:t>
      </w:r>
      <w:r w:rsidR="00E15ACF" w:rsidRPr="00DB51FF">
        <w:rPr>
          <w:rFonts w:ascii="Book Antiqua" w:hAnsi="Book Antiqua" w:cs="Arial"/>
        </w:rPr>
        <w:t>the appellant’s Kurdish separatist Facebook posts would be interpreted by the Iranian authorities, and their likely reaction to those posts</w:t>
      </w:r>
      <w:r w:rsidR="008D246B" w:rsidRPr="00DB51FF">
        <w:rPr>
          <w:rFonts w:ascii="Book Antiqua" w:hAnsi="Book Antiqua" w:cs="Arial"/>
        </w:rPr>
        <w:t xml:space="preserve">. </w:t>
      </w:r>
      <w:r w:rsidRPr="00DB51FF">
        <w:rPr>
          <w:rFonts w:ascii="Book Antiqua" w:hAnsi="Book Antiqua" w:cs="Arial"/>
        </w:rPr>
        <w:t xml:space="preserve">I reject Mr </w:t>
      </w:r>
      <w:r w:rsidR="00DB51FF" w:rsidRPr="00DB51FF">
        <w:rPr>
          <w:rFonts w:ascii="Book Antiqua" w:hAnsi="Book Antiqua" w:cs="Arial"/>
        </w:rPr>
        <w:t xml:space="preserve">Melvin’s assertion that these posts should be considered on the basis that the appellant could delete them before returning to Iran and be at no risk: that is a variant of the return to discretion argument which was rejected by the Supreme Court in </w:t>
      </w:r>
      <w:r w:rsidR="00DB51FF" w:rsidRPr="00DB51FF">
        <w:rPr>
          <w:rFonts w:ascii="Book Antiqua" w:hAnsi="Book Antiqua" w:cs="Arial"/>
          <w:i/>
        </w:rPr>
        <w:t xml:space="preserve">HJ (Iran).  </w:t>
      </w:r>
      <w:r w:rsidR="00DB51FF" w:rsidRPr="00DB51FF">
        <w:rPr>
          <w:rFonts w:ascii="Book Antiqua" w:hAnsi="Book Antiqua" w:cs="Arial"/>
        </w:rPr>
        <w:t>If the reason the appellant would change his behaviour (delete his Facebook profile and the posts thereon) is fear, then that cannot be taken into account in assessing risk.</w:t>
      </w:r>
    </w:p>
    <w:p w:rsidR="00DB51FF" w:rsidRPr="00DB51FF" w:rsidRDefault="00DB51FF" w:rsidP="006207FD">
      <w:pPr>
        <w:numPr>
          <w:ilvl w:val="0"/>
          <w:numId w:val="1"/>
        </w:numPr>
        <w:tabs>
          <w:tab w:val="clear" w:pos="720"/>
          <w:tab w:val="left" w:pos="567"/>
        </w:tabs>
        <w:spacing w:before="240"/>
        <w:ind w:left="360"/>
        <w:jc w:val="both"/>
        <w:rPr>
          <w:rFonts w:ascii="Book Antiqua" w:hAnsi="Book Antiqua" w:cs="Arial"/>
        </w:rPr>
      </w:pPr>
      <w:r w:rsidRPr="00DB51FF">
        <w:rPr>
          <w:rFonts w:ascii="Book Antiqua" w:hAnsi="Book Antiqua" w:cs="Arial"/>
        </w:rPr>
        <w:t xml:space="preserve">The assessment of the risk on return in the First-tier Tribunal decision is materially impoverished by the failure to have regard to the evidence of Dr Joffé.  As already stated, the Judge erred in considering that the evidence was confidential and copyright, since emails in the First-tier Tribunal bundle confirmed Professor Joffé’s consent to its use. </w:t>
      </w:r>
      <w:r w:rsidR="00A03E03" w:rsidRPr="00DB51FF">
        <w:rPr>
          <w:rFonts w:ascii="Book Antiqua" w:hAnsi="Book Antiqua" w:cs="Arial"/>
        </w:rPr>
        <w:t xml:space="preserve">I have not heard detailed argument on Professor Joffé’s report.  </w:t>
      </w:r>
    </w:p>
    <w:p w:rsidR="00E15ACF" w:rsidRPr="00DB51FF" w:rsidRDefault="00A03E03" w:rsidP="006207FD">
      <w:pPr>
        <w:numPr>
          <w:ilvl w:val="0"/>
          <w:numId w:val="1"/>
        </w:numPr>
        <w:tabs>
          <w:tab w:val="clear" w:pos="720"/>
          <w:tab w:val="left" w:pos="567"/>
        </w:tabs>
        <w:spacing w:before="240"/>
        <w:ind w:left="360"/>
        <w:jc w:val="both"/>
        <w:rPr>
          <w:rFonts w:ascii="Book Antiqua" w:hAnsi="Book Antiqua" w:cs="Arial"/>
        </w:rPr>
      </w:pPr>
      <w:r w:rsidRPr="00DB51FF">
        <w:rPr>
          <w:rFonts w:ascii="Book Antiqua" w:hAnsi="Book Antiqua" w:cs="Arial"/>
        </w:rPr>
        <w:t xml:space="preserve">I </w:t>
      </w:r>
      <w:r w:rsidR="00DB51FF">
        <w:rPr>
          <w:rFonts w:ascii="Book Antiqua" w:hAnsi="Book Antiqua" w:cs="Arial"/>
        </w:rPr>
        <w:t>am satisfied</w:t>
      </w:r>
      <w:r w:rsidRPr="00DB51FF">
        <w:rPr>
          <w:rFonts w:ascii="Book Antiqua" w:hAnsi="Book Antiqua" w:cs="Arial"/>
        </w:rPr>
        <w:t xml:space="preserve"> that the errors set out above are so serious that the First-tier Tribunal decision cannot be maintained and that the appeal should be reheard afresh by a different constitution of the First-tier Tribunal. </w:t>
      </w:r>
    </w:p>
    <w:p w:rsidR="00306236" w:rsidRPr="00DB51FF" w:rsidRDefault="00306236" w:rsidP="00BF23BB">
      <w:pPr>
        <w:tabs>
          <w:tab w:val="left" w:pos="567"/>
        </w:tabs>
        <w:ind w:left="567" w:hanging="567"/>
        <w:jc w:val="both"/>
        <w:rPr>
          <w:rFonts w:ascii="Book Antiqua" w:hAnsi="Book Antiqua" w:cs="Arial"/>
        </w:rPr>
      </w:pPr>
    </w:p>
    <w:p w:rsidR="00306236" w:rsidRPr="00DB51FF" w:rsidRDefault="00306236" w:rsidP="00BF23BB">
      <w:pPr>
        <w:tabs>
          <w:tab w:val="left" w:pos="567"/>
        </w:tabs>
        <w:ind w:left="567" w:hanging="567"/>
        <w:jc w:val="both"/>
        <w:rPr>
          <w:rFonts w:ascii="Book Antiqua" w:hAnsi="Book Antiqua" w:cs="Arial"/>
        </w:rPr>
      </w:pPr>
      <w:r w:rsidRPr="00DB51FF">
        <w:rPr>
          <w:rFonts w:ascii="Book Antiqua" w:hAnsi="Book Antiqua" w:cs="Arial"/>
          <w:b/>
        </w:rPr>
        <w:t>DECISION</w:t>
      </w:r>
    </w:p>
    <w:p w:rsidR="001F2716" w:rsidRPr="00DB51FF" w:rsidRDefault="001F2716" w:rsidP="00780F86">
      <w:pPr>
        <w:ind w:left="540" w:hanging="540"/>
        <w:jc w:val="both"/>
        <w:rPr>
          <w:rFonts w:ascii="Book Antiqua" w:hAnsi="Book Antiqua" w:cs="Arial"/>
        </w:rPr>
      </w:pPr>
    </w:p>
    <w:p w:rsidR="00306236" w:rsidRPr="00DB51FF" w:rsidRDefault="00306236" w:rsidP="00306236">
      <w:pPr>
        <w:numPr>
          <w:ilvl w:val="0"/>
          <w:numId w:val="1"/>
        </w:numPr>
        <w:tabs>
          <w:tab w:val="clear" w:pos="720"/>
          <w:tab w:val="num" w:pos="360"/>
          <w:tab w:val="left" w:pos="567"/>
        </w:tabs>
        <w:ind w:left="360"/>
        <w:jc w:val="both"/>
        <w:rPr>
          <w:rFonts w:ascii="Book Antiqua" w:hAnsi="Book Antiqua" w:cs="Arial"/>
        </w:rPr>
      </w:pPr>
      <w:r w:rsidRPr="00DB51FF">
        <w:rPr>
          <w:rFonts w:ascii="Book Antiqua" w:hAnsi="Book Antiqua" w:cs="Arial"/>
        </w:rPr>
        <w:t>For the foregoing reasons, my decision is as follows:</w:t>
      </w:r>
    </w:p>
    <w:p w:rsidR="00306236" w:rsidRPr="00DB51FF" w:rsidRDefault="00306236" w:rsidP="00306236">
      <w:pPr>
        <w:tabs>
          <w:tab w:val="left" w:pos="567"/>
        </w:tabs>
        <w:ind w:left="360"/>
        <w:jc w:val="both"/>
        <w:rPr>
          <w:rFonts w:ascii="Book Antiqua" w:hAnsi="Book Antiqua" w:cs="Arial"/>
        </w:rPr>
      </w:pPr>
      <w:r w:rsidRPr="00DB51FF">
        <w:rPr>
          <w:rFonts w:ascii="Book Antiqua" w:hAnsi="Book Antiqua" w:cs="Arial"/>
        </w:rPr>
        <w:t xml:space="preserve">The making of the previous decision involved the making of an error on a point of law.   </w:t>
      </w:r>
    </w:p>
    <w:p w:rsidR="00D51814" w:rsidRPr="00DB51FF" w:rsidRDefault="00306236" w:rsidP="00306236">
      <w:pPr>
        <w:tabs>
          <w:tab w:val="left" w:pos="567"/>
        </w:tabs>
        <w:ind w:left="360"/>
        <w:jc w:val="both"/>
        <w:rPr>
          <w:rFonts w:ascii="Book Antiqua" w:hAnsi="Book Antiqua" w:cs="Arial"/>
        </w:rPr>
      </w:pPr>
      <w:r w:rsidRPr="00DB51FF">
        <w:rPr>
          <w:rFonts w:ascii="Book Antiqua" w:hAnsi="Book Antiqua" w:cs="Arial"/>
        </w:rPr>
        <w:t xml:space="preserve">I set aside the previous decision.  </w:t>
      </w:r>
      <w:r w:rsidR="00A03E03" w:rsidRPr="00DB51FF">
        <w:rPr>
          <w:rFonts w:ascii="Book Antiqua" w:hAnsi="Book Antiqua" w:cs="Arial"/>
        </w:rPr>
        <w:t>The decision in this appeal will be remade in the First-tier Tribunal on a date to be fixed.</w:t>
      </w:r>
    </w:p>
    <w:p w:rsidR="009F5220" w:rsidRPr="00DB51FF" w:rsidRDefault="009F5220" w:rsidP="00780F86">
      <w:pPr>
        <w:ind w:left="540" w:hanging="540"/>
        <w:jc w:val="both"/>
        <w:rPr>
          <w:rFonts w:ascii="Book Antiqua" w:hAnsi="Book Antiqua" w:cs="Arial"/>
        </w:rPr>
      </w:pPr>
    </w:p>
    <w:p w:rsidR="001F2716" w:rsidRPr="00DB51FF" w:rsidRDefault="00306236" w:rsidP="00185211">
      <w:pPr>
        <w:rPr>
          <w:rFonts w:ascii="Book Antiqua" w:hAnsi="Book Antiqua" w:cs="Arial"/>
        </w:rPr>
      </w:pPr>
      <w:r w:rsidRPr="00DB51FF">
        <w:rPr>
          <w:rFonts w:ascii="Book Antiqua" w:hAnsi="Book Antiqua" w:cs="Arial"/>
        </w:rPr>
        <w:t>Date:</w:t>
      </w:r>
      <w:r w:rsidR="00AD7978" w:rsidRPr="00DB51FF">
        <w:rPr>
          <w:rFonts w:ascii="Book Antiqua" w:hAnsi="Book Antiqua" w:cs="Arial"/>
        </w:rPr>
        <w:tab/>
      </w:r>
      <w:r w:rsidRPr="00DB51FF">
        <w:rPr>
          <w:rFonts w:ascii="Book Antiqua" w:hAnsi="Book Antiqua" w:cs="Arial"/>
        </w:rPr>
        <w:tab/>
      </w:r>
      <w:r w:rsidR="00BA10C4" w:rsidRPr="00DB51FF">
        <w:rPr>
          <w:rFonts w:ascii="Book Antiqua" w:hAnsi="Book Antiqua" w:cs="Arial"/>
        </w:rPr>
        <w:t>31 August 2018</w:t>
      </w:r>
      <w:r w:rsidR="00185211" w:rsidRPr="00DB51FF">
        <w:rPr>
          <w:rFonts w:ascii="Book Antiqua" w:hAnsi="Book Antiqua" w:cs="Arial"/>
        </w:rPr>
        <w:tab/>
      </w:r>
      <w:r w:rsidR="00185211" w:rsidRPr="00DB51FF">
        <w:rPr>
          <w:rFonts w:ascii="Book Antiqua" w:hAnsi="Book Antiqua" w:cs="Arial"/>
        </w:rPr>
        <w:tab/>
      </w:r>
      <w:r w:rsidRPr="00DB51FF">
        <w:rPr>
          <w:rFonts w:ascii="Book Antiqua" w:hAnsi="Book Antiqua" w:cs="Arial"/>
        </w:rPr>
        <w:tab/>
      </w:r>
      <w:r w:rsidRPr="00DB51FF">
        <w:rPr>
          <w:rFonts w:ascii="Book Antiqua" w:hAnsi="Book Antiqua" w:cs="Arial"/>
        </w:rPr>
        <w:tab/>
      </w:r>
      <w:r w:rsidR="00780F86" w:rsidRPr="00DB51FF">
        <w:rPr>
          <w:rFonts w:ascii="Book Antiqua" w:hAnsi="Book Antiqua" w:cs="Arial"/>
        </w:rPr>
        <w:t>Signed</w:t>
      </w:r>
      <w:r w:rsidR="00780F86" w:rsidRPr="00DB51FF">
        <w:rPr>
          <w:rFonts w:ascii="Book Antiqua" w:hAnsi="Book Antiqua" w:cs="Arial"/>
        </w:rPr>
        <w:tab/>
      </w:r>
      <w:r w:rsidR="00185211" w:rsidRPr="00DB51FF">
        <w:rPr>
          <w:rFonts w:ascii="Rage Italic" w:hAnsi="Rage Italic" w:cs="Arial"/>
          <w:color w:val="0070C0"/>
          <w:sz w:val="36"/>
          <w:szCs w:val="28"/>
        </w:rPr>
        <w:t>Judith AJC Gleeson</w:t>
      </w:r>
      <w:r w:rsidR="00780F86" w:rsidRPr="00DB51FF">
        <w:rPr>
          <w:rFonts w:ascii="Book Antiqua" w:hAnsi="Book Antiqua" w:cs="Arial"/>
        </w:rPr>
        <w:tab/>
      </w:r>
      <w:r w:rsidR="00780F86" w:rsidRPr="00DB51FF">
        <w:rPr>
          <w:rFonts w:ascii="Book Antiqua" w:hAnsi="Book Antiqua" w:cs="Arial"/>
        </w:rPr>
        <w:tab/>
      </w:r>
      <w:r w:rsidR="00780F86" w:rsidRPr="00DB51FF">
        <w:rPr>
          <w:rFonts w:ascii="Book Antiqua" w:hAnsi="Book Antiqua" w:cs="Arial"/>
        </w:rPr>
        <w:tab/>
      </w:r>
      <w:r w:rsidR="00780F86" w:rsidRPr="00DB51FF">
        <w:rPr>
          <w:rFonts w:ascii="Book Antiqua" w:hAnsi="Book Antiqua" w:cs="Arial"/>
        </w:rPr>
        <w:tab/>
      </w:r>
      <w:r w:rsidR="00185211" w:rsidRPr="00DB51FF">
        <w:rPr>
          <w:rFonts w:ascii="Book Antiqua" w:hAnsi="Book Antiqua" w:cs="Arial"/>
        </w:rPr>
        <w:tab/>
      </w:r>
      <w:r w:rsidR="00185211" w:rsidRPr="00DB51FF">
        <w:rPr>
          <w:rFonts w:ascii="Book Antiqua" w:hAnsi="Book Antiqua" w:cs="Arial"/>
        </w:rPr>
        <w:tab/>
      </w:r>
      <w:r w:rsidR="00185211" w:rsidRPr="00DB51FF">
        <w:rPr>
          <w:rFonts w:ascii="Book Antiqua" w:hAnsi="Book Antiqua" w:cs="Arial"/>
        </w:rPr>
        <w:tab/>
      </w:r>
      <w:r w:rsidR="00185211" w:rsidRPr="00DB51FF">
        <w:rPr>
          <w:rFonts w:ascii="Book Antiqua" w:hAnsi="Book Antiqua" w:cs="Arial"/>
        </w:rPr>
        <w:tab/>
      </w:r>
      <w:r w:rsidR="00185211" w:rsidRPr="00DB51FF">
        <w:rPr>
          <w:rFonts w:ascii="Book Antiqua" w:hAnsi="Book Antiqua" w:cs="Arial"/>
        </w:rPr>
        <w:tab/>
      </w:r>
      <w:r w:rsidR="00185211" w:rsidRPr="00DB51FF">
        <w:rPr>
          <w:rFonts w:ascii="Book Antiqua" w:hAnsi="Book Antiqua" w:cs="Arial"/>
        </w:rPr>
        <w:tab/>
      </w:r>
      <w:r w:rsidR="00AD7978" w:rsidRPr="00DB51FF">
        <w:rPr>
          <w:rFonts w:ascii="Book Antiqua" w:hAnsi="Book Antiqua" w:cs="Arial"/>
        </w:rPr>
        <w:tab/>
      </w:r>
      <w:r w:rsidR="00185211" w:rsidRPr="00DB51FF">
        <w:rPr>
          <w:rFonts w:ascii="Book Antiqua" w:hAnsi="Book Antiqua" w:cs="Arial"/>
        </w:rPr>
        <w:tab/>
      </w:r>
      <w:r w:rsidR="00AD7978" w:rsidRPr="00DB51FF">
        <w:rPr>
          <w:rFonts w:ascii="Book Antiqua" w:hAnsi="Book Antiqua" w:cs="Arial"/>
        </w:rPr>
        <w:t xml:space="preserve">Upper Tribunal </w:t>
      </w:r>
      <w:r w:rsidRPr="00DB51FF">
        <w:rPr>
          <w:rFonts w:ascii="Book Antiqua" w:hAnsi="Book Antiqua" w:cs="Arial"/>
        </w:rPr>
        <w:t xml:space="preserve">Judge Gleeson </w:t>
      </w:r>
    </w:p>
    <w:p w:rsidR="00D51814" w:rsidRPr="00DB51FF" w:rsidRDefault="00AD7978" w:rsidP="00306236">
      <w:pPr>
        <w:tabs>
          <w:tab w:val="left" w:pos="2520"/>
        </w:tabs>
        <w:ind w:left="6181" w:hanging="539"/>
        <w:rPr>
          <w:rFonts w:ascii="Book Antiqua" w:hAnsi="Book Antiqua" w:cs="Arial"/>
          <w:color w:val="000000"/>
        </w:rPr>
      </w:pPr>
      <w:r w:rsidRPr="00DB51FF">
        <w:rPr>
          <w:rFonts w:ascii="Book Antiqua" w:hAnsi="Book Antiqua" w:cs="Arial"/>
          <w:color w:val="000000"/>
        </w:rPr>
        <w:t xml:space="preserve"> </w:t>
      </w:r>
      <w:r w:rsidR="005F1F19" w:rsidRPr="00DB51FF">
        <w:rPr>
          <w:rFonts w:ascii="Book Antiqua" w:hAnsi="Book Antiqua" w:cs="Arial"/>
          <w:color w:val="000000"/>
        </w:rPr>
        <w:t xml:space="preserve"> </w:t>
      </w:r>
    </w:p>
    <w:p w:rsidR="000E01B8" w:rsidRPr="000E01B8" w:rsidRDefault="000E01B8" w:rsidP="00096DD5">
      <w:pPr>
        <w:rPr>
          <w:rFonts w:ascii="Book Antiqua" w:hAnsi="Book Antiqua" w:cs="Arial"/>
          <w:szCs w:val="22"/>
        </w:rPr>
      </w:pPr>
    </w:p>
    <w:p w:rsidR="00B95326" w:rsidRPr="00F97703" w:rsidRDefault="00B95326" w:rsidP="00306236">
      <w:pPr>
        <w:tabs>
          <w:tab w:val="left" w:pos="2520"/>
        </w:tabs>
        <w:ind w:left="6181" w:hanging="539"/>
        <w:rPr>
          <w:rFonts w:ascii="Book Antiqua" w:hAnsi="Book Antiqua" w:cs="Arial"/>
          <w:color w:val="000000"/>
        </w:rPr>
      </w:pPr>
    </w:p>
    <w:sectPr w:rsidR="00B95326" w:rsidRPr="00F97703" w:rsidSect="00776E9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07FD" w:rsidRDefault="006207FD">
      <w:r>
        <w:separator/>
      </w:r>
    </w:p>
  </w:endnote>
  <w:endnote w:type="continuationSeparator" w:id="0">
    <w:p w:rsidR="006207FD" w:rsidRDefault="00620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6D4" w:rsidRPr="00593795" w:rsidRDefault="007A26D4"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83509D">
      <w:rPr>
        <w:rStyle w:val="PageNumber"/>
        <w:rFonts w:ascii="Arial" w:hAnsi="Arial" w:cs="Arial"/>
        <w:noProof/>
        <w:sz w:val="16"/>
        <w:szCs w:val="16"/>
      </w:rPr>
      <w:t>7</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6D4" w:rsidRPr="00090CF9" w:rsidRDefault="007A26D4" w:rsidP="00090CF9">
    <w:pPr>
      <w:jc w:val="center"/>
      <w:rPr>
        <w:rFonts w:ascii="Arial" w:hAnsi="Arial" w:cs="Arial"/>
        <w:b/>
      </w:rPr>
    </w:pPr>
    <w:r w:rsidRPr="00090CF9">
      <w:rPr>
        <w:rFonts w:ascii="Arial" w:hAnsi="Arial" w:cs="Arial"/>
        <w:b/>
        <w:spacing w:val="-6"/>
      </w:rPr>
      <w:t>©</w:t>
    </w:r>
    <w:r>
      <w:rPr>
        <w:rFonts w:ascii="Arial" w:hAnsi="Arial" w:cs="Arial"/>
        <w:b/>
      </w:rPr>
      <w:t xml:space="preserve"> CROWN COPYRIGHT </w:t>
    </w:r>
    <w:r>
      <w:rPr>
        <w:rFonts w:ascii="Arial" w:hAnsi="Arial" w:cs="Arial"/>
        <w:b/>
      </w:rPr>
      <w:fldChar w:fldCharType="begin"/>
    </w:r>
    <w:r>
      <w:rPr>
        <w:rFonts w:ascii="Arial" w:hAnsi="Arial" w:cs="Arial"/>
        <w:b/>
      </w:rPr>
      <w:instrText xml:space="preserve"> DATE  \@ "yyyy" </w:instrText>
    </w:r>
    <w:r>
      <w:rPr>
        <w:rFonts w:ascii="Arial" w:hAnsi="Arial" w:cs="Arial"/>
        <w:b/>
      </w:rPr>
      <w:fldChar w:fldCharType="separate"/>
    </w:r>
    <w:r w:rsidR="00254F9A">
      <w:rPr>
        <w:rFonts w:ascii="Arial" w:hAnsi="Arial" w:cs="Arial"/>
        <w:b/>
        <w:noProof/>
      </w:rPr>
      <w:t>2018</w:t>
    </w:r>
    <w:r>
      <w:rPr>
        <w:rFonts w:ascii="Arial" w:hAnsi="Arial" w:cs="Arial"/>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07FD" w:rsidRDefault="006207FD">
      <w:r>
        <w:separator/>
      </w:r>
    </w:p>
  </w:footnote>
  <w:footnote w:type="continuationSeparator" w:id="0">
    <w:p w:rsidR="006207FD" w:rsidRDefault="006207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26D4" w:rsidRPr="003C5CE5" w:rsidRDefault="007A26D4" w:rsidP="00593795">
    <w:pPr>
      <w:pStyle w:val="Header"/>
      <w:jc w:val="right"/>
      <w:rPr>
        <w:rFonts w:ascii="Arial" w:hAnsi="Arial" w:cs="Arial"/>
        <w:sz w:val="16"/>
        <w:szCs w:val="16"/>
      </w:rPr>
    </w:pPr>
    <w:r>
      <w:rPr>
        <w:rFonts w:ascii="Arial" w:hAnsi="Arial" w:cs="Arial"/>
        <w:sz w:val="16"/>
        <w:szCs w:val="16"/>
      </w:rPr>
      <w:t xml:space="preserve">Appeal Number:  PA/04602/2017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2359B"/>
    <w:multiLevelType w:val="hybridMultilevel"/>
    <w:tmpl w:val="F634BECA"/>
    <w:lvl w:ilvl="0" w:tplc="43F44644">
      <w:start w:val="1"/>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 w15:restartNumberingAfterBreak="0">
    <w:nsid w:val="32C608ED"/>
    <w:multiLevelType w:val="hybridMultilevel"/>
    <w:tmpl w:val="B2E2101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9E1"/>
    <w:rsid w:val="00000621"/>
    <w:rsid w:val="000036C2"/>
    <w:rsid w:val="000060DE"/>
    <w:rsid w:val="00017F3D"/>
    <w:rsid w:val="00021C88"/>
    <w:rsid w:val="00033D3D"/>
    <w:rsid w:val="00057601"/>
    <w:rsid w:val="00062F02"/>
    <w:rsid w:val="00071A7E"/>
    <w:rsid w:val="000746C0"/>
    <w:rsid w:val="00074D1D"/>
    <w:rsid w:val="00090CF9"/>
    <w:rsid w:val="00092580"/>
    <w:rsid w:val="00093D4D"/>
    <w:rsid w:val="00096DD5"/>
    <w:rsid w:val="000D0CB5"/>
    <w:rsid w:val="000D5D94"/>
    <w:rsid w:val="000E01B8"/>
    <w:rsid w:val="000F1A0E"/>
    <w:rsid w:val="00113ECC"/>
    <w:rsid w:val="001165A7"/>
    <w:rsid w:val="00167D3A"/>
    <w:rsid w:val="00185211"/>
    <w:rsid w:val="001A3082"/>
    <w:rsid w:val="001B186A"/>
    <w:rsid w:val="001B2F75"/>
    <w:rsid w:val="001B3ABC"/>
    <w:rsid w:val="001C5C75"/>
    <w:rsid w:val="001F2716"/>
    <w:rsid w:val="00201E53"/>
    <w:rsid w:val="00207617"/>
    <w:rsid w:val="00223720"/>
    <w:rsid w:val="0023134B"/>
    <w:rsid w:val="00254F9A"/>
    <w:rsid w:val="0026015E"/>
    <w:rsid w:val="002667BE"/>
    <w:rsid w:val="00270E13"/>
    <w:rsid w:val="00283659"/>
    <w:rsid w:val="002B243C"/>
    <w:rsid w:val="002B5149"/>
    <w:rsid w:val="002C650D"/>
    <w:rsid w:val="002C6BD4"/>
    <w:rsid w:val="002D68BF"/>
    <w:rsid w:val="002F6B98"/>
    <w:rsid w:val="00306236"/>
    <w:rsid w:val="00336CBF"/>
    <w:rsid w:val="00343FE3"/>
    <w:rsid w:val="003546C8"/>
    <w:rsid w:val="003A7CF2"/>
    <w:rsid w:val="003C5CE5"/>
    <w:rsid w:val="003E267B"/>
    <w:rsid w:val="003E3BB6"/>
    <w:rsid w:val="003E5773"/>
    <w:rsid w:val="003E7CD1"/>
    <w:rsid w:val="00402B9E"/>
    <w:rsid w:val="00420643"/>
    <w:rsid w:val="004249CB"/>
    <w:rsid w:val="00436115"/>
    <w:rsid w:val="0044127D"/>
    <w:rsid w:val="004448DB"/>
    <w:rsid w:val="00446C9A"/>
    <w:rsid w:val="00452F2B"/>
    <w:rsid w:val="00477193"/>
    <w:rsid w:val="00496861"/>
    <w:rsid w:val="004A1848"/>
    <w:rsid w:val="004A6F4A"/>
    <w:rsid w:val="004E4717"/>
    <w:rsid w:val="005035E7"/>
    <w:rsid w:val="00507FEC"/>
    <w:rsid w:val="00510F0E"/>
    <w:rsid w:val="005479E1"/>
    <w:rsid w:val="00553E0A"/>
    <w:rsid w:val="005570FD"/>
    <w:rsid w:val="005575EA"/>
    <w:rsid w:val="0057790C"/>
    <w:rsid w:val="00593795"/>
    <w:rsid w:val="00593821"/>
    <w:rsid w:val="005A3B95"/>
    <w:rsid w:val="005A549B"/>
    <w:rsid w:val="005A75FF"/>
    <w:rsid w:val="005D10AB"/>
    <w:rsid w:val="005F1F19"/>
    <w:rsid w:val="00601D8F"/>
    <w:rsid w:val="0060752B"/>
    <w:rsid w:val="00611011"/>
    <w:rsid w:val="006207FD"/>
    <w:rsid w:val="00653E97"/>
    <w:rsid w:val="00676204"/>
    <w:rsid w:val="00684A74"/>
    <w:rsid w:val="00690B8A"/>
    <w:rsid w:val="006F2CF1"/>
    <w:rsid w:val="006F44E9"/>
    <w:rsid w:val="007038ED"/>
    <w:rsid w:val="00703BC3"/>
    <w:rsid w:val="00704B61"/>
    <w:rsid w:val="007334B3"/>
    <w:rsid w:val="007552A9"/>
    <w:rsid w:val="00761858"/>
    <w:rsid w:val="00767D59"/>
    <w:rsid w:val="00776E97"/>
    <w:rsid w:val="00780F86"/>
    <w:rsid w:val="007912AD"/>
    <w:rsid w:val="007A26D4"/>
    <w:rsid w:val="007A37E8"/>
    <w:rsid w:val="007B0824"/>
    <w:rsid w:val="007B5D3C"/>
    <w:rsid w:val="00821B72"/>
    <w:rsid w:val="00823EF2"/>
    <w:rsid w:val="008303B8"/>
    <w:rsid w:val="00833DCE"/>
    <w:rsid w:val="0083509D"/>
    <w:rsid w:val="008559E1"/>
    <w:rsid w:val="00871D34"/>
    <w:rsid w:val="00880370"/>
    <w:rsid w:val="008B270C"/>
    <w:rsid w:val="008B382D"/>
    <w:rsid w:val="008B5078"/>
    <w:rsid w:val="008C3D3D"/>
    <w:rsid w:val="008D246B"/>
    <w:rsid w:val="008D4131"/>
    <w:rsid w:val="008F1932"/>
    <w:rsid w:val="00921062"/>
    <w:rsid w:val="00925AB2"/>
    <w:rsid w:val="009722BC"/>
    <w:rsid w:val="009727A3"/>
    <w:rsid w:val="00987774"/>
    <w:rsid w:val="009A11E8"/>
    <w:rsid w:val="009F5220"/>
    <w:rsid w:val="00A03E03"/>
    <w:rsid w:val="00A15234"/>
    <w:rsid w:val="00A16913"/>
    <w:rsid w:val="00A201AB"/>
    <w:rsid w:val="00A240AA"/>
    <w:rsid w:val="00A253BF"/>
    <w:rsid w:val="00A26A9A"/>
    <w:rsid w:val="00A31C8B"/>
    <w:rsid w:val="00A509FA"/>
    <w:rsid w:val="00A845DC"/>
    <w:rsid w:val="00A87238"/>
    <w:rsid w:val="00AD7978"/>
    <w:rsid w:val="00AF0A6B"/>
    <w:rsid w:val="00AF3B01"/>
    <w:rsid w:val="00B26AA2"/>
    <w:rsid w:val="00B3524D"/>
    <w:rsid w:val="00B40F69"/>
    <w:rsid w:val="00B46616"/>
    <w:rsid w:val="00B7040A"/>
    <w:rsid w:val="00B71741"/>
    <w:rsid w:val="00B83391"/>
    <w:rsid w:val="00B95326"/>
    <w:rsid w:val="00B9753D"/>
    <w:rsid w:val="00BA10C4"/>
    <w:rsid w:val="00BC7802"/>
    <w:rsid w:val="00BD4196"/>
    <w:rsid w:val="00BF22CA"/>
    <w:rsid w:val="00BF23BB"/>
    <w:rsid w:val="00C12F97"/>
    <w:rsid w:val="00C26032"/>
    <w:rsid w:val="00C345E1"/>
    <w:rsid w:val="00C43BFD"/>
    <w:rsid w:val="00CB6E35"/>
    <w:rsid w:val="00CC5FDD"/>
    <w:rsid w:val="00CE1A46"/>
    <w:rsid w:val="00D20757"/>
    <w:rsid w:val="00D22636"/>
    <w:rsid w:val="00D31AEA"/>
    <w:rsid w:val="00D40FD9"/>
    <w:rsid w:val="00D51814"/>
    <w:rsid w:val="00D53769"/>
    <w:rsid w:val="00D85C13"/>
    <w:rsid w:val="00D9111A"/>
    <w:rsid w:val="00D91BE3"/>
    <w:rsid w:val="00D94AFC"/>
    <w:rsid w:val="00D9651E"/>
    <w:rsid w:val="00DB51FF"/>
    <w:rsid w:val="00DB70AE"/>
    <w:rsid w:val="00DB7283"/>
    <w:rsid w:val="00DD5071"/>
    <w:rsid w:val="00DD5C39"/>
    <w:rsid w:val="00DE7DB7"/>
    <w:rsid w:val="00E00A0A"/>
    <w:rsid w:val="00E05DF1"/>
    <w:rsid w:val="00E066DE"/>
    <w:rsid w:val="00E07F57"/>
    <w:rsid w:val="00E147B4"/>
    <w:rsid w:val="00E15ACF"/>
    <w:rsid w:val="00E20264"/>
    <w:rsid w:val="00E30683"/>
    <w:rsid w:val="00E453D8"/>
    <w:rsid w:val="00E50BCE"/>
    <w:rsid w:val="00E544EC"/>
    <w:rsid w:val="00E574BF"/>
    <w:rsid w:val="00E61292"/>
    <w:rsid w:val="00E77C4D"/>
    <w:rsid w:val="00E80AD9"/>
    <w:rsid w:val="00E81D01"/>
    <w:rsid w:val="00EA49E6"/>
    <w:rsid w:val="00EE43F3"/>
    <w:rsid w:val="00EE45D8"/>
    <w:rsid w:val="00F22430"/>
    <w:rsid w:val="00F22EDA"/>
    <w:rsid w:val="00F977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2392E7B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105475">
      <w:bodyDiv w:val="1"/>
      <w:marLeft w:val="0"/>
      <w:marRight w:val="0"/>
      <w:marTop w:val="0"/>
      <w:marBottom w:val="0"/>
      <w:divBdr>
        <w:top w:val="none" w:sz="0" w:space="0" w:color="auto"/>
        <w:left w:val="none" w:sz="0" w:space="0" w:color="auto"/>
        <w:bottom w:val="none" w:sz="0" w:space="0" w:color="auto"/>
        <w:right w:val="none" w:sz="0" w:space="0" w:color="auto"/>
      </w:divBdr>
      <w:divsChild>
        <w:div w:id="400951661">
          <w:marLeft w:val="0"/>
          <w:marRight w:val="0"/>
          <w:marTop w:val="0"/>
          <w:marBottom w:val="0"/>
          <w:divBdr>
            <w:top w:val="none" w:sz="0" w:space="0" w:color="auto"/>
            <w:left w:val="none" w:sz="0" w:space="0" w:color="auto"/>
            <w:bottom w:val="none" w:sz="0" w:space="0" w:color="auto"/>
            <w:right w:val="none" w:sz="0" w:space="0" w:color="auto"/>
          </w:divBdr>
          <w:divsChild>
            <w:div w:id="2301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8290">
      <w:bodyDiv w:val="1"/>
      <w:marLeft w:val="0"/>
      <w:marRight w:val="0"/>
      <w:marTop w:val="0"/>
      <w:marBottom w:val="0"/>
      <w:divBdr>
        <w:top w:val="none" w:sz="0" w:space="0" w:color="auto"/>
        <w:left w:val="none" w:sz="0" w:space="0" w:color="auto"/>
        <w:bottom w:val="none" w:sz="0" w:space="0" w:color="auto"/>
        <w:right w:val="none" w:sz="0" w:space="0" w:color="auto"/>
      </w:divBdr>
    </w:div>
    <w:div w:id="749230084">
      <w:bodyDiv w:val="1"/>
      <w:marLeft w:val="0"/>
      <w:marRight w:val="0"/>
      <w:marTop w:val="0"/>
      <w:marBottom w:val="0"/>
      <w:divBdr>
        <w:top w:val="none" w:sz="0" w:space="0" w:color="auto"/>
        <w:left w:val="none" w:sz="0" w:space="0" w:color="auto"/>
        <w:bottom w:val="none" w:sz="0" w:space="0" w:color="auto"/>
        <w:right w:val="none" w:sz="0" w:space="0" w:color="auto"/>
      </w:divBdr>
    </w:div>
    <w:div w:id="972708330">
      <w:bodyDiv w:val="1"/>
      <w:marLeft w:val="0"/>
      <w:marRight w:val="0"/>
      <w:marTop w:val="0"/>
      <w:marBottom w:val="0"/>
      <w:divBdr>
        <w:top w:val="none" w:sz="0" w:space="0" w:color="auto"/>
        <w:left w:val="none" w:sz="0" w:space="0" w:color="auto"/>
        <w:bottom w:val="none" w:sz="0" w:space="0" w:color="auto"/>
        <w:right w:val="none" w:sz="0" w:space="0" w:color="auto"/>
      </w:divBdr>
    </w:div>
    <w:div w:id="1445030651">
      <w:bodyDiv w:val="1"/>
      <w:marLeft w:val="0"/>
      <w:marRight w:val="0"/>
      <w:marTop w:val="0"/>
      <w:marBottom w:val="0"/>
      <w:divBdr>
        <w:top w:val="none" w:sz="0" w:space="0" w:color="auto"/>
        <w:left w:val="none" w:sz="0" w:space="0" w:color="auto"/>
        <w:bottom w:val="none" w:sz="0" w:space="0" w:color="auto"/>
        <w:right w:val="none" w:sz="0" w:space="0" w:color="auto"/>
      </w:divBdr>
    </w:div>
    <w:div w:id="206944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16DE7-8791-4284-9344-AB4B212BC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2876</Words>
  <Characters>14385</Characters>
  <Application>Microsoft Office Word</Application>
  <DocSecurity>0</DocSecurity>
  <Lines>119</Lines>
  <Paragraphs>34</Paragraphs>
  <ScaleCrop>false</ScaleCrop>
  <Company/>
  <LinksUpToDate>false</LinksUpToDate>
  <CharactersWithSpaces>17227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2018-09-25T15:46:00Z</dcterms:created>
  <dcterms:modified xsi:type="dcterms:W3CDTF">2018-09-25T15:46:00Z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