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A451E" w:rsidP="00C321B5">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65112">
        <w:rPr>
          <w:rFonts w:ascii="Book Antiqua" w:hAnsi="Book Antiqua" w:cs="Arial"/>
          <w:caps/>
        </w:rPr>
        <w:t>PA/04666/2018</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765112">
              <w:rPr>
                <w:rFonts w:ascii="Book Antiqua" w:hAnsi="Book Antiqua" w:cs="Arial"/>
                <w:b/>
              </w:rPr>
              <w:t>Liverpool Civil and Family Court</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765112">
              <w:rPr>
                <w:rFonts w:ascii="Book Antiqua" w:hAnsi="Book Antiqua" w:cs="Arial"/>
                <w:b/>
              </w:rPr>
              <w:t>27</w:t>
            </w:r>
            <w:r w:rsidR="00765112" w:rsidRPr="00765112">
              <w:rPr>
                <w:rFonts w:ascii="Book Antiqua" w:hAnsi="Book Antiqua" w:cs="Arial"/>
                <w:b/>
                <w:vertAlign w:val="superscript"/>
              </w:rPr>
              <w:t>th</w:t>
            </w:r>
            <w:r w:rsidR="00765112">
              <w:rPr>
                <w:rFonts w:ascii="Book Antiqua" w:hAnsi="Book Antiqua" w:cs="Arial"/>
                <w:b/>
              </w:rPr>
              <w:t xml:space="preserve"> July 2018</w:t>
            </w:r>
          </w:p>
        </w:tc>
        <w:tc>
          <w:tcPr>
            <w:tcW w:w="3960" w:type="dxa"/>
          </w:tcPr>
          <w:p w:rsidR="00D22636" w:rsidRPr="00F5664C" w:rsidRDefault="00D5108F" w:rsidP="004A1848">
            <w:pPr>
              <w:jc w:val="both"/>
              <w:rPr>
                <w:rFonts w:ascii="Book Antiqua" w:hAnsi="Book Antiqua" w:cs="Arial"/>
                <w:b/>
              </w:rPr>
            </w:pPr>
            <w:r>
              <w:rPr>
                <w:rFonts w:ascii="Book Antiqua" w:hAnsi="Book Antiqua" w:cs="Arial"/>
                <w:b/>
              </w:rPr>
              <w:t>On 21</w:t>
            </w:r>
            <w:r w:rsidRPr="00D5108F">
              <w:rPr>
                <w:rFonts w:ascii="Book Antiqua" w:hAnsi="Book Antiqua" w:cs="Arial"/>
                <w:b/>
                <w:vertAlign w:val="superscript"/>
              </w:rPr>
              <w:t>st</w:t>
            </w:r>
            <w:r>
              <w:rPr>
                <w:rFonts w:ascii="Book Antiqua" w:hAnsi="Book Antiqua" w:cs="Arial"/>
                <w:b/>
              </w:rPr>
              <w:t xml:space="preserve"> August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B16F58" w:rsidRDefault="00255071" w:rsidP="00765112">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765112" w:rsidRPr="00F5664C" w:rsidRDefault="00765112" w:rsidP="00765112">
      <w:pPr>
        <w:jc w:val="center"/>
        <w:rPr>
          <w:rFonts w:ascii="Book Antiqua" w:hAnsi="Book Antiqua" w:cs="Arial"/>
          <w:b/>
        </w:rPr>
      </w:pPr>
    </w:p>
    <w:p w:rsidR="00996EA2" w:rsidRDefault="00996EA2"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765112" w:rsidRPr="00F5664C" w:rsidRDefault="00765112" w:rsidP="00A15234">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765112" w:rsidRDefault="00713F83" w:rsidP="00765112">
      <w:pPr>
        <w:jc w:val="center"/>
        <w:rPr>
          <w:rFonts w:ascii="Book Antiqua" w:hAnsi="Book Antiqua" w:cs="Arial"/>
          <w:b/>
          <w:caps/>
        </w:rPr>
      </w:pPr>
      <w:r>
        <w:rPr>
          <w:rFonts w:ascii="Book Antiqua" w:hAnsi="Book Antiqua" w:cs="Arial"/>
          <w:b/>
          <w:caps/>
        </w:rPr>
        <w:t>[</w:t>
      </w:r>
      <w:r w:rsidR="00765112" w:rsidRPr="00765112">
        <w:rPr>
          <w:rFonts w:ascii="Book Antiqua" w:hAnsi="Book Antiqua" w:cs="Arial"/>
          <w:b/>
          <w:caps/>
        </w:rPr>
        <w:t>M</w:t>
      </w:r>
      <w:r>
        <w:rPr>
          <w:rFonts w:ascii="Book Antiqua" w:hAnsi="Book Antiqua" w:cs="Arial"/>
          <w:b/>
          <w:caps/>
        </w:rPr>
        <w:t xml:space="preserve"> </w:t>
      </w:r>
      <w:r w:rsidR="00765112" w:rsidRPr="00765112">
        <w:rPr>
          <w:rFonts w:ascii="Book Antiqua" w:hAnsi="Book Antiqua" w:cs="Arial"/>
          <w:b/>
          <w:caps/>
        </w:rPr>
        <w:t>A</w:t>
      </w:r>
      <w:r>
        <w:rPr>
          <w:rFonts w:ascii="Book Antiqua" w:hAnsi="Book Antiqua" w:cs="Arial"/>
          <w:b/>
          <w:caps/>
        </w:rPr>
        <w:t>]</w:t>
      </w:r>
    </w:p>
    <w:p w:rsidR="00DD5071" w:rsidRPr="00713F83" w:rsidRDefault="00765112" w:rsidP="002E79BA">
      <w:pPr>
        <w:jc w:val="center"/>
        <w:rPr>
          <w:rFonts w:ascii="Book Antiqua" w:hAnsi="Book Antiqua" w:cs="Arial"/>
          <w:b/>
          <w:caps/>
          <w:strike/>
          <w:sz w:val="22"/>
        </w:rPr>
      </w:pPr>
      <w:r w:rsidRPr="00713F83">
        <w:rPr>
          <w:rFonts w:ascii="Book Antiqua" w:hAnsi="Book Antiqua" w:cs="Arial"/>
          <w:b/>
          <w:caps/>
          <w:strike/>
          <w:sz w:val="22"/>
        </w:rPr>
        <w:t>(ANONYMITY DIRECTION not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65112">
        <w:rPr>
          <w:rFonts w:ascii="Book Antiqua" w:hAnsi="Book Antiqua" w:cs="Arial"/>
        </w:rPr>
        <w:t>Mr A McVeety,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65112">
        <w:rPr>
          <w:rFonts w:ascii="Book Antiqua" w:hAnsi="Book Antiqua" w:cs="Arial"/>
        </w:rPr>
        <w:t>Mr A Khan of Manchester Associates Legal Service</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765112" w:rsidRPr="00F5664C" w:rsidRDefault="00765112" w:rsidP="00713F83">
      <w:pPr>
        <w:tabs>
          <w:tab w:val="left" w:pos="2520"/>
        </w:tabs>
        <w:spacing w:before="160"/>
        <w:jc w:val="both"/>
        <w:rPr>
          <w:rFonts w:ascii="Book Antiqua" w:hAnsi="Book Antiqua" w:cs="Arial"/>
        </w:rPr>
      </w:pPr>
      <w:r w:rsidRPr="00765112">
        <w:rPr>
          <w:rFonts w:ascii="Book Antiqua" w:hAnsi="Book Antiqua" w:cs="Arial"/>
          <w:b/>
        </w:rPr>
        <w:t>Introduction and Background</w:t>
      </w:r>
    </w:p>
    <w:p w:rsidR="005E5DFF" w:rsidRDefault="00765112" w:rsidP="00713F83">
      <w:pPr>
        <w:numPr>
          <w:ilvl w:val="0"/>
          <w:numId w:val="3"/>
        </w:numPr>
        <w:spacing w:before="160"/>
        <w:jc w:val="both"/>
        <w:rPr>
          <w:rFonts w:ascii="Book Antiqua" w:hAnsi="Book Antiqua" w:cs="Arial"/>
        </w:rPr>
      </w:pPr>
      <w:r>
        <w:rPr>
          <w:rFonts w:ascii="Book Antiqua" w:hAnsi="Book Antiqua" w:cs="Arial"/>
        </w:rPr>
        <w:t>The Secretary of State appeals against a decision of Judge Saffer (the judge) of the First-tier Tribunal (the FTT) promulgated on 16</w:t>
      </w:r>
      <w:r w:rsidRPr="00765112">
        <w:rPr>
          <w:rFonts w:ascii="Book Antiqua" w:hAnsi="Book Antiqua" w:cs="Arial"/>
          <w:vertAlign w:val="superscript"/>
        </w:rPr>
        <w:t>th</w:t>
      </w:r>
      <w:r>
        <w:rPr>
          <w:rFonts w:ascii="Book Antiqua" w:hAnsi="Book Antiqua" w:cs="Arial"/>
        </w:rPr>
        <w:t xml:space="preserve"> May 2018.</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The Respondent before the Upper Tribunal was the Appellant before the FTT and I will refer to him as the Claimant.</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lastRenderedPageBreak/>
        <w:t>The Claimant is a male citizen of Iraq born 4</w:t>
      </w:r>
      <w:r w:rsidRPr="00765112">
        <w:rPr>
          <w:rFonts w:ascii="Book Antiqua" w:hAnsi="Book Antiqua" w:cs="Arial"/>
          <w:vertAlign w:val="superscript"/>
        </w:rPr>
        <w:t>th</w:t>
      </w:r>
      <w:r>
        <w:rPr>
          <w:rFonts w:ascii="Book Antiqua" w:hAnsi="Book Antiqua" w:cs="Arial"/>
        </w:rPr>
        <w:t xml:space="preserve"> February 19</w:t>
      </w:r>
      <w:r w:rsidR="00F70389">
        <w:rPr>
          <w:rFonts w:ascii="Book Antiqua" w:hAnsi="Book Antiqua" w:cs="Arial"/>
        </w:rPr>
        <w:t>95.  He is Kurdish and from Sula</w:t>
      </w:r>
      <w:r>
        <w:rPr>
          <w:rFonts w:ascii="Book Antiqua" w:hAnsi="Book Antiqua" w:cs="Arial"/>
        </w:rPr>
        <w:t xml:space="preserve">ymaniyah in the Iraqi Kurdish Region (the IKR). </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The Claimant claimed international protection on the basis that he feared the family of a girl with whom he had had a relationship.  Her family did not approve and had threatened to kill him.  As a result of those threats the Claimant had fled from Iraq.</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On 11</w:t>
      </w:r>
      <w:r w:rsidRPr="00765112">
        <w:rPr>
          <w:rFonts w:ascii="Book Antiqua" w:hAnsi="Book Antiqua" w:cs="Arial"/>
          <w:vertAlign w:val="superscript"/>
        </w:rPr>
        <w:t>th</w:t>
      </w:r>
      <w:r>
        <w:rPr>
          <w:rFonts w:ascii="Book Antiqua" w:hAnsi="Book Antiqua" w:cs="Arial"/>
        </w:rPr>
        <w:t xml:space="preserve"> March 2018 the Secretary of State refused the claim for international protection, and took the view that the Claimant’s removal from the UK would not breach any of his human rights protected by the 1950 European Convention on Human Rights (the 1950 Convention).  The Secretary of State accepted that the Claimant is an Iraqi citizen of Kurdish ethnicity, from the IKR.  It was not accepted that he was the potential victim of an honour killing.</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The appeal was heard by the FTT on 9</w:t>
      </w:r>
      <w:r w:rsidRPr="00765112">
        <w:rPr>
          <w:rFonts w:ascii="Book Antiqua" w:hAnsi="Book Antiqua" w:cs="Arial"/>
          <w:vertAlign w:val="superscript"/>
        </w:rPr>
        <w:t>th</w:t>
      </w:r>
      <w:r>
        <w:rPr>
          <w:rFonts w:ascii="Book Antiqua" w:hAnsi="Book Antiqua" w:cs="Arial"/>
        </w:rPr>
        <w:t xml:space="preserve"> May 2018.  The Claimant was not legally represented.  The judge heard evidence from the Claimant and a witness and allowed the appeal on asylum and human rights grounds, finding that the Claimant would be at risk if returned to Iraq.</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The Secretary of State applied for permission to appeal to the Upper Tribunal.  The grounds are summarised below.</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 xml:space="preserve">It was submitted that the findings made by the judge are contained in paragraphs 23 and 24, and that these paragraphs lack adequate analysis and adequate reasoning.  </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 xml:space="preserve">It was submitted that the judge had given no reasons for finding that the girl’s family has influence within the IKR and can act with impunity.  The judge’s conclusion that he could not expect the Appellant to be more knowledgeable about his girlfriend’s family because he was only 22 years of age, was not accepted to be a valid reason, and it was submitted was an irrational finding.  The lack of any background evidence to indicate the girlfriend’s family had influence within the IKR was noted.  </w:t>
      </w:r>
    </w:p>
    <w:p w:rsidR="00765112" w:rsidRDefault="00765112" w:rsidP="00713F83">
      <w:pPr>
        <w:numPr>
          <w:ilvl w:val="0"/>
          <w:numId w:val="3"/>
        </w:numPr>
        <w:spacing w:before="160"/>
        <w:jc w:val="both"/>
        <w:rPr>
          <w:rFonts w:ascii="Book Antiqua" w:hAnsi="Book Antiqua" w:cs="Arial"/>
        </w:rPr>
      </w:pPr>
      <w:r>
        <w:rPr>
          <w:rFonts w:ascii="Book Antiqua" w:hAnsi="Book Antiqua" w:cs="Arial"/>
        </w:rPr>
        <w:t xml:space="preserve">In addition to providing inadequate reasoning and analysis, it was submitted that the judge had materially erred in law in consideration of internal relocation.  It was contended that the judge had not properly engaged with this issue.  Background evidence had not been taken into account, which indicated that </w:t>
      </w:r>
      <w:r w:rsidR="000A588C">
        <w:rPr>
          <w:rFonts w:ascii="Book Antiqua" w:hAnsi="Book Antiqua" w:cs="Arial"/>
        </w:rPr>
        <w:t>the PUK had a power base in Sulay</w:t>
      </w:r>
      <w:r>
        <w:rPr>
          <w:rFonts w:ascii="Book Antiqua" w:hAnsi="Book Antiqua" w:cs="Arial"/>
        </w:rPr>
        <w:t>maniya</w:t>
      </w:r>
      <w:r w:rsidR="000A588C">
        <w:rPr>
          <w:rFonts w:ascii="Book Antiqua" w:hAnsi="Book Antiqua" w:cs="Arial"/>
        </w:rPr>
        <w:t>h, whereas the KDP, a completely separate organisation, had a power base in Erbil.  The Appellant’s case was that his girlfriend’s fa</w:t>
      </w:r>
      <w:r w:rsidR="005F2288">
        <w:rPr>
          <w:rFonts w:ascii="Book Antiqua" w:hAnsi="Book Antiqua" w:cs="Arial"/>
        </w:rPr>
        <w:t>ther</w:t>
      </w:r>
      <w:r w:rsidR="000A588C">
        <w:rPr>
          <w:rFonts w:ascii="Book Antiqua" w:hAnsi="Book Antiqua" w:cs="Arial"/>
        </w:rPr>
        <w:t xml:space="preserve"> was a </w:t>
      </w:r>
      <w:proofErr w:type="gramStart"/>
      <w:r w:rsidR="000A588C">
        <w:rPr>
          <w:rFonts w:ascii="Book Antiqua" w:hAnsi="Book Antiqua" w:cs="Arial"/>
        </w:rPr>
        <w:t>high ranking</w:t>
      </w:r>
      <w:proofErr w:type="gramEnd"/>
      <w:r w:rsidR="000A588C">
        <w:rPr>
          <w:rFonts w:ascii="Book Antiqua" w:hAnsi="Book Antiqua" w:cs="Arial"/>
        </w:rPr>
        <w:t xml:space="preserve"> member of the PUK, and therefore the judge should have considered, if that was accepted, whether there was an internal relocation option to an area controlled by the KDP.</w:t>
      </w:r>
    </w:p>
    <w:p w:rsidR="000A588C" w:rsidRDefault="000A588C" w:rsidP="00713F83">
      <w:pPr>
        <w:numPr>
          <w:ilvl w:val="0"/>
          <w:numId w:val="3"/>
        </w:numPr>
        <w:spacing w:before="160"/>
        <w:jc w:val="both"/>
        <w:rPr>
          <w:rFonts w:ascii="Book Antiqua" w:hAnsi="Book Antiqua" w:cs="Arial"/>
        </w:rPr>
      </w:pPr>
      <w:r>
        <w:rPr>
          <w:rFonts w:ascii="Book Antiqua" w:hAnsi="Book Antiqua" w:cs="Arial"/>
        </w:rPr>
        <w:t>Permission to appeal was granted by Judge E B Grant of the FTT in the fol</w:t>
      </w:r>
      <w:r w:rsidR="008444AA">
        <w:rPr>
          <w:rFonts w:ascii="Book Antiqua" w:hAnsi="Book Antiqua" w:cs="Arial"/>
        </w:rPr>
        <w:t>lowing terms;</w:t>
      </w:r>
    </w:p>
    <w:p w:rsidR="000A588C" w:rsidRPr="008444AA" w:rsidRDefault="000A588C" w:rsidP="00713F83">
      <w:pPr>
        <w:spacing w:before="120"/>
        <w:ind w:left="1701" w:right="567" w:hanging="567"/>
        <w:jc w:val="both"/>
        <w:rPr>
          <w:rFonts w:ascii="Book Antiqua" w:hAnsi="Book Antiqua" w:cs="Arial"/>
          <w:sz w:val="22"/>
          <w:szCs w:val="22"/>
        </w:rPr>
      </w:pPr>
      <w:r w:rsidRPr="008444AA">
        <w:rPr>
          <w:rFonts w:ascii="Book Antiqua" w:hAnsi="Book Antiqua" w:cs="Arial"/>
          <w:sz w:val="22"/>
          <w:szCs w:val="22"/>
        </w:rPr>
        <w:t>“2.</w:t>
      </w:r>
      <w:r w:rsidRPr="008444AA">
        <w:rPr>
          <w:rFonts w:ascii="Book Antiqua" w:hAnsi="Book Antiqua" w:cs="Arial"/>
          <w:sz w:val="22"/>
          <w:szCs w:val="22"/>
        </w:rPr>
        <w:tab/>
        <w:t xml:space="preserve">In a remarkably brief decision it can be argued that the judge has given inadequate reasons for the findings set out at paragraphs 23 and 24 of the decision.  The grounds submit that the judge has given no reasons whatsoever for finding that Didar’s family have influence and can act with impunity, in the absence of any background material to confirm the influence of the family, and upon a careful reading of the decision, it can be seen that the grounds are made out. </w:t>
      </w:r>
    </w:p>
    <w:p w:rsidR="000A588C" w:rsidRPr="008444AA" w:rsidRDefault="000A588C" w:rsidP="00713F83">
      <w:pPr>
        <w:spacing w:before="120"/>
        <w:ind w:left="1701" w:right="567" w:hanging="567"/>
        <w:jc w:val="both"/>
        <w:rPr>
          <w:rFonts w:ascii="Book Antiqua" w:hAnsi="Book Antiqua" w:cs="Arial"/>
          <w:sz w:val="22"/>
          <w:szCs w:val="22"/>
        </w:rPr>
      </w:pPr>
      <w:r w:rsidRPr="008444AA">
        <w:rPr>
          <w:rFonts w:ascii="Book Antiqua" w:hAnsi="Book Antiqua" w:cs="Arial"/>
          <w:sz w:val="22"/>
          <w:szCs w:val="22"/>
        </w:rPr>
        <w:lastRenderedPageBreak/>
        <w:t>3.</w:t>
      </w:r>
      <w:r w:rsidRPr="008444AA">
        <w:rPr>
          <w:rFonts w:ascii="Book Antiqua" w:hAnsi="Book Antiqua" w:cs="Arial"/>
          <w:sz w:val="22"/>
          <w:szCs w:val="22"/>
        </w:rPr>
        <w:tab/>
        <w:t>All the grounds may be argued.”</w:t>
      </w:r>
    </w:p>
    <w:p w:rsidR="000A588C" w:rsidRDefault="000A588C" w:rsidP="00713F83">
      <w:pPr>
        <w:numPr>
          <w:ilvl w:val="0"/>
          <w:numId w:val="3"/>
        </w:numPr>
        <w:spacing w:before="16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Claimant, who by this time had instructed legal representatives,</w:t>
      </w:r>
      <w:r w:rsidR="00150948">
        <w:rPr>
          <w:rFonts w:ascii="Book Antiqua" w:hAnsi="Book Antiqua" w:cs="Arial"/>
        </w:rPr>
        <w:t xml:space="preserve"> lodged a response pursuant to r</w:t>
      </w:r>
      <w:r>
        <w:rPr>
          <w:rFonts w:ascii="Book Antiqua" w:hAnsi="Book Antiqua" w:cs="Arial"/>
        </w:rPr>
        <w:t>ule 24 of the Asy</w:t>
      </w:r>
      <w:r w:rsidR="00150948">
        <w:rPr>
          <w:rFonts w:ascii="Book Antiqua" w:hAnsi="Book Antiqua" w:cs="Arial"/>
        </w:rPr>
        <w:t xml:space="preserve">lum Procedure (Upper Tribunal) </w:t>
      </w:r>
      <w:r w:rsidR="006251D5">
        <w:rPr>
          <w:rFonts w:ascii="Book Antiqua" w:hAnsi="Book Antiqua" w:cs="Arial"/>
        </w:rPr>
        <w:t>R</w:t>
      </w:r>
      <w:r>
        <w:rPr>
          <w:rFonts w:ascii="Book Antiqua" w:hAnsi="Book Antiqua" w:cs="Arial"/>
        </w:rPr>
        <w:t xml:space="preserve">ules 2008.  The response contends that the judge did not materially err in law, and correctly considered all the evidence and made findings open to him on the evidence.  It was contended that sustainable reasons for the findings had been given.  </w:t>
      </w:r>
    </w:p>
    <w:p w:rsidR="000A588C" w:rsidRDefault="000A588C" w:rsidP="00713F83">
      <w:pPr>
        <w:numPr>
          <w:ilvl w:val="0"/>
          <w:numId w:val="3"/>
        </w:numPr>
        <w:spacing w:before="160"/>
        <w:jc w:val="both"/>
        <w:rPr>
          <w:rFonts w:ascii="Book Antiqua" w:hAnsi="Book Antiqua" w:cs="Arial"/>
        </w:rPr>
      </w:pPr>
      <w:r>
        <w:rPr>
          <w:rFonts w:ascii="Book Antiqua" w:hAnsi="Book Antiqua" w:cs="Arial"/>
        </w:rPr>
        <w:t xml:space="preserve">Directions were subsequently issued that there should be an oral hearing before the Upper Tribunal to ascertain whether the FTT had erred in law such that the decision must be set aside. </w:t>
      </w:r>
    </w:p>
    <w:p w:rsidR="000A588C" w:rsidRPr="000A588C" w:rsidRDefault="000A588C" w:rsidP="00713F83">
      <w:pPr>
        <w:spacing w:before="160"/>
        <w:jc w:val="both"/>
        <w:rPr>
          <w:rFonts w:ascii="Book Antiqua" w:hAnsi="Book Antiqua" w:cs="Arial"/>
          <w:b/>
        </w:rPr>
      </w:pPr>
      <w:r w:rsidRPr="000A588C">
        <w:rPr>
          <w:rFonts w:ascii="Book Antiqua" w:hAnsi="Book Antiqua" w:cs="Arial"/>
          <w:b/>
        </w:rPr>
        <w:t>The Upper Tribunal Hearing</w:t>
      </w:r>
    </w:p>
    <w:p w:rsidR="000A588C" w:rsidRDefault="000A588C" w:rsidP="00713F83">
      <w:pPr>
        <w:numPr>
          <w:ilvl w:val="0"/>
          <w:numId w:val="3"/>
        </w:numPr>
        <w:spacing w:before="160"/>
        <w:jc w:val="both"/>
        <w:rPr>
          <w:rFonts w:ascii="Book Antiqua" w:hAnsi="Book Antiqua" w:cs="Arial"/>
        </w:rPr>
      </w:pPr>
      <w:r>
        <w:rPr>
          <w:rFonts w:ascii="Book Antiqua" w:hAnsi="Book Antiqua" w:cs="Arial"/>
        </w:rPr>
        <w:t xml:space="preserve">On behalf of the </w:t>
      </w:r>
      <w:r w:rsidR="002C1B32">
        <w:rPr>
          <w:rFonts w:ascii="Book Antiqua" w:hAnsi="Book Antiqua" w:cs="Arial"/>
        </w:rPr>
        <w:t xml:space="preserve">Secretary of State </w:t>
      </w:r>
      <w:r>
        <w:rPr>
          <w:rFonts w:ascii="Book Antiqua" w:hAnsi="Book Antiqua" w:cs="Arial"/>
        </w:rPr>
        <w:t xml:space="preserve">reliance was placed on the grounds contained within the application for permission to appeal.  It was submitted that the FTT decision was entirely lacking in consideration of points raised in the reasons for refusal decision.  </w:t>
      </w:r>
    </w:p>
    <w:p w:rsidR="000A588C" w:rsidRDefault="000A588C" w:rsidP="00713F83">
      <w:pPr>
        <w:numPr>
          <w:ilvl w:val="0"/>
          <w:numId w:val="3"/>
        </w:numPr>
        <w:spacing w:before="160"/>
        <w:jc w:val="both"/>
        <w:rPr>
          <w:rFonts w:ascii="Book Antiqua" w:hAnsi="Book Antiqua" w:cs="Arial"/>
        </w:rPr>
      </w:pPr>
      <w:r>
        <w:rPr>
          <w:rFonts w:ascii="Book Antiqua" w:hAnsi="Book Antiqua" w:cs="Arial"/>
        </w:rPr>
        <w:t xml:space="preserve">It was submitted that adequate reasons for findings had not been given, and it was not clear why the judge had made findings.  Mr McVeety described as perverse a finding by the judge that the </w:t>
      </w:r>
      <w:r w:rsidR="000C16E9">
        <w:rPr>
          <w:rFonts w:ascii="Book Antiqua" w:hAnsi="Book Antiqua" w:cs="Arial"/>
        </w:rPr>
        <w:t>Claim</w:t>
      </w:r>
      <w:r>
        <w:rPr>
          <w:rFonts w:ascii="Book Antiqua" w:hAnsi="Book Antiqua" w:cs="Arial"/>
        </w:rPr>
        <w:t xml:space="preserve">ant could not be expected to be more knowledgeable about his girlfriend’s father, and his alleged position of influence, because he was only 22 years of age. </w:t>
      </w:r>
    </w:p>
    <w:p w:rsidR="000A588C" w:rsidRDefault="000A588C" w:rsidP="00713F83">
      <w:pPr>
        <w:numPr>
          <w:ilvl w:val="0"/>
          <w:numId w:val="3"/>
        </w:numPr>
        <w:spacing w:before="160"/>
        <w:jc w:val="both"/>
        <w:rPr>
          <w:rFonts w:ascii="Book Antiqua" w:hAnsi="Book Antiqua" w:cs="Arial"/>
        </w:rPr>
      </w:pPr>
      <w:r>
        <w:rPr>
          <w:rFonts w:ascii="Book Antiqua" w:hAnsi="Book Antiqua" w:cs="Arial"/>
        </w:rPr>
        <w:t xml:space="preserve">I was asked to find that background evidence confirmed that the KDP and PUK are completely separate entities, and the judge had completely failed to consider an </w:t>
      </w:r>
      <w:r w:rsidR="00BB5599">
        <w:rPr>
          <w:rFonts w:ascii="Book Antiqua" w:hAnsi="Book Antiqua" w:cs="Arial"/>
        </w:rPr>
        <w:t>option of internal relocation wi</w:t>
      </w:r>
      <w:r>
        <w:rPr>
          <w:rFonts w:ascii="Book Antiqua" w:hAnsi="Book Antiqua" w:cs="Arial"/>
        </w:rPr>
        <w:t>thin the IKR, on the basis that if the girlfriend’s family held influence with</w:t>
      </w:r>
      <w:r w:rsidR="00305369">
        <w:rPr>
          <w:rFonts w:ascii="Book Antiqua" w:hAnsi="Book Antiqua" w:cs="Arial"/>
        </w:rPr>
        <w:t>in</w:t>
      </w:r>
      <w:r>
        <w:rPr>
          <w:rFonts w:ascii="Book Antiqua" w:hAnsi="Book Antiqua" w:cs="Arial"/>
        </w:rPr>
        <w:t xml:space="preserve"> the PUK,</w:t>
      </w:r>
      <w:r w:rsidR="00BB5599">
        <w:rPr>
          <w:rFonts w:ascii="Book Antiqua" w:hAnsi="Book Antiqua" w:cs="Arial"/>
        </w:rPr>
        <w:t xml:space="preserve"> the </w:t>
      </w:r>
      <w:r w:rsidR="00EE3E63">
        <w:rPr>
          <w:rFonts w:ascii="Book Antiqua" w:hAnsi="Book Antiqua" w:cs="Arial"/>
        </w:rPr>
        <w:t>Claim</w:t>
      </w:r>
      <w:r w:rsidR="00BB5599">
        <w:rPr>
          <w:rFonts w:ascii="Book Antiqua" w:hAnsi="Book Antiqua" w:cs="Arial"/>
        </w:rPr>
        <w:t>ant could relocate to a KDP controlled area.</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Mr Khan made submissions on the Claimant’s behalf, relying upo</w:t>
      </w:r>
      <w:r w:rsidR="00150948">
        <w:rPr>
          <w:rFonts w:ascii="Book Antiqua" w:hAnsi="Book Antiqua" w:cs="Arial"/>
        </w:rPr>
        <w:t>n the r</w:t>
      </w:r>
      <w:r>
        <w:rPr>
          <w:rFonts w:ascii="Book Antiqua" w:hAnsi="Book Antiqua" w:cs="Arial"/>
        </w:rPr>
        <w:t>ule 24 response, and disagreeing with the submissions made on behalf of the Secretary of State.  I was asked to find that the decision of the judge was concise and to the point and the judge had considered all relevant evidence.</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 xml:space="preserve">It was submitted that the judge was entitled to find that the girlfriend’s family were very powerful within the PUK because the </w:t>
      </w:r>
      <w:r w:rsidR="006C2B61">
        <w:rPr>
          <w:rFonts w:ascii="Book Antiqua" w:hAnsi="Book Antiqua" w:cs="Arial"/>
        </w:rPr>
        <w:t>Claim</w:t>
      </w:r>
      <w:r>
        <w:rPr>
          <w:rFonts w:ascii="Book Antiqua" w:hAnsi="Book Antiqua" w:cs="Arial"/>
        </w:rPr>
        <w:t xml:space="preserve">ant had explained in interview that this is what he had been told.  Mr Khan submitted that just because the judge </w:t>
      </w:r>
      <w:r w:rsidR="006C2B61">
        <w:rPr>
          <w:rFonts w:ascii="Book Antiqua" w:hAnsi="Book Antiqua" w:cs="Arial"/>
        </w:rPr>
        <w:t>“</w:t>
      </w:r>
      <w:r>
        <w:rPr>
          <w:rFonts w:ascii="Book Antiqua" w:hAnsi="Book Antiqua" w:cs="Arial"/>
        </w:rPr>
        <w:t>had not provided reasons for everything</w:t>
      </w:r>
      <w:r w:rsidR="006C2B61">
        <w:rPr>
          <w:rFonts w:ascii="Book Antiqua" w:hAnsi="Book Antiqua" w:cs="Arial"/>
        </w:rPr>
        <w:t>”</w:t>
      </w:r>
      <w:r>
        <w:rPr>
          <w:rFonts w:ascii="Book Antiqua" w:hAnsi="Book Antiqua" w:cs="Arial"/>
        </w:rPr>
        <w:t>, did not mean that he had not considered everything relevant.</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 xml:space="preserve">It was contended that the judge had not made assumptions but had considered all evidence, and made findings open to him to make on that evidence.  I was asked to find no error of law.  </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 xml:space="preserve">In response Mr McVeety submitted that the judge had not taken into account all evidence, as he had not considered background evidence which indicated that the </w:t>
      </w:r>
      <w:r w:rsidR="009650B2">
        <w:rPr>
          <w:rFonts w:ascii="Book Antiqua" w:hAnsi="Book Antiqua" w:cs="Arial"/>
        </w:rPr>
        <w:t>Claim</w:t>
      </w:r>
      <w:r>
        <w:rPr>
          <w:rFonts w:ascii="Book Antiqua" w:hAnsi="Book Antiqua" w:cs="Arial"/>
        </w:rPr>
        <w:t xml:space="preserve">ant would not be at risk of honour killing, and this evidence was referred to in the refusal decision.  I was asked to find that it could not be assumed that the judge had read all the evidence, but the judge needed to demonstrate this.  It was submitted </w:t>
      </w:r>
      <w:r>
        <w:rPr>
          <w:rFonts w:ascii="Book Antiqua" w:hAnsi="Book Antiqua" w:cs="Arial"/>
        </w:rPr>
        <w:lastRenderedPageBreak/>
        <w:t>that a reading of the refusal decision showed the numerous issues that had been raised but had not been considered by the judge.</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At the conclusion of oral submissions I reserved my decision.</w:t>
      </w:r>
    </w:p>
    <w:p w:rsidR="00BB5599" w:rsidRPr="00BB5599" w:rsidRDefault="00BB5599" w:rsidP="00713F83">
      <w:pPr>
        <w:spacing w:before="160"/>
        <w:jc w:val="both"/>
        <w:rPr>
          <w:rFonts w:ascii="Book Antiqua" w:hAnsi="Book Antiqua" w:cs="Arial"/>
          <w:b/>
        </w:rPr>
      </w:pPr>
      <w:r w:rsidRPr="00BB5599">
        <w:rPr>
          <w:rFonts w:ascii="Book Antiqua" w:hAnsi="Book Antiqua" w:cs="Arial"/>
          <w:b/>
        </w:rPr>
        <w:t>My Conclusions and Reasons</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 xml:space="preserve">Guidance on the duty to give reasons for decisions is contained in </w:t>
      </w:r>
      <w:proofErr w:type="spellStart"/>
      <w:r w:rsidRPr="005F1012">
        <w:rPr>
          <w:rFonts w:ascii="Book Antiqua" w:hAnsi="Book Antiqua" w:cs="Arial"/>
          <w:u w:val="single"/>
        </w:rPr>
        <w:t>Budhathoki</w:t>
      </w:r>
      <w:proofErr w:type="spellEnd"/>
      <w:r>
        <w:rPr>
          <w:rFonts w:ascii="Book Antiqua" w:hAnsi="Book Antiqua" w:cs="Arial"/>
        </w:rPr>
        <w:t xml:space="preserve"> (reasons for decision</w:t>
      </w:r>
      <w:r w:rsidR="00381875">
        <w:rPr>
          <w:rFonts w:ascii="Book Antiqua" w:hAnsi="Book Antiqua" w:cs="Arial"/>
        </w:rPr>
        <w:t>s</w:t>
      </w:r>
      <w:r>
        <w:rPr>
          <w:rFonts w:ascii="Book Antiqua" w:hAnsi="Book Antiqua" w:cs="Arial"/>
        </w:rPr>
        <w:t xml:space="preserve">) [2014] UKUT </w:t>
      </w:r>
      <w:r w:rsidR="00CE0043">
        <w:rPr>
          <w:rFonts w:ascii="Book Antiqua" w:hAnsi="Book Antiqua" w:cs="Arial"/>
        </w:rPr>
        <w:t>00</w:t>
      </w:r>
      <w:r>
        <w:rPr>
          <w:rFonts w:ascii="Book Antiqua" w:hAnsi="Book Antiqua" w:cs="Arial"/>
        </w:rPr>
        <w:t>341 (IAC), the headnote of which is set out below;</w:t>
      </w:r>
    </w:p>
    <w:p w:rsidR="00BB5599" w:rsidRPr="00EB0E2A" w:rsidRDefault="00BB5599" w:rsidP="00713F83">
      <w:pPr>
        <w:spacing w:before="120"/>
        <w:ind w:left="1134" w:right="567"/>
        <w:jc w:val="both"/>
        <w:rPr>
          <w:rFonts w:ascii="Book Antiqua" w:hAnsi="Book Antiqua" w:cs="Arial"/>
          <w:sz w:val="22"/>
          <w:szCs w:val="22"/>
        </w:rPr>
      </w:pPr>
      <w:r w:rsidRPr="00EB0E2A">
        <w:rPr>
          <w:rFonts w:ascii="Book Antiqua" w:hAnsi="Book Antiqua" w:cs="Arial"/>
          <w:sz w:val="22"/>
          <w:szCs w:val="22"/>
        </w:rPr>
        <w:t>“It is generally unnecessary and unhelpful for First-tier Tribunal judgments to rehearse every detail or issue raised in a case.  This leads to judgments becoming overly long and confused and is not a proportionate approach to deciding cases.  It i</w:t>
      </w:r>
      <w:r w:rsidR="00E97C3E" w:rsidRPr="00EB0E2A">
        <w:rPr>
          <w:rFonts w:ascii="Book Antiqua" w:hAnsi="Book Antiqua" w:cs="Arial"/>
          <w:sz w:val="22"/>
          <w:szCs w:val="22"/>
        </w:rPr>
        <w:t>s, however, necessary for judge</w:t>
      </w:r>
      <w:r w:rsidRPr="00EB0E2A">
        <w:rPr>
          <w:rFonts w:ascii="Book Antiqua" w:hAnsi="Book Antiqua" w:cs="Arial"/>
          <w:sz w:val="22"/>
          <w:szCs w:val="22"/>
        </w:rPr>
        <w:t>s to identify and resolve key conflicts in the evidence and explain in clear and brief terms their reasons, so that the parties can understand why they</w:t>
      </w:r>
      <w:r w:rsidR="00381875">
        <w:rPr>
          <w:rFonts w:ascii="Book Antiqua" w:hAnsi="Book Antiqua" w:cs="Arial"/>
          <w:sz w:val="22"/>
          <w:szCs w:val="22"/>
        </w:rPr>
        <w:t xml:space="preserve"> have</w:t>
      </w:r>
      <w:r w:rsidRPr="00EB0E2A">
        <w:rPr>
          <w:rFonts w:ascii="Book Antiqua" w:hAnsi="Book Antiqua" w:cs="Arial"/>
          <w:sz w:val="22"/>
          <w:szCs w:val="22"/>
        </w:rPr>
        <w:t xml:space="preserve"> won or lost.”</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 xml:space="preserve">The judge granting permission to appeal comments upon the brevity of the FTT decision.  In my view brevity is not an error of law, and is to be commended, provided all relevant matters have been considered, findings made and reasons given.  </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I have considered whether the grounds raised by the Secretary of State disclose a material error of law, or amount to a disagreement with findings made by the judge, who had the benefit of considering the documentary evidence, and hearing oral evidence.</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I conclude that the FTT did materially err in law as contended by the Secretary of State.  I find that the judge failed to adequately engage with the reasons given for refusal, in the refusal decision dated 11</w:t>
      </w:r>
      <w:r w:rsidRPr="00BB5599">
        <w:rPr>
          <w:rFonts w:ascii="Book Antiqua" w:hAnsi="Book Antiqua" w:cs="Arial"/>
          <w:vertAlign w:val="superscript"/>
        </w:rPr>
        <w:t>th</w:t>
      </w:r>
      <w:r>
        <w:rPr>
          <w:rFonts w:ascii="Book Antiqua" w:hAnsi="Book Antiqua" w:cs="Arial"/>
        </w:rPr>
        <w:t xml:space="preserve"> March 2018.  It is not clear from reading the FTT decision, why the judge accepted the </w:t>
      </w:r>
      <w:r w:rsidR="00C11CD7">
        <w:rPr>
          <w:rFonts w:ascii="Book Antiqua" w:hAnsi="Book Antiqua" w:cs="Arial"/>
        </w:rPr>
        <w:t>Claim</w:t>
      </w:r>
      <w:r>
        <w:rPr>
          <w:rFonts w:ascii="Book Antiqua" w:hAnsi="Book Antiqua" w:cs="Arial"/>
        </w:rPr>
        <w:t xml:space="preserve">ant’s account in its entirety, and rejected all the reasons given by the </w:t>
      </w:r>
      <w:r w:rsidR="00C11CD7">
        <w:rPr>
          <w:rFonts w:ascii="Book Antiqua" w:hAnsi="Book Antiqua" w:cs="Arial"/>
        </w:rPr>
        <w:t>Secretary of State</w:t>
      </w:r>
      <w:r>
        <w:rPr>
          <w:rFonts w:ascii="Book Antiqua" w:hAnsi="Book Antiqua" w:cs="Arial"/>
        </w:rPr>
        <w:t xml:space="preserve"> for refusing the claim for international protection.</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By way of example the refusal decision dated 11</w:t>
      </w:r>
      <w:r w:rsidRPr="00BB5599">
        <w:rPr>
          <w:rFonts w:ascii="Book Antiqua" w:hAnsi="Book Antiqua" w:cs="Arial"/>
          <w:vertAlign w:val="superscript"/>
        </w:rPr>
        <w:t>th</w:t>
      </w:r>
      <w:r>
        <w:rPr>
          <w:rFonts w:ascii="Book Antiqua" w:hAnsi="Book Antiqua" w:cs="Arial"/>
        </w:rPr>
        <w:t xml:space="preserve"> March 2018 makes reference to objective background evidence in relation to Kurdish honour crimes.  At paragraph 27 it is pointed out that several aspects of the Claimant’s claim run counter to background country information, and the </w:t>
      </w:r>
      <w:r w:rsidR="000D6CF5">
        <w:rPr>
          <w:rFonts w:ascii="Book Antiqua" w:hAnsi="Book Antiqua" w:cs="Arial"/>
        </w:rPr>
        <w:t>Secretary of State</w:t>
      </w:r>
      <w:r>
        <w:rPr>
          <w:rFonts w:ascii="Book Antiqua" w:hAnsi="Book Antiqua" w:cs="Arial"/>
        </w:rPr>
        <w:t xml:space="preserve"> then provides reasons for not accepting the credibility of the </w:t>
      </w:r>
      <w:r w:rsidR="000D6CF5">
        <w:rPr>
          <w:rFonts w:ascii="Book Antiqua" w:hAnsi="Book Antiqua" w:cs="Arial"/>
        </w:rPr>
        <w:t>Claim</w:t>
      </w:r>
      <w:r>
        <w:rPr>
          <w:rFonts w:ascii="Book Antiqua" w:hAnsi="Book Antiqua" w:cs="Arial"/>
        </w:rPr>
        <w:t xml:space="preserve">ant’s account, which are included at paragraphs 27-38, at pages 6-9 of the refusal decision.  The </w:t>
      </w:r>
      <w:r w:rsidR="000D6CF5">
        <w:rPr>
          <w:rFonts w:ascii="Book Antiqua" w:hAnsi="Book Antiqua" w:cs="Arial"/>
        </w:rPr>
        <w:t>Secretary of State’s</w:t>
      </w:r>
      <w:r>
        <w:rPr>
          <w:rFonts w:ascii="Book Antiqua" w:hAnsi="Book Antiqua" w:cs="Arial"/>
        </w:rPr>
        <w:t xml:space="preserve"> case as set out in that refusal decision is that it is accepted that the Claimant is a Kurdish Iraqi from the IKR, but his claim to be a potential victim of an honour killing is rejected.</w:t>
      </w:r>
    </w:p>
    <w:p w:rsidR="00BB5599" w:rsidRDefault="00BB5599" w:rsidP="00713F83">
      <w:pPr>
        <w:numPr>
          <w:ilvl w:val="0"/>
          <w:numId w:val="3"/>
        </w:numPr>
        <w:spacing w:before="160"/>
        <w:jc w:val="both"/>
        <w:rPr>
          <w:rFonts w:ascii="Book Antiqua" w:hAnsi="Book Antiqua" w:cs="Arial"/>
        </w:rPr>
      </w:pPr>
      <w:r>
        <w:rPr>
          <w:rFonts w:ascii="Book Antiqua" w:hAnsi="Book Antiqua" w:cs="Arial"/>
        </w:rPr>
        <w:t xml:space="preserve">I do not find that the judge engaged with the numerous points made </w:t>
      </w:r>
      <w:r w:rsidR="002565F9">
        <w:rPr>
          <w:rFonts w:ascii="Book Antiqua" w:hAnsi="Book Antiqua" w:cs="Arial"/>
        </w:rPr>
        <w:t>in</w:t>
      </w:r>
      <w:r>
        <w:rPr>
          <w:rFonts w:ascii="Book Antiqua" w:hAnsi="Book Antiqua" w:cs="Arial"/>
        </w:rPr>
        <w:t xml:space="preserve"> the refusal decision.  Findings made by the judge are contained in paragraphs 23 and 24, and the judge does not give adequate reasons to explain why the </w:t>
      </w:r>
      <w:r w:rsidR="00713F83">
        <w:rPr>
          <w:rFonts w:ascii="Book Antiqua" w:hAnsi="Book Antiqua" w:cs="Arial"/>
        </w:rPr>
        <w:t>Claimant’s</w:t>
      </w:r>
      <w:r>
        <w:rPr>
          <w:rFonts w:ascii="Book Antiqua" w:hAnsi="Book Antiqua" w:cs="Arial"/>
        </w:rPr>
        <w:t xml:space="preserve"> account is accepted. </w:t>
      </w:r>
    </w:p>
    <w:p w:rsidR="00782772" w:rsidRDefault="00BB5599" w:rsidP="00713F83">
      <w:pPr>
        <w:numPr>
          <w:ilvl w:val="0"/>
          <w:numId w:val="3"/>
        </w:numPr>
        <w:spacing w:before="160"/>
        <w:jc w:val="both"/>
        <w:rPr>
          <w:rFonts w:ascii="Book Antiqua" w:hAnsi="Book Antiqua" w:cs="Arial"/>
        </w:rPr>
      </w:pPr>
      <w:r>
        <w:rPr>
          <w:rFonts w:ascii="Book Antiqua" w:hAnsi="Book Antiqua" w:cs="Arial"/>
        </w:rPr>
        <w:t xml:space="preserve">The judge has accepted that the girlfriend’s family (paragraph 24) “have influence and can act with impunity given the recent action against his father and sisters, the truth of which I have no real reason to doubt.”  The </w:t>
      </w:r>
      <w:r w:rsidR="000F3AB5">
        <w:rPr>
          <w:rFonts w:ascii="Book Antiqua" w:hAnsi="Book Antiqua" w:cs="Arial"/>
        </w:rPr>
        <w:t>Claim</w:t>
      </w:r>
      <w:r>
        <w:rPr>
          <w:rFonts w:ascii="Book Antiqua" w:hAnsi="Book Antiqua" w:cs="Arial"/>
        </w:rPr>
        <w:t>ant’s account was that he was told that his girlf</w:t>
      </w:r>
      <w:r w:rsidR="00782772">
        <w:rPr>
          <w:rFonts w:ascii="Book Antiqua" w:hAnsi="Book Antiqua" w:cs="Arial"/>
        </w:rPr>
        <w:t>r</w:t>
      </w:r>
      <w:r>
        <w:rPr>
          <w:rFonts w:ascii="Book Antiqua" w:hAnsi="Book Antiqua" w:cs="Arial"/>
        </w:rPr>
        <w:t>iend’s father</w:t>
      </w:r>
      <w:r w:rsidR="00782772">
        <w:rPr>
          <w:rFonts w:ascii="Book Antiqua" w:hAnsi="Book Antiqua" w:cs="Arial"/>
        </w:rPr>
        <w:t xml:space="preserve"> </w:t>
      </w:r>
      <w:r w:rsidR="000F3AB5">
        <w:rPr>
          <w:rFonts w:ascii="Book Antiqua" w:hAnsi="Book Antiqua" w:cs="Arial"/>
        </w:rPr>
        <w:t>held</w:t>
      </w:r>
      <w:r w:rsidR="00782772">
        <w:rPr>
          <w:rFonts w:ascii="Book Antiqua" w:hAnsi="Book Antiqua" w:cs="Arial"/>
        </w:rPr>
        <w:t xml:space="preserve"> a high rank but when asked in interview in what way he was powerful, he did not know.  He then went on to say (question 136) that the </w:t>
      </w:r>
      <w:r w:rsidR="00782772">
        <w:rPr>
          <w:rFonts w:ascii="Book Antiqua" w:hAnsi="Book Antiqua" w:cs="Arial"/>
        </w:rPr>
        <w:lastRenderedPageBreak/>
        <w:t>father was a powerful man in “this party and this party is powerful”.  It appears that very little evidence, if any, was given to indicate to a reasonable degree of likelihood that the girlfriend’s family have influence and can act with impunity.  I do find it irrational for the judge to comment at paragraph 23 that he did not expect the Appellant to be more knowledgeable about the girlfriend’s father because he was only 22 years of age.  That is not, in my view,</w:t>
      </w:r>
      <w:r w:rsidR="00563CF3">
        <w:rPr>
          <w:rFonts w:ascii="Book Antiqua" w:hAnsi="Book Antiqua" w:cs="Arial"/>
        </w:rPr>
        <w:t xml:space="preserve"> an</w:t>
      </w:r>
      <w:r w:rsidR="00782772">
        <w:rPr>
          <w:rFonts w:ascii="Book Antiqua" w:hAnsi="Book Antiqua" w:cs="Arial"/>
        </w:rPr>
        <w:t xml:space="preserve"> adequate explanation for displaying </w:t>
      </w:r>
      <w:r w:rsidR="00563CF3">
        <w:rPr>
          <w:rFonts w:ascii="Book Antiqua" w:hAnsi="Book Antiqua" w:cs="Arial"/>
        </w:rPr>
        <w:t>a</w:t>
      </w:r>
      <w:r w:rsidR="00782772">
        <w:rPr>
          <w:rFonts w:ascii="Book Antiqua" w:hAnsi="Book Antiqua" w:cs="Arial"/>
        </w:rPr>
        <w:t xml:space="preserve"> lack of knowledge, </w:t>
      </w:r>
      <w:r w:rsidR="00563CF3">
        <w:rPr>
          <w:rFonts w:ascii="Book Antiqua" w:hAnsi="Book Antiqua" w:cs="Arial"/>
        </w:rPr>
        <w:t>and</w:t>
      </w:r>
      <w:r w:rsidR="00782772">
        <w:rPr>
          <w:rFonts w:ascii="Book Antiqua" w:hAnsi="Book Antiqua" w:cs="Arial"/>
        </w:rPr>
        <w:t xml:space="preserve"> then proceeding to make a finding that the vague evidence given by the </w:t>
      </w:r>
      <w:r w:rsidR="00563CF3">
        <w:rPr>
          <w:rFonts w:ascii="Book Antiqua" w:hAnsi="Book Antiqua" w:cs="Arial"/>
        </w:rPr>
        <w:t>Claim</w:t>
      </w:r>
      <w:r w:rsidR="00782772">
        <w:rPr>
          <w:rFonts w:ascii="Book Antiqua" w:hAnsi="Book Antiqua" w:cs="Arial"/>
        </w:rPr>
        <w:t>ant in relation to the girlfriend’s father shows that he can act with impunity and has influence throughout the IKR.</w:t>
      </w:r>
    </w:p>
    <w:p w:rsidR="00BB5599" w:rsidRDefault="00782772" w:rsidP="00713F83">
      <w:pPr>
        <w:numPr>
          <w:ilvl w:val="0"/>
          <w:numId w:val="3"/>
        </w:numPr>
        <w:spacing w:before="160"/>
        <w:jc w:val="both"/>
        <w:rPr>
          <w:rFonts w:ascii="Book Antiqua" w:hAnsi="Book Antiqua" w:cs="Arial"/>
        </w:rPr>
      </w:pPr>
      <w:r>
        <w:rPr>
          <w:rFonts w:ascii="Book Antiqua" w:hAnsi="Book Antiqua" w:cs="Arial"/>
        </w:rPr>
        <w:t>With reference to internal relocation, background evidence does indicate that the KDP and PUK are based in separate areas within the IKR, one being in Sulaymaniyah, the other being in Erbil.  The judge does not adequately consider internal relocation within the IKR.  Inadequate reasons are given for accepting that the girlfriend’s family have members working at the airport.</w:t>
      </w:r>
    </w:p>
    <w:p w:rsidR="00782772" w:rsidRDefault="00782772" w:rsidP="00713F83">
      <w:pPr>
        <w:numPr>
          <w:ilvl w:val="0"/>
          <w:numId w:val="3"/>
        </w:numPr>
        <w:spacing w:before="160"/>
        <w:jc w:val="both"/>
        <w:rPr>
          <w:rFonts w:ascii="Book Antiqua" w:hAnsi="Book Antiqua" w:cs="Arial"/>
        </w:rPr>
      </w:pPr>
      <w:r>
        <w:rPr>
          <w:rFonts w:ascii="Book Antiqua" w:hAnsi="Book Antiqua" w:cs="Arial"/>
        </w:rPr>
        <w:t>The judge has not compl</w:t>
      </w:r>
      <w:r w:rsidR="00C431FA">
        <w:rPr>
          <w:rFonts w:ascii="Book Antiqua" w:hAnsi="Book Antiqua" w:cs="Arial"/>
        </w:rPr>
        <w:t>ied with the duty summarised in</w:t>
      </w:r>
      <w:r w:rsidR="005F1012">
        <w:rPr>
          <w:rFonts w:ascii="Book Antiqua" w:hAnsi="Book Antiqua" w:cs="Arial"/>
        </w:rPr>
        <w:t xml:space="preserve"> </w:t>
      </w:r>
      <w:r w:rsidR="005F1012" w:rsidRPr="005F1012">
        <w:rPr>
          <w:rFonts w:ascii="Book Antiqua" w:hAnsi="Book Antiqua" w:cs="Arial"/>
          <w:u w:val="single"/>
        </w:rPr>
        <w:t>Budhathoki</w:t>
      </w:r>
      <w:r w:rsidR="005F1012" w:rsidRPr="005F1012">
        <w:rPr>
          <w:rFonts w:ascii="Book Antiqua" w:hAnsi="Book Antiqua" w:cs="Arial"/>
        </w:rPr>
        <w:t xml:space="preserve"> to give adequate reasons for</w:t>
      </w:r>
      <w:r w:rsidR="005F1012">
        <w:rPr>
          <w:rFonts w:ascii="Book Antiqua" w:hAnsi="Book Antiqua" w:cs="Arial"/>
        </w:rPr>
        <w:t xml:space="preserve"> decisions and to resolve key conflicts in the evidence.  The Secretary of State is entitled to complain that it is not clear why the Claimant’s account has been accepted, in preference to the issues raised in the refusal decision.  The judge does not refer to any independent background evidence which supports the Claimant’s account.  </w:t>
      </w:r>
    </w:p>
    <w:p w:rsidR="005F1012" w:rsidRDefault="005F1012" w:rsidP="00713F83">
      <w:pPr>
        <w:numPr>
          <w:ilvl w:val="0"/>
          <w:numId w:val="3"/>
        </w:numPr>
        <w:spacing w:before="160"/>
        <w:jc w:val="both"/>
        <w:rPr>
          <w:rFonts w:ascii="Book Antiqua" w:hAnsi="Book Antiqua" w:cs="Arial"/>
        </w:rPr>
      </w:pPr>
      <w:r>
        <w:rPr>
          <w:rFonts w:ascii="Book Antiqua" w:hAnsi="Book Antiqua" w:cs="Arial"/>
        </w:rPr>
        <w:t>In my view, the decision of the FTT is unsafe and is therefore set aside with no findings preserved.</w:t>
      </w:r>
    </w:p>
    <w:p w:rsidR="005F1012" w:rsidRDefault="005F1012" w:rsidP="00713F83">
      <w:pPr>
        <w:numPr>
          <w:ilvl w:val="0"/>
          <w:numId w:val="3"/>
        </w:numPr>
        <w:spacing w:before="160"/>
        <w:jc w:val="both"/>
        <w:rPr>
          <w:rFonts w:ascii="Book Antiqua" w:hAnsi="Book Antiqua" w:cs="Arial"/>
        </w:rPr>
      </w:pPr>
      <w:r>
        <w:rPr>
          <w:rFonts w:ascii="Book Antiqua" w:hAnsi="Book Antiqua" w:cs="Arial"/>
        </w:rPr>
        <w:t xml:space="preserve">The decision needs to be remade.  I have considered paragraph 7 of the Senior President’s Practice Statements, and find it is appropriate to remit the appeal back to the FTT because of the nature and extent of judicial fact-finding that will be necessary in order for this decision to be remade. </w:t>
      </w:r>
    </w:p>
    <w:p w:rsidR="005F1012" w:rsidRPr="00F5664C" w:rsidRDefault="005F1012" w:rsidP="00713F83">
      <w:pPr>
        <w:numPr>
          <w:ilvl w:val="0"/>
          <w:numId w:val="3"/>
        </w:numPr>
        <w:spacing w:before="160"/>
        <w:jc w:val="both"/>
        <w:rPr>
          <w:rFonts w:ascii="Book Antiqua" w:hAnsi="Book Antiqua" w:cs="Arial"/>
        </w:rPr>
      </w:pPr>
      <w:r>
        <w:rPr>
          <w:rFonts w:ascii="Book Antiqua" w:hAnsi="Book Antiqua" w:cs="Arial"/>
        </w:rPr>
        <w:t xml:space="preserve">The parties will be advised of the time and date in due course.  The appeal is to be heard by an FTT Judge other than Judge Saffer.  </w:t>
      </w:r>
    </w:p>
    <w:p w:rsidR="00F13D39" w:rsidRPr="00F13D39" w:rsidRDefault="00F13D39" w:rsidP="00713F83">
      <w:pPr>
        <w:spacing w:before="160"/>
        <w:jc w:val="both"/>
        <w:rPr>
          <w:rFonts w:ascii="Book Antiqua" w:hAnsi="Book Antiqua" w:cs="Arial"/>
          <w:b/>
        </w:rPr>
      </w:pPr>
      <w:r w:rsidRPr="00F13D39">
        <w:rPr>
          <w:rFonts w:ascii="Book Antiqua" w:hAnsi="Book Antiqua" w:cs="Arial"/>
          <w:b/>
        </w:rPr>
        <w:t>Notice of Decision</w:t>
      </w:r>
    </w:p>
    <w:p w:rsidR="005F1012" w:rsidRDefault="00F13D39" w:rsidP="00713F83">
      <w:pPr>
        <w:spacing w:before="160"/>
        <w:jc w:val="both"/>
        <w:rPr>
          <w:rFonts w:ascii="Book Antiqua" w:hAnsi="Book Antiqua" w:cs="Arial"/>
        </w:rPr>
      </w:pPr>
      <w:r w:rsidRPr="00F13D39">
        <w:rPr>
          <w:rFonts w:ascii="Book Antiqua" w:hAnsi="Book Antiqua" w:cs="Arial"/>
        </w:rPr>
        <w:t xml:space="preserve">The </w:t>
      </w:r>
      <w:r w:rsidR="005F1012">
        <w:rPr>
          <w:rFonts w:ascii="Book Antiqua" w:hAnsi="Book Antiqua" w:cs="Arial"/>
        </w:rPr>
        <w:t>decision of the FTT involved the making of an error of law such that it is set aside.  The appeal is allowed to</w:t>
      </w:r>
      <w:r w:rsidR="00CA2E01">
        <w:rPr>
          <w:rFonts w:ascii="Book Antiqua" w:hAnsi="Book Antiqua" w:cs="Arial"/>
        </w:rPr>
        <w:t xml:space="preserve"> the extent</w:t>
      </w:r>
      <w:r w:rsidR="005F1012">
        <w:rPr>
          <w:rFonts w:ascii="Book Antiqua" w:hAnsi="Book Antiqua" w:cs="Arial"/>
        </w:rPr>
        <w:t xml:space="preserve"> it is remitted to the FTT with no findings of fact preserved.</w:t>
      </w:r>
      <w:r w:rsidR="00E05040">
        <w:rPr>
          <w:rFonts w:ascii="Book Antiqua" w:hAnsi="Book Antiqua" w:cs="Arial"/>
        </w:rPr>
        <w:t xml:space="preserve">  </w:t>
      </w:r>
    </w:p>
    <w:p w:rsidR="00F13D39" w:rsidRPr="00F13D39" w:rsidRDefault="005F1012" w:rsidP="00713F83">
      <w:pPr>
        <w:spacing w:before="160"/>
        <w:jc w:val="both"/>
        <w:rPr>
          <w:rFonts w:ascii="Book Antiqua" w:hAnsi="Book Antiqua" w:cs="Arial"/>
        </w:rPr>
      </w:pPr>
      <w:r>
        <w:rPr>
          <w:rFonts w:ascii="Book Antiqua" w:hAnsi="Book Antiqua" w:cs="Arial"/>
        </w:rPr>
        <w:t>The FTT made no anonymity direction.  There has been no request made to the Upper Tribunal</w:t>
      </w:r>
      <w:r w:rsidR="00A12B6F">
        <w:rPr>
          <w:rFonts w:ascii="Book Antiqua" w:hAnsi="Book Antiqua" w:cs="Arial"/>
        </w:rPr>
        <w:t xml:space="preserve"> for anonymity and I see no need to make an anonymity order.</w:t>
      </w:r>
    </w:p>
    <w:p w:rsidR="00F13D39" w:rsidRDefault="00F13D39" w:rsidP="000369F5">
      <w:pPr>
        <w:tabs>
          <w:tab w:val="left" w:pos="2520"/>
        </w:tabs>
        <w:jc w:val="both"/>
        <w:rPr>
          <w:rFonts w:ascii="Book Antiqua" w:hAnsi="Book Antiqua" w:cs="Arial"/>
        </w:rPr>
      </w:pPr>
    </w:p>
    <w:p w:rsidR="00713F83" w:rsidRPr="00F5664C" w:rsidRDefault="00713F83"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12B6F">
        <w:rPr>
          <w:rFonts w:ascii="Book Antiqua" w:hAnsi="Book Antiqua" w:cs="Arial"/>
        </w:rPr>
        <w:t xml:space="preserve"> 2</w:t>
      </w:r>
      <w:r w:rsidR="00A12B6F" w:rsidRPr="00A12B6F">
        <w:rPr>
          <w:rFonts w:ascii="Book Antiqua" w:hAnsi="Book Antiqua" w:cs="Arial"/>
          <w:vertAlign w:val="superscript"/>
        </w:rPr>
        <w:t>nd</w:t>
      </w:r>
      <w:r w:rsidR="00A12B6F">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713F83" w:rsidRDefault="00713F83" w:rsidP="000369F5">
      <w:pPr>
        <w:tabs>
          <w:tab w:val="left" w:pos="2520"/>
        </w:tabs>
        <w:jc w:val="both"/>
        <w:rPr>
          <w:rFonts w:ascii="Book Antiqua" w:hAnsi="Book Antiqua" w:cs="Arial"/>
        </w:rPr>
      </w:pPr>
    </w:p>
    <w:p w:rsidR="00713F83" w:rsidRDefault="00713F83" w:rsidP="000369F5">
      <w:pPr>
        <w:tabs>
          <w:tab w:val="left" w:pos="2520"/>
        </w:tabs>
        <w:jc w:val="both"/>
        <w:rPr>
          <w:rFonts w:ascii="Book Antiqua" w:hAnsi="Book Antiqua" w:cs="Arial"/>
        </w:rPr>
      </w:pPr>
    </w:p>
    <w:p w:rsidR="00713F83" w:rsidRDefault="00713F83" w:rsidP="000369F5">
      <w:pPr>
        <w:tabs>
          <w:tab w:val="left" w:pos="2520"/>
        </w:tabs>
        <w:jc w:val="both"/>
        <w:rPr>
          <w:rFonts w:ascii="Book Antiqua" w:hAnsi="Book Antiqua" w:cs="Arial"/>
        </w:rPr>
      </w:pPr>
    </w:p>
    <w:p w:rsidR="00713F83" w:rsidRDefault="00713F83"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713F83">
      <w:pPr>
        <w:ind w:left="567" w:hanging="567"/>
        <w:jc w:val="both"/>
        <w:rPr>
          <w:rFonts w:ascii="Book Antiqua" w:hAnsi="Book Antiqua" w:cs="Arial"/>
        </w:rPr>
      </w:pPr>
      <w:r w:rsidRPr="00F13D39">
        <w:rPr>
          <w:rFonts w:ascii="Book Antiqua" w:hAnsi="Book Antiqua" w:cs="Arial"/>
          <w:b/>
        </w:rPr>
        <w:t>FEE AWARD</w:t>
      </w:r>
    </w:p>
    <w:p w:rsidR="00F13D39" w:rsidRDefault="00A12B6F" w:rsidP="00713F83">
      <w:pPr>
        <w:spacing w:before="160"/>
        <w:jc w:val="both"/>
        <w:rPr>
          <w:rFonts w:ascii="Book Antiqua" w:hAnsi="Book Antiqua" w:cs="Arial"/>
        </w:rPr>
      </w:pPr>
      <w:r>
        <w:rPr>
          <w:rFonts w:ascii="Book Antiqua" w:hAnsi="Book Antiqua" w:cs="Arial"/>
        </w:rPr>
        <w:t xml:space="preserve">The issue of any fee award will need to be considered by the FTT.  </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12B6F">
        <w:rPr>
          <w:rFonts w:ascii="Book Antiqua" w:hAnsi="Book Antiqua" w:cs="Arial"/>
        </w:rPr>
        <w:t xml:space="preserve"> 2</w:t>
      </w:r>
      <w:r w:rsidR="00A12B6F" w:rsidRPr="00A12B6F">
        <w:rPr>
          <w:rFonts w:ascii="Book Antiqua" w:hAnsi="Book Antiqua" w:cs="Arial"/>
          <w:vertAlign w:val="superscript"/>
        </w:rPr>
        <w:t>nd</w:t>
      </w:r>
      <w:r w:rsidR="00A12B6F">
        <w:rPr>
          <w:rFonts w:ascii="Book Antiqua" w:hAnsi="Book Antiqua" w:cs="Arial"/>
        </w:rPr>
        <w:t xml:space="preserve"> August 2018</w:t>
      </w:r>
    </w:p>
    <w:p w:rsidR="00F13D39" w:rsidRPr="00F5664C" w:rsidRDefault="00F13D39" w:rsidP="00F13D39">
      <w:pPr>
        <w:tabs>
          <w:tab w:val="left" w:pos="2520"/>
        </w:tabs>
        <w:jc w:val="both"/>
        <w:rPr>
          <w:rFonts w:ascii="Book Antiqua" w:hAnsi="Book Antiqua" w:cs="Arial"/>
        </w:rPr>
      </w:pPr>
    </w:p>
    <w:p w:rsidR="005B7789" w:rsidRPr="00F5664C" w:rsidRDefault="00F13D39" w:rsidP="00AF62D3">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3E6" w:rsidRDefault="000D33E6">
      <w:r>
        <w:separator/>
      </w:r>
    </w:p>
  </w:endnote>
  <w:endnote w:type="continuationSeparator" w:id="0">
    <w:p w:rsidR="000D33E6" w:rsidRDefault="000D3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B6585">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3E6" w:rsidRDefault="000D33E6">
      <w:r>
        <w:separator/>
      </w:r>
    </w:p>
  </w:footnote>
  <w:footnote w:type="continuationSeparator" w:id="0">
    <w:p w:rsidR="000D33E6" w:rsidRDefault="000D3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65112">
      <w:rPr>
        <w:rFonts w:ascii="Book Antiqua" w:hAnsi="Book Antiqua" w:cs="Arial"/>
        <w:sz w:val="16"/>
        <w:szCs w:val="16"/>
      </w:rPr>
      <w:t>PA/04666/2018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12"/>
    <w:rsid w:val="00000621"/>
    <w:rsid w:val="000036C2"/>
    <w:rsid w:val="00030C00"/>
    <w:rsid w:val="00033D3D"/>
    <w:rsid w:val="000369F5"/>
    <w:rsid w:val="00047F27"/>
    <w:rsid w:val="00071A7E"/>
    <w:rsid w:val="000746C0"/>
    <w:rsid w:val="00074D1D"/>
    <w:rsid w:val="00092580"/>
    <w:rsid w:val="000A588C"/>
    <w:rsid w:val="000C16E9"/>
    <w:rsid w:val="000D01C9"/>
    <w:rsid w:val="000D33E6"/>
    <w:rsid w:val="000D5D94"/>
    <w:rsid w:val="000D6CF5"/>
    <w:rsid w:val="000E0CD7"/>
    <w:rsid w:val="000F3AB5"/>
    <w:rsid w:val="00114F8B"/>
    <w:rsid w:val="001165A7"/>
    <w:rsid w:val="00150948"/>
    <w:rsid w:val="00151BB7"/>
    <w:rsid w:val="00167D3A"/>
    <w:rsid w:val="001A1E2C"/>
    <w:rsid w:val="001F2716"/>
    <w:rsid w:val="001F4BDF"/>
    <w:rsid w:val="0020133A"/>
    <w:rsid w:val="00207617"/>
    <w:rsid w:val="00241BF9"/>
    <w:rsid w:val="00244BC9"/>
    <w:rsid w:val="00255071"/>
    <w:rsid w:val="002565F9"/>
    <w:rsid w:val="00283659"/>
    <w:rsid w:val="002C1B32"/>
    <w:rsid w:val="002C4E73"/>
    <w:rsid w:val="002D68BF"/>
    <w:rsid w:val="002E79BA"/>
    <w:rsid w:val="002F14CB"/>
    <w:rsid w:val="00305369"/>
    <w:rsid w:val="00336CBF"/>
    <w:rsid w:val="003546C8"/>
    <w:rsid w:val="00381875"/>
    <w:rsid w:val="003A7CF2"/>
    <w:rsid w:val="003C49CE"/>
    <w:rsid w:val="003C5812"/>
    <w:rsid w:val="003C5CE5"/>
    <w:rsid w:val="003E267B"/>
    <w:rsid w:val="003E7CD1"/>
    <w:rsid w:val="00402B9E"/>
    <w:rsid w:val="00423932"/>
    <w:rsid w:val="004249CB"/>
    <w:rsid w:val="0044127D"/>
    <w:rsid w:val="004448DB"/>
    <w:rsid w:val="00446C9A"/>
    <w:rsid w:val="00465F8E"/>
    <w:rsid w:val="00477193"/>
    <w:rsid w:val="004A1848"/>
    <w:rsid w:val="00507FEC"/>
    <w:rsid w:val="00510F0E"/>
    <w:rsid w:val="005479E1"/>
    <w:rsid w:val="005570FD"/>
    <w:rsid w:val="005575EA"/>
    <w:rsid w:val="00563CF3"/>
    <w:rsid w:val="0057790C"/>
    <w:rsid w:val="00593795"/>
    <w:rsid w:val="005A75FF"/>
    <w:rsid w:val="005B6585"/>
    <w:rsid w:val="005B7789"/>
    <w:rsid w:val="005E5DFF"/>
    <w:rsid w:val="005F1012"/>
    <w:rsid w:val="005F2288"/>
    <w:rsid w:val="005F7DB4"/>
    <w:rsid w:val="006247BC"/>
    <w:rsid w:val="006251D5"/>
    <w:rsid w:val="0065791C"/>
    <w:rsid w:val="00690B8A"/>
    <w:rsid w:val="006C2B61"/>
    <w:rsid w:val="006D15CC"/>
    <w:rsid w:val="006D1DFA"/>
    <w:rsid w:val="006D506B"/>
    <w:rsid w:val="006E3C90"/>
    <w:rsid w:val="00704B61"/>
    <w:rsid w:val="00707DB1"/>
    <w:rsid w:val="00713F83"/>
    <w:rsid w:val="007353BB"/>
    <w:rsid w:val="00742A8D"/>
    <w:rsid w:val="00746703"/>
    <w:rsid w:val="00747807"/>
    <w:rsid w:val="00752359"/>
    <w:rsid w:val="007552A9"/>
    <w:rsid w:val="00761858"/>
    <w:rsid w:val="00765112"/>
    <w:rsid w:val="00767D59"/>
    <w:rsid w:val="00776E97"/>
    <w:rsid w:val="00780FD7"/>
    <w:rsid w:val="00782772"/>
    <w:rsid w:val="007912AD"/>
    <w:rsid w:val="007A1F28"/>
    <w:rsid w:val="007B0824"/>
    <w:rsid w:val="007C0CD9"/>
    <w:rsid w:val="008303B8"/>
    <w:rsid w:val="00833DCE"/>
    <w:rsid w:val="00842418"/>
    <w:rsid w:val="008444AA"/>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650B2"/>
    <w:rsid w:val="00966ECF"/>
    <w:rsid w:val="009727A3"/>
    <w:rsid w:val="00987774"/>
    <w:rsid w:val="00996EA2"/>
    <w:rsid w:val="009A11E8"/>
    <w:rsid w:val="009D0C2C"/>
    <w:rsid w:val="009E4E62"/>
    <w:rsid w:val="009F5220"/>
    <w:rsid w:val="009F7C4D"/>
    <w:rsid w:val="00A123EF"/>
    <w:rsid w:val="00A12B6F"/>
    <w:rsid w:val="00A15234"/>
    <w:rsid w:val="00A201AB"/>
    <w:rsid w:val="00A31C8B"/>
    <w:rsid w:val="00A75965"/>
    <w:rsid w:val="00A845DC"/>
    <w:rsid w:val="00A90C98"/>
    <w:rsid w:val="00A97AEE"/>
    <w:rsid w:val="00AC5CF6"/>
    <w:rsid w:val="00AF5A03"/>
    <w:rsid w:val="00AF62D3"/>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B5599"/>
    <w:rsid w:val="00BD4196"/>
    <w:rsid w:val="00BE31CE"/>
    <w:rsid w:val="00BF22CA"/>
    <w:rsid w:val="00C11CD7"/>
    <w:rsid w:val="00C26032"/>
    <w:rsid w:val="00C265B0"/>
    <w:rsid w:val="00C321B5"/>
    <w:rsid w:val="00C345E1"/>
    <w:rsid w:val="00C431FA"/>
    <w:rsid w:val="00C977BA"/>
    <w:rsid w:val="00CA2E01"/>
    <w:rsid w:val="00CA451E"/>
    <w:rsid w:val="00CB6E35"/>
    <w:rsid w:val="00CE0043"/>
    <w:rsid w:val="00CE1A46"/>
    <w:rsid w:val="00CE26B2"/>
    <w:rsid w:val="00CF253F"/>
    <w:rsid w:val="00CF56B4"/>
    <w:rsid w:val="00CF61BB"/>
    <w:rsid w:val="00D20F09"/>
    <w:rsid w:val="00D2138F"/>
    <w:rsid w:val="00D22636"/>
    <w:rsid w:val="00D3305F"/>
    <w:rsid w:val="00D40FD9"/>
    <w:rsid w:val="00D45764"/>
    <w:rsid w:val="00D45A31"/>
    <w:rsid w:val="00D5108F"/>
    <w:rsid w:val="00D53769"/>
    <w:rsid w:val="00D65912"/>
    <w:rsid w:val="00D85C13"/>
    <w:rsid w:val="00D91BE3"/>
    <w:rsid w:val="00D94AFC"/>
    <w:rsid w:val="00DB70AE"/>
    <w:rsid w:val="00DB7231"/>
    <w:rsid w:val="00DC1C00"/>
    <w:rsid w:val="00DD5071"/>
    <w:rsid w:val="00DD5C39"/>
    <w:rsid w:val="00DE26AF"/>
    <w:rsid w:val="00DE4A6A"/>
    <w:rsid w:val="00DE7DB7"/>
    <w:rsid w:val="00E00A0A"/>
    <w:rsid w:val="00E05040"/>
    <w:rsid w:val="00E07F57"/>
    <w:rsid w:val="00E1040E"/>
    <w:rsid w:val="00E50BCE"/>
    <w:rsid w:val="00E61292"/>
    <w:rsid w:val="00E76309"/>
    <w:rsid w:val="00E77C4D"/>
    <w:rsid w:val="00E81D01"/>
    <w:rsid w:val="00E97C3E"/>
    <w:rsid w:val="00EB0E2A"/>
    <w:rsid w:val="00EC3DB1"/>
    <w:rsid w:val="00EE3E63"/>
    <w:rsid w:val="00EE45D8"/>
    <w:rsid w:val="00F004CD"/>
    <w:rsid w:val="00F13D39"/>
    <w:rsid w:val="00F22A22"/>
    <w:rsid w:val="00F22EDA"/>
    <w:rsid w:val="00F3224D"/>
    <w:rsid w:val="00F33E0E"/>
    <w:rsid w:val="00F5664C"/>
    <w:rsid w:val="00F70389"/>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AA8B5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2196</Words>
  <Characters>10531</Characters>
  <Application>Microsoft Office Word</Application>
  <DocSecurity>0</DocSecurity>
  <Lines>87</Lines>
  <Paragraphs>25</Paragraphs>
  <ScaleCrop>false</ScaleCrop>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2018-09-05T10:29:00Z</dcterms:created>
  <dcterms:modified xsi:type="dcterms:W3CDTF">2018-09-05T10:29:00Z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