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363" w:rsidRDefault="00564363" w:rsidP="005B6FD0">
      <w:pPr>
        <w:jc w:val="center"/>
        <w:rPr>
          <w:rFonts w:ascii="Book Antiqua" w:hAnsi="Book Antiqua" w:cs="Arial"/>
          <w:caps/>
          <w:color w:val="000000"/>
          <w:sz w:val="16"/>
          <w:szCs w:val="16"/>
        </w:rPr>
      </w:pPr>
    </w:p>
    <w:p w:rsidR="005B6FD0" w:rsidRPr="00890D1C" w:rsidRDefault="00BE68E9" w:rsidP="005B6FD0">
      <w:pPr>
        <w:jc w:val="center"/>
        <w:rPr>
          <w:rFonts w:ascii="Book Antiqua" w:hAnsi="Book Antiqua" w:cs="Arial"/>
          <w:caps/>
          <w:color w:val="000000"/>
          <w:sz w:val="16"/>
          <w:szCs w:val="16"/>
        </w:rPr>
      </w:pPr>
      <w:r>
        <w:rPr>
          <w:noProof/>
        </w:rPr>
        <w:drawing>
          <wp:inline distT="0" distB="0" distL="0" distR="0">
            <wp:extent cx="1188000" cy="10440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8000" cy="1044000"/>
                    </a:xfrm>
                    <a:prstGeom prst="rect">
                      <a:avLst/>
                    </a:prstGeom>
                    <a:noFill/>
                    <a:ln>
                      <a:noFill/>
                    </a:ln>
                  </pic:spPr>
                </pic:pic>
              </a:graphicData>
            </a:graphic>
          </wp:inline>
        </w:drawing>
      </w:r>
    </w:p>
    <w:p w:rsidR="005B6FD0" w:rsidRPr="00890D1C" w:rsidRDefault="005B6FD0" w:rsidP="00780F86">
      <w:pPr>
        <w:tabs>
          <w:tab w:val="right" w:pos="9720"/>
        </w:tabs>
        <w:ind w:right="-82"/>
        <w:rPr>
          <w:rFonts w:ascii="Book Antiqua" w:hAnsi="Book Antiqua" w:cs="Arial"/>
          <w:b/>
          <w:color w:val="000000"/>
        </w:rPr>
      </w:pPr>
      <w:r w:rsidRPr="00890D1C">
        <w:rPr>
          <w:rFonts w:ascii="Book Antiqua" w:hAnsi="Book Antiqua" w:cs="Arial"/>
          <w:b/>
          <w:color w:val="000000"/>
        </w:rPr>
        <w:t>Upper Tribunal</w:t>
      </w:r>
    </w:p>
    <w:p w:rsidR="007B0824" w:rsidRPr="00564363" w:rsidRDefault="005B6FD0" w:rsidP="00780F86">
      <w:pPr>
        <w:tabs>
          <w:tab w:val="right" w:pos="9720"/>
        </w:tabs>
        <w:ind w:right="-82"/>
        <w:rPr>
          <w:rFonts w:ascii="Book Antiqua" w:hAnsi="Book Antiqua" w:cs="Arial"/>
          <w:b/>
          <w:caps/>
          <w:color w:val="000000"/>
        </w:rPr>
      </w:pPr>
      <w:r w:rsidRPr="00890D1C">
        <w:rPr>
          <w:rFonts w:ascii="Book Antiqua" w:hAnsi="Book Antiqua" w:cs="Arial"/>
          <w:b/>
          <w:color w:val="000000"/>
        </w:rPr>
        <w:t xml:space="preserve">(Immigration and Asylum </w:t>
      </w:r>
      <w:proofErr w:type="gramStart"/>
      <w:r w:rsidRPr="00890D1C">
        <w:rPr>
          <w:rFonts w:ascii="Book Antiqua" w:hAnsi="Book Antiqua" w:cs="Arial"/>
          <w:b/>
          <w:color w:val="000000"/>
        </w:rPr>
        <w:t>Chamber)</w:t>
      </w:r>
      <w:bookmarkStart w:id="0" w:name="_Hlk514750109"/>
      <w:r w:rsidR="00564363">
        <w:rPr>
          <w:rFonts w:ascii="Book Antiqua" w:hAnsi="Book Antiqua" w:cs="Arial"/>
          <w:b/>
          <w:color w:val="000000"/>
        </w:rPr>
        <w:t xml:space="preserve">   </w:t>
      </w:r>
      <w:proofErr w:type="gramEnd"/>
      <w:r w:rsidR="00564363">
        <w:rPr>
          <w:rFonts w:ascii="Book Antiqua" w:hAnsi="Book Antiqua" w:cs="Arial"/>
          <w:b/>
          <w:color w:val="000000"/>
        </w:rPr>
        <w:t xml:space="preserve">                     </w:t>
      </w:r>
      <w:r w:rsidR="00B3524D" w:rsidRPr="00564363">
        <w:rPr>
          <w:rFonts w:ascii="Book Antiqua" w:hAnsi="Book Antiqua" w:cs="Arial"/>
          <w:b/>
          <w:color w:val="000000"/>
        </w:rPr>
        <w:t>Appeal Number</w:t>
      </w:r>
      <w:r w:rsidR="00D53769" w:rsidRPr="00564363">
        <w:rPr>
          <w:rFonts w:ascii="Book Antiqua" w:hAnsi="Book Antiqua" w:cs="Arial"/>
          <w:b/>
          <w:color w:val="000000"/>
        </w:rPr>
        <w:t>:</w:t>
      </w:r>
      <w:r w:rsidR="00B3524D" w:rsidRPr="00564363">
        <w:rPr>
          <w:rFonts w:ascii="Book Antiqua" w:hAnsi="Book Antiqua" w:cs="Arial"/>
          <w:b/>
          <w:color w:val="000000"/>
        </w:rPr>
        <w:t xml:space="preserve"> </w:t>
      </w:r>
      <w:r w:rsidR="001F43B4" w:rsidRPr="00564363">
        <w:rPr>
          <w:rFonts w:ascii="Book Antiqua" w:hAnsi="Book Antiqua" w:cs="Arial"/>
          <w:b/>
          <w:caps/>
          <w:color w:val="000000"/>
        </w:rPr>
        <w:t>PA/04785/2017</w:t>
      </w:r>
      <w:bookmarkEnd w:id="0"/>
    </w:p>
    <w:p w:rsidR="00C345E1" w:rsidRPr="00890D1C" w:rsidRDefault="00C345E1" w:rsidP="00C345E1">
      <w:pPr>
        <w:jc w:val="center"/>
        <w:rPr>
          <w:rFonts w:ascii="Book Antiqua" w:hAnsi="Book Antiqua" w:cs="Arial"/>
          <w:color w:val="000000"/>
        </w:rPr>
      </w:pPr>
    </w:p>
    <w:p w:rsidR="00C345E1" w:rsidRPr="00890D1C" w:rsidRDefault="00C345E1" w:rsidP="00C345E1">
      <w:pPr>
        <w:jc w:val="center"/>
        <w:rPr>
          <w:rFonts w:ascii="Book Antiqua" w:hAnsi="Book Antiqua" w:cs="Arial"/>
          <w:b/>
          <w:color w:val="000000"/>
          <w:u w:val="single"/>
        </w:rPr>
      </w:pPr>
      <w:r w:rsidRPr="00890D1C">
        <w:rPr>
          <w:rFonts w:ascii="Book Antiqua" w:hAnsi="Book Antiqua" w:cs="Arial"/>
          <w:b/>
          <w:color w:val="000000"/>
          <w:u w:val="single"/>
        </w:rPr>
        <w:t>THE IMMIGRATION ACTS</w:t>
      </w:r>
    </w:p>
    <w:p w:rsidR="00C345E1" w:rsidRPr="00890D1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070"/>
        <w:gridCol w:w="978"/>
        <w:gridCol w:w="3960"/>
      </w:tblGrid>
      <w:tr w:rsidR="00D22636" w:rsidRPr="009A0405" w:rsidTr="003D4D94">
        <w:tc>
          <w:tcPr>
            <w:tcW w:w="5070" w:type="dxa"/>
            <w:shd w:val="clear" w:color="auto" w:fill="auto"/>
          </w:tcPr>
          <w:p w:rsidR="00D22636" w:rsidRPr="009A0405" w:rsidRDefault="00D22636" w:rsidP="009A0405">
            <w:pPr>
              <w:jc w:val="both"/>
              <w:rPr>
                <w:rFonts w:ascii="Book Antiqua" w:hAnsi="Book Antiqua" w:cs="Arial"/>
                <w:b/>
              </w:rPr>
            </w:pPr>
            <w:r w:rsidRPr="009A0405">
              <w:rPr>
                <w:rFonts w:ascii="Book Antiqua" w:hAnsi="Book Antiqua" w:cs="Arial"/>
                <w:b/>
              </w:rPr>
              <w:t xml:space="preserve">Heard at </w:t>
            </w:r>
            <w:r w:rsidR="001F43B4" w:rsidRPr="009A0405">
              <w:rPr>
                <w:rFonts w:ascii="Book Antiqua" w:hAnsi="Book Antiqua" w:cs="Arial"/>
                <w:b/>
              </w:rPr>
              <w:t xml:space="preserve">Field House </w:t>
            </w:r>
          </w:p>
        </w:tc>
        <w:tc>
          <w:tcPr>
            <w:tcW w:w="4938" w:type="dxa"/>
            <w:gridSpan w:val="2"/>
            <w:shd w:val="clear" w:color="auto" w:fill="auto"/>
          </w:tcPr>
          <w:p w:rsidR="00D22636" w:rsidRPr="009A0405" w:rsidRDefault="00564363" w:rsidP="009A0405">
            <w:pPr>
              <w:jc w:val="both"/>
              <w:rPr>
                <w:rFonts w:ascii="Book Antiqua" w:hAnsi="Book Antiqua" w:cs="Arial"/>
                <w:b/>
                <w:color w:val="000000"/>
              </w:rPr>
            </w:pPr>
            <w:r>
              <w:rPr>
                <w:rFonts w:ascii="Book Antiqua" w:hAnsi="Book Antiqua" w:cs="Arial"/>
                <w:b/>
                <w:color w:val="000000"/>
              </w:rPr>
              <w:t xml:space="preserve">     </w:t>
            </w:r>
            <w:r w:rsidR="009268C6" w:rsidRPr="009A0405">
              <w:rPr>
                <w:rFonts w:ascii="Book Antiqua" w:hAnsi="Book Antiqua" w:cs="Arial"/>
                <w:b/>
                <w:color w:val="000000"/>
              </w:rPr>
              <w:t>Decision &amp; Reasons</w:t>
            </w:r>
            <w:r w:rsidR="00283659" w:rsidRPr="009A0405">
              <w:rPr>
                <w:rFonts w:ascii="Book Antiqua" w:hAnsi="Book Antiqua" w:cs="Arial"/>
                <w:b/>
                <w:color w:val="000000"/>
              </w:rPr>
              <w:t xml:space="preserve"> Promulgated</w:t>
            </w:r>
          </w:p>
        </w:tc>
      </w:tr>
      <w:tr w:rsidR="00D22636" w:rsidRPr="009A0405" w:rsidTr="003D4D94">
        <w:tc>
          <w:tcPr>
            <w:tcW w:w="5070" w:type="dxa"/>
            <w:shd w:val="clear" w:color="auto" w:fill="auto"/>
          </w:tcPr>
          <w:p w:rsidR="003D4D94" w:rsidRPr="009A0405" w:rsidRDefault="00D22636" w:rsidP="003D4D94">
            <w:pPr>
              <w:jc w:val="both"/>
              <w:rPr>
                <w:rFonts w:ascii="Book Antiqua" w:hAnsi="Book Antiqua" w:cs="Arial"/>
                <w:b/>
              </w:rPr>
            </w:pPr>
            <w:r w:rsidRPr="009A0405">
              <w:rPr>
                <w:rFonts w:ascii="Book Antiqua" w:hAnsi="Book Antiqua" w:cs="Arial"/>
                <w:b/>
              </w:rPr>
              <w:t xml:space="preserve">On </w:t>
            </w:r>
            <w:r w:rsidR="001F43B4" w:rsidRPr="009A0405">
              <w:rPr>
                <w:rFonts w:ascii="Book Antiqua" w:hAnsi="Book Antiqua" w:cs="Arial"/>
                <w:b/>
              </w:rPr>
              <w:t>14</w:t>
            </w:r>
            <w:bookmarkStart w:id="1" w:name="_GoBack"/>
            <w:bookmarkEnd w:id="1"/>
            <w:r w:rsidR="0049094E" w:rsidRPr="009A0405">
              <w:rPr>
                <w:rFonts w:ascii="Book Antiqua" w:hAnsi="Book Antiqua" w:cs="Arial"/>
                <w:b/>
              </w:rPr>
              <w:t xml:space="preserve"> May</w:t>
            </w:r>
            <w:r w:rsidR="001F43B4" w:rsidRPr="009A0405">
              <w:rPr>
                <w:rFonts w:ascii="Book Antiqua" w:hAnsi="Book Antiqua" w:cs="Arial"/>
                <w:b/>
              </w:rPr>
              <w:t xml:space="preserve"> 2018</w:t>
            </w:r>
          </w:p>
          <w:p w:rsidR="00D22636" w:rsidRPr="009A0405" w:rsidRDefault="001F43B4" w:rsidP="009A0405">
            <w:pPr>
              <w:jc w:val="both"/>
              <w:rPr>
                <w:rFonts w:ascii="Book Antiqua" w:hAnsi="Book Antiqua" w:cs="Arial"/>
                <w:b/>
              </w:rPr>
            </w:pPr>
            <w:r w:rsidRPr="009A0405">
              <w:rPr>
                <w:rFonts w:ascii="Book Antiqua" w:hAnsi="Book Antiqua" w:cs="Arial"/>
                <w:b/>
              </w:rPr>
              <w:t xml:space="preserve"> </w:t>
            </w:r>
          </w:p>
        </w:tc>
        <w:tc>
          <w:tcPr>
            <w:tcW w:w="4938" w:type="dxa"/>
            <w:gridSpan w:val="2"/>
            <w:shd w:val="clear" w:color="auto" w:fill="auto"/>
          </w:tcPr>
          <w:p w:rsidR="00D22636" w:rsidRPr="009A0405" w:rsidRDefault="00564363" w:rsidP="009A0405">
            <w:pPr>
              <w:jc w:val="both"/>
              <w:rPr>
                <w:rFonts w:ascii="Book Antiqua" w:hAnsi="Book Antiqua" w:cs="Arial"/>
                <w:b/>
              </w:rPr>
            </w:pPr>
            <w:r>
              <w:rPr>
                <w:rFonts w:ascii="Book Antiqua" w:hAnsi="Book Antiqua" w:cs="Arial"/>
                <w:b/>
              </w:rPr>
              <w:t xml:space="preserve">     </w:t>
            </w:r>
            <w:r w:rsidR="003D4D94">
              <w:rPr>
                <w:rFonts w:ascii="Book Antiqua" w:hAnsi="Book Antiqua" w:cs="Arial"/>
                <w:b/>
              </w:rPr>
              <w:t xml:space="preserve">On 22 May 2018 </w:t>
            </w:r>
          </w:p>
        </w:tc>
      </w:tr>
      <w:tr w:rsidR="003D4D94" w:rsidRPr="009A0405" w:rsidTr="009A0405">
        <w:trPr>
          <w:gridAfter w:val="1"/>
          <w:wAfter w:w="3960" w:type="dxa"/>
        </w:trPr>
        <w:tc>
          <w:tcPr>
            <w:tcW w:w="6048" w:type="dxa"/>
            <w:gridSpan w:val="2"/>
            <w:shd w:val="clear" w:color="auto" w:fill="auto"/>
          </w:tcPr>
          <w:p w:rsidR="003D4D94" w:rsidRPr="009A0405" w:rsidRDefault="003D4D94" w:rsidP="009A0405">
            <w:pPr>
              <w:jc w:val="both"/>
              <w:rPr>
                <w:rFonts w:ascii="Book Antiqua" w:hAnsi="Book Antiqua" w:cs="Arial"/>
                <w:b/>
              </w:rPr>
            </w:pPr>
          </w:p>
        </w:tc>
      </w:tr>
    </w:tbl>
    <w:p w:rsidR="00A15234" w:rsidRPr="00890D1C" w:rsidRDefault="00207617" w:rsidP="00A15234">
      <w:pPr>
        <w:jc w:val="center"/>
        <w:rPr>
          <w:rFonts w:ascii="Book Antiqua" w:hAnsi="Book Antiqua" w:cs="Arial"/>
          <w:b/>
        </w:rPr>
      </w:pPr>
      <w:r w:rsidRPr="00890D1C">
        <w:rPr>
          <w:rFonts w:ascii="Book Antiqua" w:hAnsi="Book Antiqua" w:cs="Arial"/>
          <w:b/>
        </w:rPr>
        <w:t>Befo</w:t>
      </w:r>
      <w:r w:rsidR="00A15234" w:rsidRPr="00890D1C">
        <w:rPr>
          <w:rFonts w:ascii="Book Antiqua" w:hAnsi="Book Antiqua" w:cs="Arial"/>
          <w:b/>
        </w:rPr>
        <w:t>re</w:t>
      </w:r>
    </w:p>
    <w:p w:rsidR="00A15234" w:rsidRPr="00890D1C" w:rsidRDefault="00A15234" w:rsidP="00A15234">
      <w:pPr>
        <w:jc w:val="center"/>
        <w:rPr>
          <w:rFonts w:ascii="Book Antiqua" w:hAnsi="Book Antiqua" w:cs="Arial"/>
          <w:b/>
        </w:rPr>
      </w:pPr>
    </w:p>
    <w:p w:rsidR="00D20757" w:rsidRPr="00890D1C" w:rsidRDefault="00564363" w:rsidP="00A15234">
      <w:pPr>
        <w:jc w:val="center"/>
        <w:rPr>
          <w:rFonts w:ascii="Book Antiqua" w:hAnsi="Book Antiqua" w:cs="Arial"/>
          <w:b/>
          <w:color w:val="000000"/>
        </w:rPr>
      </w:pPr>
      <w:r>
        <w:rPr>
          <w:rFonts w:ascii="Book Antiqua" w:hAnsi="Book Antiqua" w:cs="Arial"/>
          <w:b/>
          <w:color w:val="000000"/>
        </w:rPr>
        <w:t>UPPER TRIBUNAL</w:t>
      </w:r>
      <w:r w:rsidRPr="00890D1C">
        <w:rPr>
          <w:rFonts w:ascii="Book Antiqua" w:hAnsi="Book Antiqua" w:cs="Arial"/>
          <w:b/>
          <w:color w:val="000000"/>
        </w:rPr>
        <w:t xml:space="preserve"> JUDGE CHALKLEY</w:t>
      </w:r>
    </w:p>
    <w:p w:rsidR="001B186A" w:rsidRPr="00890D1C" w:rsidRDefault="001B186A" w:rsidP="00A15234">
      <w:pPr>
        <w:jc w:val="center"/>
        <w:rPr>
          <w:rFonts w:ascii="Book Antiqua" w:hAnsi="Book Antiqua" w:cs="Arial"/>
          <w:b/>
          <w:color w:val="000000"/>
        </w:rPr>
      </w:pPr>
    </w:p>
    <w:p w:rsidR="00A845DC" w:rsidRPr="00890D1C" w:rsidRDefault="00A845DC" w:rsidP="00A15234">
      <w:pPr>
        <w:jc w:val="center"/>
        <w:rPr>
          <w:rFonts w:ascii="Book Antiqua" w:hAnsi="Book Antiqua" w:cs="Arial"/>
          <w:b/>
        </w:rPr>
      </w:pPr>
      <w:r w:rsidRPr="00890D1C">
        <w:rPr>
          <w:rFonts w:ascii="Book Antiqua" w:hAnsi="Book Antiqua" w:cs="Arial"/>
          <w:b/>
        </w:rPr>
        <w:t>Between</w:t>
      </w:r>
    </w:p>
    <w:p w:rsidR="00A845DC" w:rsidRPr="00890D1C" w:rsidRDefault="00A845DC" w:rsidP="00A15234">
      <w:pPr>
        <w:jc w:val="center"/>
        <w:rPr>
          <w:rFonts w:ascii="Book Antiqua" w:hAnsi="Book Antiqua" w:cs="Arial"/>
          <w:b/>
        </w:rPr>
      </w:pPr>
    </w:p>
    <w:p w:rsidR="00A845DC" w:rsidRDefault="001F43B4" w:rsidP="00A15234">
      <w:pPr>
        <w:jc w:val="center"/>
        <w:rPr>
          <w:rFonts w:ascii="Book Antiqua" w:hAnsi="Book Antiqua" w:cs="Arial"/>
          <w:b/>
          <w:caps/>
        </w:rPr>
      </w:pPr>
      <w:r>
        <w:rPr>
          <w:rFonts w:ascii="Book Antiqua" w:hAnsi="Book Antiqua" w:cs="Arial"/>
          <w:b/>
          <w:caps/>
        </w:rPr>
        <w:t>Khalid mohammed hassan</w:t>
      </w:r>
    </w:p>
    <w:p w:rsidR="009268C6" w:rsidRPr="00564363" w:rsidRDefault="009268C6" w:rsidP="009268C6">
      <w:pPr>
        <w:jc w:val="center"/>
        <w:rPr>
          <w:rFonts w:ascii="Book Antiqua" w:hAnsi="Book Antiqua" w:cs="Arial"/>
          <w:caps/>
        </w:rPr>
      </w:pPr>
      <w:r w:rsidRPr="00564363">
        <w:rPr>
          <w:rFonts w:ascii="Book Antiqua" w:hAnsi="Book Antiqua" w:cs="Arial"/>
          <w:caps/>
        </w:rPr>
        <w:t xml:space="preserve">(ANONYMITY DIRECTION </w:t>
      </w:r>
      <w:r w:rsidR="001F43B4" w:rsidRPr="00564363">
        <w:rPr>
          <w:rFonts w:ascii="Book Antiqua" w:hAnsi="Book Antiqua" w:cs="Arial"/>
          <w:caps/>
        </w:rPr>
        <w:t>not made</w:t>
      </w:r>
      <w:r w:rsidRPr="00564363">
        <w:rPr>
          <w:rFonts w:ascii="Book Antiqua" w:hAnsi="Book Antiqua" w:cs="Arial"/>
          <w:caps/>
        </w:rPr>
        <w:t>)</w:t>
      </w:r>
    </w:p>
    <w:p w:rsidR="00704B61" w:rsidRPr="00890D1C" w:rsidRDefault="00704B61" w:rsidP="00704B61">
      <w:pPr>
        <w:jc w:val="right"/>
        <w:rPr>
          <w:rFonts w:ascii="Book Antiqua" w:hAnsi="Book Antiqua" w:cs="Arial"/>
          <w:u w:val="single"/>
        </w:rPr>
      </w:pPr>
      <w:r w:rsidRPr="00890D1C">
        <w:rPr>
          <w:rFonts w:ascii="Book Antiqua" w:hAnsi="Book Antiqua" w:cs="Arial"/>
          <w:u w:val="single"/>
        </w:rPr>
        <w:t>Appellant</w:t>
      </w:r>
    </w:p>
    <w:p w:rsidR="00564363" w:rsidRDefault="00564363" w:rsidP="00704B61">
      <w:pPr>
        <w:jc w:val="center"/>
        <w:rPr>
          <w:rFonts w:ascii="Book Antiqua" w:hAnsi="Book Antiqua" w:cs="Arial"/>
          <w:b/>
        </w:rPr>
      </w:pPr>
    </w:p>
    <w:p w:rsidR="00704B61" w:rsidRPr="00890D1C" w:rsidRDefault="00DD5071" w:rsidP="00704B61">
      <w:pPr>
        <w:jc w:val="center"/>
        <w:rPr>
          <w:rFonts w:ascii="Book Antiqua" w:hAnsi="Book Antiqua" w:cs="Arial"/>
          <w:b/>
        </w:rPr>
      </w:pPr>
      <w:r w:rsidRPr="00890D1C">
        <w:rPr>
          <w:rFonts w:ascii="Book Antiqua" w:hAnsi="Book Antiqua" w:cs="Arial"/>
          <w:b/>
        </w:rPr>
        <w:t>and</w:t>
      </w:r>
    </w:p>
    <w:p w:rsidR="00DD5071" w:rsidRDefault="00DD5071" w:rsidP="00704B61">
      <w:pPr>
        <w:jc w:val="center"/>
        <w:rPr>
          <w:rFonts w:ascii="Book Antiqua" w:hAnsi="Book Antiqua" w:cs="Arial"/>
          <w:b/>
        </w:rPr>
      </w:pPr>
    </w:p>
    <w:p w:rsidR="00564363" w:rsidRPr="00890D1C" w:rsidRDefault="00564363" w:rsidP="00704B61">
      <w:pPr>
        <w:jc w:val="center"/>
        <w:rPr>
          <w:rFonts w:ascii="Book Antiqua" w:hAnsi="Book Antiqua" w:cs="Arial"/>
          <w:b/>
        </w:rPr>
      </w:pPr>
      <w:r>
        <w:rPr>
          <w:rFonts w:ascii="Book Antiqua" w:hAnsi="Book Antiqua" w:cs="Arial"/>
          <w:b/>
        </w:rPr>
        <w:t>THE SECRETARY OF STATE FOR THE HOME DEPARTMENT</w:t>
      </w:r>
    </w:p>
    <w:p w:rsidR="00DD5071" w:rsidRPr="00890D1C" w:rsidRDefault="00DD5071" w:rsidP="00DD5071">
      <w:pPr>
        <w:jc w:val="right"/>
        <w:rPr>
          <w:rFonts w:ascii="Book Antiqua" w:hAnsi="Book Antiqua" w:cs="Arial"/>
          <w:u w:val="single"/>
        </w:rPr>
      </w:pPr>
      <w:r w:rsidRPr="00890D1C">
        <w:rPr>
          <w:rFonts w:ascii="Book Antiqua" w:hAnsi="Book Antiqua" w:cs="Arial"/>
          <w:u w:val="single"/>
        </w:rPr>
        <w:t>Respondent</w:t>
      </w:r>
    </w:p>
    <w:p w:rsidR="00DD5071" w:rsidRPr="00890D1C" w:rsidRDefault="00DD5071" w:rsidP="00DD5071">
      <w:pPr>
        <w:rPr>
          <w:rFonts w:ascii="Book Antiqua" w:hAnsi="Book Antiqua" w:cs="Arial"/>
          <w:u w:val="single"/>
        </w:rPr>
      </w:pPr>
    </w:p>
    <w:p w:rsidR="00DD5071" w:rsidRPr="00890D1C" w:rsidRDefault="00DD5071" w:rsidP="00DD5071">
      <w:pPr>
        <w:rPr>
          <w:rFonts w:ascii="Book Antiqua" w:hAnsi="Book Antiqua" w:cs="Arial"/>
          <w:u w:val="single"/>
        </w:rPr>
      </w:pPr>
    </w:p>
    <w:p w:rsidR="00DD5071" w:rsidRPr="00564363" w:rsidRDefault="00DE7DB7" w:rsidP="00DD5071">
      <w:pPr>
        <w:rPr>
          <w:rFonts w:ascii="Book Antiqua" w:hAnsi="Book Antiqua" w:cs="Arial"/>
        </w:rPr>
      </w:pPr>
      <w:r w:rsidRPr="00564363">
        <w:rPr>
          <w:rFonts w:ascii="Book Antiqua" w:hAnsi="Book Antiqua" w:cs="Arial"/>
          <w:b/>
          <w:u w:val="single"/>
        </w:rPr>
        <w:t>Representation</w:t>
      </w:r>
      <w:r w:rsidRPr="00564363">
        <w:rPr>
          <w:rFonts w:ascii="Book Antiqua" w:hAnsi="Book Antiqua" w:cs="Arial"/>
          <w:b/>
        </w:rPr>
        <w:t>:</w:t>
      </w:r>
    </w:p>
    <w:p w:rsidR="00DE7DB7" w:rsidRPr="00564363" w:rsidRDefault="00DE7DB7" w:rsidP="00DD5071">
      <w:pPr>
        <w:rPr>
          <w:rFonts w:ascii="Book Antiqua" w:hAnsi="Book Antiqua" w:cs="Arial"/>
        </w:rPr>
      </w:pPr>
    </w:p>
    <w:p w:rsidR="00DE7DB7" w:rsidRPr="00564363" w:rsidRDefault="00DE7DB7" w:rsidP="00DE7DB7">
      <w:pPr>
        <w:tabs>
          <w:tab w:val="left" w:pos="2520"/>
        </w:tabs>
        <w:rPr>
          <w:rFonts w:ascii="Book Antiqua" w:hAnsi="Book Antiqua" w:cs="Arial"/>
        </w:rPr>
      </w:pPr>
      <w:r w:rsidRPr="00564363">
        <w:rPr>
          <w:rFonts w:ascii="Book Antiqua" w:hAnsi="Book Antiqua" w:cs="Arial"/>
        </w:rPr>
        <w:t>For the Appellant:</w:t>
      </w:r>
      <w:r w:rsidRPr="00564363">
        <w:rPr>
          <w:rFonts w:ascii="Book Antiqua" w:hAnsi="Book Antiqua" w:cs="Arial"/>
        </w:rPr>
        <w:tab/>
      </w:r>
      <w:r w:rsidR="001F43B4" w:rsidRPr="00564363">
        <w:rPr>
          <w:rFonts w:ascii="Book Antiqua" w:hAnsi="Book Antiqua" w:cs="Arial"/>
        </w:rPr>
        <w:t xml:space="preserve">Ms J Fisher, Counsel instructed by Barnes Harrild &amp; Dyer Solicitors </w:t>
      </w:r>
    </w:p>
    <w:p w:rsidR="00DE7DB7" w:rsidRPr="00564363" w:rsidRDefault="00DE7DB7" w:rsidP="00DE7DB7">
      <w:pPr>
        <w:tabs>
          <w:tab w:val="left" w:pos="2520"/>
        </w:tabs>
        <w:rPr>
          <w:rFonts w:ascii="Book Antiqua" w:hAnsi="Book Antiqua" w:cs="Arial"/>
        </w:rPr>
      </w:pPr>
      <w:r w:rsidRPr="00564363">
        <w:rPr>
          <w:rFonts w:ascii="Book Antiqua" w:hAnsi="Book Antiqua" w:cs="Arial"/>
        </w:rPr>
        <w:t>For the Respondent:</w:t>
      </w:r>
      <w:r w:rsidRPr="00564363">
        <w:rPr>
          <w:rFonts w:ascii="Book Antiqua" w:hAnsi="Book Antiqua" w:cs="Arial"/>
        </w:rPr>
        <w:tab/>
      </w:r>
      <w:r w:rsidR="001F43B4" w:rsidRPr="00564363">
        <w:rPr>
          <w:rFonts w:ascii="Book Antiqua" w:hAnsi="Book Antiqua" w:cs="Arial"/>
        </w:rPr>
        <w:t xml:space="preserve">Mr T Wilding, </w:t>
      </w:r>
      <w:r w:rsidR="003D5E37" w:rsidRPr="00564363">
        <w:rPr>
          <w:rFonts w:ascii="Book Antiqua" w:hAnsi="Book Antiqua" w:cs="Arial"/>
        </w:rPr>
        <w:t xml:space="preserve">Senior </w:t>
      </w:r>
      <w:r w:rsidR="001F43B4" w:rsidRPr="00564363">
        <w:rPr>
          <w:rFonts w:ascii="Book Antiqua" w:hAnsi="Book Antiqua" w:cs="Arial"/>
        </w:rPr>
        <w:t xml:space="preserve">Home Office Presenting Officer </w:t>
      </w:r>
    </w:p>
    <w:p w:rsidR="00DE7DB7" w:rsidRPr="00564363" w:rsidRDefault="00DE7DB7" w:rsidP="00402B9E">
      <w:pPr>
        <w:tabs>
          <w:tab w:val="left" w:pos="2520"/>
        </w:tabs>
        <w:jc w:val="center"/>
        <w:rPr>
          <w:rFonts w:ascii="Book Antiqua" w:hAnsi="Book Antiqua" w:cs="Arial"/>
        </w:rPr>
      </w:pPr>
    </w:p>
    <w:p w:rsidR="0049094E" w:rsidRDefault="0049094E" w:rsidP="00BF23BB">
      <w:pPr>
        <w:tabs>
          <w:tab w:val="left" w:pos="567"/>
        </w:tabs>
        <w:ind w:left="567" w:hanging="567"/>
        <w:jc w:val="both"/>
        <w:rPr>
          <w:rFonts w:ascii="Book Antiqua" w:hAnsi="Book Antiqua" w:cs="Arial"/>
          <w:b/>
          <w:u w:val="single"/>
        </w:rPr>
      </w:pPr>
    </w:p>
    <w:p w:rsidR="00BF23BB" w:rsidRPr="001F43B4" w:rsidRDefault="008362D0" w:rsidP="0049094E">
      <w:pPr>
        <w:tabs>
          <w:tab w:val="left" w:pos="567"/>
        </w:tabs>
        <w:ind w:left="567" w:hanging="567"/>
        <w:jc w:val="center"/>
        <w:rPr>
          <w:rFonts w:ascii="Book Antiqua" w:hAnsi="Book Antiqua" w:cs="Arial"/>
          <w:b/>
          <w:u w:val="single"/>
        </w:rPr>
      </w:pPr>
      <w:r w:rsidRPr="001F43B4">
        <w:rPr>
          <w:rFonts w:ascii="Book Antiqua" w:hAnsi="Book Antiqua" w:cs="Arial"/>
          <w:b/>
          <w:u w:val="single"/>
        </w:rPr>
        <w:t>ANONYMITY</w:t>
      </w:r>
      <w:r>
        <w:rPr>
          <w:rFonts w:ascii="Book Antiqua" w:hAnsi="Book Antiqua" w:cs="Arial"/>
          <w:b/>
          <w:u w:val="single"/>
        </w:rPr>
        <w:t xml:space="preserve"> DIRECTION DISCHARGED</w:t>
      </w:r>
    </w:p>
    <w:p w:rsidR="001F43B4" w:rsidRDefault="001F43B4" w:rsidP="00BF23BB">
      <w:pPr>
        <w:tabs>
          <w:tab w:val="left" w:pos="567"/>
        </w:tabs>
        <w:ind w:left="567" w:hanging="567"/>
        <w:jc w:val="both"/>
        <w:rPr>
          <w:rFonts w:ascii="Book Antiqua" w:hAnsi="Book Antiqua" w:cs="Arial"/>
        </w:rPr>
      </w:pPr>
    </w:p>
    <w:p w:rsidR="001F43B4" w:rsidRPr="0049094E" w:rsidRDefault="001F43B4" w:rsidP="001F43B4">
      <w:pPr>
        <w:jc w:val="both"/>
        <w:rPr>
          <w:rFonts w:ascii="Book Antiqua" w:hAnsi="Book Antiqua" w:cs="Arial"/>
          <w:i/>
        </w:rPr>
      </w:pPr>
      <w:r w:rsidRPr="0049094E">
        <w:rPr>
          <w:rFonts w:ascii="Book Antiqua" w:hAnsi="Book Antiqua" w:cs="Arial"/>
          <w:i/>
        </w:rPr>
        <w:t>The First-tier Tribunal made an anonymity direction pursuant to Rule 45(4)(1) of the Asylum and Immigration Tribunal (Procedure) Rules 2005.  Counsel was unable to give me any proper reason for my continuing the anonymity direction and I therefore discharge it.</w:t>
      </w:r>
    </w:p>
    <w:p w:rsidR="00813344" w:rsidRDefault="00813344" w:rsidP="001F43B4">
      <w:pPr>
        <w:jc w:val="both"/>
        <w:rPr>
          <w:rFonts w:ascii="Book Antiqua" w:hAnsi="Book Antiqua" w:cs="Arial"/>
        </w:rPr>
      </w:pPr>
    </w:p>
    <w:p w:rsidR="008362D0" w:rsidRPr="00890D1C" w:rsidRDefault="008362D0" w:rsidP="008362D0">
      <w:pPr>
        <w:tabs>
          <w:tab w:val="left" w:pos="2520"/>
        </w:tabs>
        <w:jc w:val="center"/>
        <w:rPr>
          <w:rFonts w:ascii="Book Antiqua" w:hAnsi="Book Antiqua" w:cs="Arial"/>
        </w:rPr>
      </w:pPr>
      <w:r>
        <w:rPr>
          <w:rFonts w:ascii="Book Antiqua" w:hAnsi="Book Antiqua" w:cs="Arial"/>
          <w:b/>
          <w:u w:val="single"/>
        </w:rPr>
        <w:t xml:space="preserve">DECISION </w:t>
      </w:r>
      <w:r w:rsidRPr="00890D1C">
        <w:rPr>
          <w:rFonts w:ascii="Book Antiqua" w:hAnsi="Book Antiqua" w:cs="Arial"/>
          <w:b/>
          <w:u w:val="single"/>
        </w:rPr>
        <w:t>AND REASONS</w:t>
      </w:r>
    </w:p>
    <w:p w:rsidR="008362D0" w:rsidRDefault="008362D0" w:rsidP="001F43B4">
      <w:pPr>
        <w:jc w:val="both"/>
        <w:rPr>
          <w:rFonts w:ascii="Book Antiqua" w:hAnsi="Book Antiqua" w:cs="Arial"/>
        </w:rPr>
      </w:pPr>
    </w:p>
    <w:p w:rsidR="00692425" w:rsidRDefault="002F7E85" w:rsidP="00813344">
      <w:pPr>
        <w:ind w:left="567" w:hanging="567"/>
        <w:jc w:val="both"/>
        <w:rPr>
          <w:rFonts w:ascii="Book Antiqua" w:hAnsi="Book Antiqua" w:cs="Arial"/>
        </w:rPr>
      </w:pPr>
      <w:r>
        <w:rPr>
          <w:rFonts w:ascii="Book Antiqua" w:hAnsi="Book Antiqua" w:cs="Arial"/>
        </w:rPr>
        <w:t>1</w:t>
      </w:r>
      <w:r w:rsidR="00813344">
        <w:rPr>
          <w:rFonts w:ascii="Book Antiqua" w:hAnsi="Book Antiqua" w:cs="Arial"/>
        </w:rPr>
        <w:t>.</w:t>
      </w:r>
      <w:r w:rsidR="00813344">
        <w:rPr>
          <w:rFonts w:ascii="Book Antiqua" w:hAnsi="Book Antiqua" w:cs="Arial"/>
        </w:rPr>
        <w:tab/>
      </w:r>
      <w:r w:rsidR="00692425">
        <w:rPr>
          <w:rFonts w:ascii="Book Antiqua" w:hAnsi="Book Antiqua" w:cs="Arial"/>
        </w:rPr>
        <w:t>The appellant is a citizen of Iraq born on 1</w:t>
      </w:r>
      <w:r w:rsidR="00692425" w:rsidRPr="00692425">
        <w:rPr>
          <w:rFonts w:ascii="Book Antiqua" w:hAnsi="Book Antiqua" w:cs="Arial"/>
          <w:vertAlign w:val="superscript"/>
        </w:rPr>
        <w:t>st</w:t>
      </w:r>
      <w:r w:rsidR="0049094E">
        <w:rPr>
          <w:rFonts w:ascii="Book Antiqua" w:hAnsi="Book Antiqua" w:cs="Arial"/>
        </w:rPr>
        <w:t xml:space="preserve"> November</w:t>
      </w:r>
      <w:r w:rsidR="00692425">
        <w:rPr>
          <w:rFonts w:ascii="Book Antiqua" w:hAnsi="Book Antiqua" w:cs="Arial"/>
        </w:rPr>
        <w:t xml:space="preserve"> 1976.  He made an application to the respondent for recognition as a refugee, but in a decision dated 11</w:t>
      </w:r>
      <w:r w:rsidR="00692425" w:rsidRPr="00692425">
        <w:rPr>
          <w:rFonts w:ascii="Book Antiqua" w:hAnsi="Book Antiqua" w:cs="Arial"/>
          <w:vertAlign w:val="superscript"/>
        </w:rPr>
        <w:t>th</w:t>
      </w:r>
      <w:r w:rsidR="0049094E">
        <w:rPr>
          <w:rFonts w:ascii="Book Antiqua" w:hAnsi="Book Antiqua" w:cs="Arial"/>
        </w:rPr>
        <w:t xml:space="preserve"> May</w:t>
      </w:r>
      <w:r w:rsidR="00692425">
        <w:rPr>
          <w:rFonts w:ascii="Book Antiqua" w:hAnsi="Book Antiqua" w:cs="Arial"/>
        </w:rPr>
        <w:t xml:space="preserve"> 2017</w:t>
      </w:r>
      <w:r w:rsidR="0049094E">
        <w:rPr>
          <w:rFonts w:ascii="Book Antiqua" w:hAnsi="Book Antiqua" w:cs="Arial"/>
        </w:rPr>
        <w:t>,</w:t>
      </w:r>
      <w:r w:rsidR="00692425">
        <w:rPr>
          <w:rFonts w:ascii="Book Antiqua" w:hAnsi="Book Antiqua" w:cs="Arial"/>
        </w:rPr>
        <w:t xml:space="preserve"> the respondent concluded that he was not entitled to international protection to the </w:t>
      </w:r>
      <w:r w:rsidR="00AE2B3B">
        <w:rPr>
          <w:rFonts w:ascii="Book Antiqua" w:hAnsi="Book Antiqua" w:cs="Arial"/>
        </w:rPr>
        <w:t>grant</w:t>
      </w:r>
      <w:r w:rsidR="00692425">
        <w:rPr>
          <w:rFonts w:ascii="Book Antiqua" w:hAnsi="Book Antiqua" w:cs="Arial"/>
        </w:rPr>
        <w:t xml:space="preserve"> of other protection and/or the grant of leave to protect his human rights.  The </w:t>
      </w:r>
      <w:r w:rsidR="00692425">
        <w:rPr>
          <w:rFonts w:ascii="Book Antiqua" w:hAnsi="Book Antiqua" w:cs="Arial"/>
        </w:rPr>
        <w:lastRenderedPageBreak/>
        <w:t>appellant appealed and his appeal was heard by a First-tier Tribunal Judge (Judge A Khawar) at Taylor House on 19</w:t>
      </w:r>
      <w:r w:rsidR="00692425" w:rsidRPr="00692425">
        <w:rPr>
          <w:rFonts w:ascii="Book Antiqua" w:hAnsi="Book Antiqua" w:cs="Arial"/>
          <w:vertAlign w:val="superscript"/>
        </w:rPr>
        <w:t>th</w:t>
      </w:r>
      <w:r w:rsidR="00692425">
        <w:rPr>
          <w:rFonts w:ascii="Book Antiqua" w:hAnsi="Book Antiqua" w:cs="Arial"/>
        </w:rPr>
        <w:t xml:space="preserve"> </w:t>
      </w:r>
      <w:proofErr w:type="gramStart"/>
      <w:r w:rsidR="00692425">
        <w:rPr>
          <w:rFonts w:ascii="Book Antiqua" w:hAnsi="Book Antiqua" w:cs="Arial"/>
        </w:rPr>
        <w:t>June,</w:t>
      </w:r>
      <w:proofErr w:type="gramEnd"/>
      <w:r w:rsidR="00692425">
        <w:rPr>
          <w:rFonts w:ascii="Book Antiqua" w:hAnsi="Book Antiqua" w:cs="Arial"/>
        </w:rPr>
        <w:t xml:space="preserve"> 2017.  The judge’s </w:t>
      </w:r>
      <w:r w:rsidR="00B27A83">
        <w:rPr>
          <w:rFonts w:ascii="Book Antiqua" w:hAnsi="Book Antiqua" w:cs="Arial"/>
        </w:rPr>
        <w:t xml:space="preserve">determination </w:t>
      </w:r>
      <w:r w:rsidR="00692425">
        <w:rPr>
          <w:rFonts w:ascii="Book Antiqua" w:hAnsi="Book Antiqua" w:cs="Arial"/>
        </w:rPr>
        <w:t>was prepared</w:t>
      </w:r>
      <w:r w:rsidR="0049094E">
        <w:rPr>
          <w:rFonts w:ascii="Book Antiqua" w:hAnsi="Book Antiqua" w:cs="Arial"/>
        </w:rPr>
        <w:t>,</w:t>
      </w:r>
      <w:r w:rsidR="00692425">
        <w:rPr>
          <w:rFonts w:ascii="Book Antiqua" w:hAnsi="Book Antiqua" w:cs="Arial"/>
        </w:rPr>
        <w:t xml:space="preserve"> according to a note on the first page</w:t>
      </w:r>
      <w:r w:rsidR="0049094E">
        <w:rPr>
          <w:rFonts w:ascii="Book Antiqua" w:hAnsi="Book Antiqua" w:cs="Arial"/>
        </w:rPr>
        <w:t>,</w:t>
      </w:r>
      <w:r w:rsidR="00692425">
        <w:rPr>
          <w:rFonts w:ascii="Book Antiqua" w:hAnsi="Book Antiqua" w:cs="Arial"/>
        </w:rPr>
        <w:t xml:space="preserve"> on 17</w:t>
      </w:r>
      <w:r w:rsidR="00692425" w:rsidRPr="00692425">
        <w:rPr>
          <w:rFonts w:ascii="Book Antiqua" w:hAnsi="Book Antiqua" w:cs="Arial"/>
          <w:vertAlign w:val="superscript"/>
        </w:rPr>
        <w:t>th</w:t>
      </w:r>
      <w:r w:rsidR="0049094E">
        <w:rPr>
          <w:rFonts w:ascii="Book Antiqua" w:hAnsi="Book Antiqua" w:cs="Arial"/>
        </w:rPr>
        <w:t xml:space="preserve"> July</w:t>
      </w:r>
      <w:r w:rsidR="00692425">
        <w:rPr>
          <w:rFonts w:ascii="Book Antiqua" w:hAnsi="Book Antiqua" w:cs="Arial"/>
        </w:rPr>
        <w:t xml:space="preserve"> 2017 and</w:t>
      </w:r>
      <w:r w:rsidR="0049094E">
        <w:rPr>
          <w:rFonts w:ascii="Book Antiqua" w:hAnsi="Book Antiqua" w:cs="Arial"/>
        </w:rPr>
        <w:t>,</w:t>
      </w:r>
      <w:r w:rsidR="00692425">
        <w:rPr>
          <w:rFonts w:ascii="Book Antiqua" w:hAnsi="Book Antiqua" w:cs="Arial"/>
        </w:rPr>
        <w:t xml:space="preserve"> according to a note on the last page</w:t>
      </w:r>
      <w:r w:rsidR="0049094E">
        <w:rPr>
          <w:rFonts w:ascii="Book Antiqua" w:hAnsi="Book Antiqua" w:cs="Arial"/>
        </w:rPr>
        <w:t>,</w:t>
      </w:r>
      <w:r w:rsidR="00692425">
        <w:rPr>
          <w:rFonts w:ascii="Book Antiqua" w:hAnsi="Book Antiqua" w:cs="Arial"/>
        </w:rPr>
        <w:t xml:space="preserve"> was signed on 9</w:t>
      </w:r>
      <w:r w:rsidR="00692425" w:rsidRPr="00692425">
        <w:rPr>
          <w:rFonts w:ascii="Book Antiqua" w:hAnsi="Book Antiqua" w:cs="Arial"/>
          <w:vertAlign w:val="superscript"/>
        </w:rPr>
        <w:t>th</w:t>
      </w:r>
      <w:r w:rsidR="0049094E">
        <w:rPr>
          <w:rFonts w:ascii="Book Antiqua" w:hAnsi="Book Antiqua" w:cs="Arial"/>
        </w:rPr>
        <w:t xml:space="preserve"> November</w:t>
      </w:r>
      <w:r w:rsidR="00692425">
        <w:rPr>
          <w:rFonts w:ascii="Book Antiqua" w:hAnsi="Book Antiqua" w:cs="Arial"/>
        </w:rPr>
        <w:t xml:space="preserve"> 2017.  It was promulgated by the First-tier Tribunal on 14</w:t>
      </w:r>
      <w:r w:rsidR="00692425" w:rsidRPr="00692425">
        <w:rPr>
          <w:rFonts w:ascii="Book Antiqua" w:hAnsi="Book Antiqua" w:cs="Arial"/>
          <w:vertAlign w:val="superscript"/>
        </w:rPr>
        <w:t>th</w:t>
      </w:r>
      <w:r w:rsidR="0049094E">
        <w:rPr>
          <w:rFonts w:ascii="Book Antiqua" w:hAnsi="Book Antiqua" w:cs="Arial"/>
        </w:rPr>
        <w:t xml:space="preserve"> November</w:t>
      </w:r>
      <w:r w:rsidR="00692425">
        <w:rPr>
          <w:rFonts w:ascii="Book Antiqua" w:hAnsi="Book Antiqua" w:cs="Arial"/>
        </w:rPr>
        <w:t xml:space="preserve"> 2017.  </w:t>
      </w:r>
    </w:p>
    <w:p w:rsidR="00692425" w:rsidRDefault="00692425" w:rsidP="00813344">
      <w:pPr>
        <w:ind w:left="567" w:hanging="567"/>
        <w:jc w:val="both"/>
        <w:rPr>
          <w:rFonts w:ascii="Book Antiqua" w:hAnsi="Book Antiqua" w:cs="Arial"/>
        </w:rPr>
      </w:pPr>
    </w:p>
    <w:p w:rsidR="0049094E" w:rsidRDefault="002F7E85" w:rsidP="00813344">
      <w:pPr>
        <w:ind w:left="567" w:hanging="567"/>
        <w:jc w:val="both"/>
        <w:rPr>
          <w:rFonts w:ascii="Book Antiqua" w:hAnsi="Book Antiqua" w:cs="Arial"/>
        </w:rPr>
      </w:pPr>
      <w:r>
        <w:rPr>
          <w:rFonts w:ascii="Book Antiqua" w:hAnsi="Book Antiqua" w:cs="Arial"/>
        </w:rPr>
        <w:t>2</w:t>
      </w:r>
      <w:r w:rsidR="00692425">
        <w:rPr>
          <w:rFonts w:ascii="Book Antiqua" w:hAnsi="Book Antiqua" w:cs="Arial"/>
        </w:rPr>
        <w:t>.</w:t>
      </w:r>
      <w:r w:rsidR="00692425">
        <w:rPr>
          <w:rFonts w:ascii="Book Antiqua" w:hAnsi="Book Antiqua" w:cs="Arial"/>
        </w:rPr>
        <w:tab/>
        <w:t>The basis for the appellant’s claim to international protection was that when he was 10 years of age both his par</w:t>
      </w:r>
      <w:r w:rsidR="00624BC5">
        <w:rPr>
          <w:rFonts w:ascii="Book Antiqua" w:hAnsi="Book Antiqua" w:cs="Arial"/>
        </w:rPr>
        <w:t>e</w:t>
      </w:r>
      <w:r w:rsidR="00692425">
        <w:rPr>
          <w:rFonts w:ascii="Book Antiqua" w:hAnsi="Book Antiqua" w:cs="Arial"/>
        </w:rPr>
        <w:t>nts were killed and he was injured by his maternal uncles because they objected to the appellant’s mother’s marriage to the appellant’s father.  Subsequently</w:t>
      </w:r>
      <w:r w:rsidR="0049094E">
        <w:rPr>
          <w:rFonts w:ascii="Book Antiqua" w:hAnsi="Book Antiqua" w:cs="Arial"/>
        </w:rPr>
        <w:t>,</w:t>
      </w:r>
      <w:r w:rsidR="00692425">
        <w:rPr>
          <w:rFonts w:ascii="Book Antiqua" w:hAnsi="Book Antiqua" w:cs="Arial"/>
        </w:rPr>
        <w:t xml:space="preserve"> his two maternal uncles had, claimed the appellant, attempted to kill him on two occasions, first in 2004 when he was in h</w:t>
      </w:r>
      <w:r w:rsidR="0049094E">
        <w:rPr>
          <w:rFonts w:ascii="Book Antiqua" w:hAnsi="Book Antiqua" w:cs="Arial"/>
        </w:rPr>
        <w:t>ospital, and later in September</w:t>
      </w:r>
      <w:r w:rsidR="00692425">
        <w:rPr>
          <w:rFonts w:ascii="Book Antiqua" w:hAnsi="Book Antiqua" w:cs="Arial"/>
        </w:rPr>
        <w:t xml:space="preserve"> 2015</w:t>
      </w:r>
      <w:r w:rsidR="0049094E">
        <w:rPr>
          <w:rFonts w:ascii="Book Antiqua" w:hAnsi="Book Antiqua" w:cs="Arial"/>
        </w:rPr>
        <w:t>,</w:t>
      </w:r>
      <w:r w:rsidR="00692425">
        <w:rPr>
          <w:rFonts w:ascii="Book Antiqua" w:hAnsi="Book Antiqua" w:cs="Arial"/>
        </w:rPr>
        <w:t xml:space="preserve"> whilst he was cycling on his way to work.  </w:t>
      </w:r>
    </w:p>
    <w:p w:rsidR="0049094E" w:rsidRDefault="0049094E" w:rsidP="00813344">
      <w:pPr>
        <w:ind w:left="567" w:hanging="567"/>
        <w:jc w:val="both"/>
        <w:rPr>
          <w:rFonts w:ascii="Book Antiqua" w:hAnsi="Book Antiqua" w:cs="Arial"/>
        </w:rPr>
      </w:pPr>
    </w:p>
    <w:p w:rsidR="00813344" w:rsidRDefault="0049094E" w:rsidP="00813344">
      <w:pPr>
        <w:ind w:left="567" w:hanging="567"/>
        <w:jc w:val="both"/>
        <w:rPr>
          <w:rFonts w:ascii="Book Antiqua" w:hAnsi="Book Antiqua" w:cs="Arial"/>
        </w:rPr>
      </w:pPr>
      <w:r>
        <w:rPr>
          <w:rFonts w:ascii="Book Antiqua" w:hAnsi="Book Antiqua" w:cs="Arial"/>
        </w:rPr>
        <w:t>3.</w:t>
      </w:r>
      <w:r>
        <w:rPr>
          <w:rFonts w:ascii="Book Antiqua" w:hAnsi="Book Antiqua" w:cs="Arial"/>
        </w:rPr>
        <w:tab/>
      </w:r>
      <w:r w:rsidR="00692425">
        <w:rPr>
          <w:rFonts w:ascii="Book Antiqua" w:hAnsi="Book Antiqua" w:cs="Arial"/>
        </w:rPr>
        <w:t xml:space="preserve">The judge did not believe the appellant’s claim and made several </w:t>
      </w:r>
      <w:r>
        <w:rPr>
          <w:rFonts w:ascii="Book Antiqua" w:hAnsi="Book Antiqua" w:cs="Arial"/>
        </w:rPr>
        <w:t xml:space="preserve">adverse </w:t>
      </w:r>
      <w:r w:rsidR="00692425">
        <w:rPr>
          <w:rFonts w:ascii="Book Antiqua" w:hAnsi="Book Antiqua" w:cs="Arial"/>
        </w:rPr>
        <w:t>credibility findings</w:t>
      </w:r>
      <w:r>
        <w:rPr>
          <w:rFonts w:ascii="Book Antiqua" w:hAnsi="Book Antiqua" w:cs="Arial"/>
        </w:rPr>
        <w:t>.</w:t>
      </w:r>
      <w:r w:rsidR="00692425">
        <w:rPr>
          <w:rFonts w:ascii="Book Antiqua" w:hAnsi="Book Antiqua" w:cs="Arial"/>
        </w:rPr>
        <w:t xml:space="preserve"> </w:t>
      </w:r>
      <w:r>
        <w:rPr>
          <w:rFonts w:ascii="Book Antiqua" w:hAnsi="Book Antiqua" w:cs="Arial"/>
        </w:rPr>
        <w:t>T</w:t>
      </w:r>
      <w:r w:rsidR="00AC105A">
        <w:rPr>
          <w:rFonts w:ascii="Book Antiqua" w:hAnsi="Book Antiqua" w:cs="Arial"/>
        </w:rPr>
        <w:t xml:space="preserve">he judge found that the appellant would not be at risk on his return.  The judge applied </w:t>
      </w:r>
      <w:r w:rsidR="00AC105A" w:rsidRPr="00AC105A">
        <w:rPr>
          <w:rFonts w:ascii="Book Antiqua" w:hAnsi="Book Antiqua" w:cs="Arial"/>
          <w:i/>
        </w:rPr>
        <w:t>AA (Article 15(c)) Iraq CG</w:t>
      </w:r>
      <w:r w:rsidR="00AC105A">
        <w:rPr>
          <w:rFonts w:ascii="Book Antiqua" w:hAnsi="Book Antiqua" w:cs="Arial"/>
        </w:rPr>
        <w:t xml:space="preserve"> [2015] UKUT 544 (IAC) and concluded that the appellant could acquire such identity documents as he needed with the assistance of his three adoptive sisters in order to </w:t>
      </w:r>
      <w:proofErr w:type="gramStart"/>
      <w:r w:rsidR="00AC105A">
        <w:rPr>
          <w:rFonts w:ascii="Book Antiqua" w:hAnsi="Book Antiqua" w:cs="Arial"/>
        </w:rPr>
        <w:t>effect</w:t>
      </w:r>
      <w:proofErr w:type="gramEnd"/>
      <w:r w:rsidR="00AC105A">
        <w:rPr>
          <w:rFonts w:ascii="Book Antiqua" w:hAnsi="Book Antiqua" w:cs="Arial"/>
        </w:rPr>
        <w:t xml:space="preserve"> his travel to the Kurdish autonomous region without the need to transit Baghdad.  </w:t>
      </w:r>
      <w:r w:rsidR="00624BC5">
        <w:rPr>
          <w:rFonts w:ascii="Book Antiqua" w:hAnsi="Book Antiqua" w:cs="Arial"/>
        </w:rPr>
        <w:t xml:space="preserve">He dismissed the appellant’s asylum claim, he dismissed the appellant’s humanitarian protection claim and he dismissed the appellant’s human rights claim.  </w:t>
      </w:r>
    </w:p>
    <w:p w:rsidR="00B230DE" w:rsidRDefault="00B230DE" w:rsidP="00813344">
      <w:pPr>
        <w:ind w:left="567" w:hanging="567"/>
        <w:jc w:val="both"/>
        <w:rPr>
          <w:rFonts w:ascii="Book Antiqua" w:hAnsi="Book Antiqua" w:cs="Arial"/>
        </w:rPr>
      </w:pPr>
    </w:p>
    <w:p w:rsidR="00B230DE" w:rsidRDefault="0049094E" w:rsidP="00813344">
      <w:pPr>
        <w:ind w:left="567" w:hanging="567"/>
        <w:jc w:val="both"/>
        <w:rPr>
          <w:rFonts w:ascii="Book Antiqua" w:hAnsi="Book Antiqua" w:cs="Arial"/>
        </w:rPr>
      </w:pPr>
      <w:r>
        <w:rPr>
          <w:rFonts w:ascii="Book Antiqua" w:hAnsi="Book Antiqua" w:cs="Arial"/>
        </w:rPr>
        <w:t>4</w:t>
      </w:r>
      <w:r w:rsidR="00B230DE">
        <w:rPr>
          <w:rFonts w:ascii="Book Antiqua" w:hAnsi="Book Antiqua" w:cs="Arial"/>
        </w:rPr>
        <w:t>.</w:t>
      </w:r>
      <w:r w:rsidR="00B230DE">
        <w:rPr>
          <w:rFonts w:ascii="Book Antiqua" w:hAnsi="Book Antiqua" w:cs="Arial"/>
        </w:rPr>
        <w:tab/>
        <w:t xml:space="preserve">Dissatisfied </w:t>
      </w:r>
      <w:r w:rsidR="00245518">
        <w:rPr>
          <w:rFonts w:ascii="Book Antiqua" w:hAnsi="Book Antiqua" w:cs="Arial"/>
        </w:rPr>
        <w:t xml:space="preserve">with the judge’s </w:t>
      </w:r>
      <w:r w:rsidR="0024427E">
        <w:rPr>
          <w:rFonts w:ascii="Book Antiqua" w:hAnsi="Book Antiqua" w:cs="Arial"/>
        </w:rPr>
        <w:t xml:space="preserve">determination </w:t>
      </w:r>
      <w:r w:rsidR="00245518">
        <w:rPr>
          <w:rFonts w:ascii="Book Antiqua" w:hAnsi="Book Antiqua" w:cs="Arial"/>
        </w:rPr>
        <w:t xml:space="preserve">the appellant sought and was granted permission to </w:t>
      </w:r>
      <w:r w:rsidR="00F5508B">
        <w:rPr>
          <w:rFonts w:ascii="Book Antiqua" w:hAnsi="Book Antiqua" w:cs="Arial"/>
        </w:rPr>
        <w:t xml:space="preserve">appeal.  </w:t>
      </w:r>
      <w:r w:rsidR="00C96891">
        <w:rPr>
          <w:rFonts w:ascii="Book Antiqua" w:hAnsi="Book Antiqua" w:cs="Arial"/>
        </w:rPr>
        <w:t xml:space="preserve">At paragraphs 5 and 6 of the </w:t>
      </w:r>
      <w:r w:rsidR="00AE2B3B">
        <w:rPr>
          <w:rFonts w:ascii="Book Antiqua" w:hAnsi="Book Antiqua" w:cs="Arial"/>
        </w:rPr>
        <w:t>grant</w:t>
      </w:r>
      <w:r w:rsidR="00C96891">
        <w:rPr>
          <w:rFonts w:ascii="Book Antiqua" w:hAnsi="Book Antiqua" w:cs="Arial"/>
        </w:rPr>
        <w:t xml:space="preserve"> of permission, Upper Tribunal Judge Macleman said </w:t>
      </w:r>
      <w:proofErr w:type="gramStart"/>
      <w:r w:rsidR="00C96891">
        <w:rPr>
          <w:rFonts w:ascii="Book Antiqua" w:hAnsi="Book Antiqua" w:cs="Arial"/>
        </w:rPr>
        <w:t>this:</w:t>
      </w:r>
      <w:r w:rsidR="00AC7CEF">
        <w:rPr>
          <w:rFonts w:ascii="Book Antiqua" w:hAnsi="Book Antiqua" w:cs="Arial"/>
        </w:rPr>
        <w:t>-</w:t>
      </w:r>
      <w:proofErr w:type="gramEnd"/>
    </w:p>
    <w:p w:rsidR="00C96891" w:rsidRDefault="00C96891" w:rsidP="00813344">
      <w:pPr>
        <w:ind w:left="567" w:hanging="567"/>
        <w:jc w:val="both"/>
        <w:rPr>
          <w:rFonts w:ascii="Book Antiqua" w:hAnsi="Book Antiqua" w:cs="Arial"/>
        </w:rPr>
      </w:pPr>
    </w:p>
    <w:p w:rsidR="00C96891" w:rsidRDefault="00C96891" w:rsidP="00C96891">
      <w:pPr>
        <w:ind w:left="1701" w:hanging="567"/>
        <w:jc w:val="both"/>
        <w:rPr>
          <w:sz w:val="22"/>
          <w:szCs w:val="22"/>
        </w:rPr>
      </w:pPr>
      <w:r>
        <w:rPr>
          <w:rFonts w:ascii="Book Antiqua" w:hAnsi="Book Antiqua" w:cs="Arial"/>
        </w:rPr>
        <w:t>“</w:t>
      </w:r>
      <w:r>
        <w:rPr>
          <w:sz w:val="22"/>
          <w:szCs w:val="22"/>
        </w:rPr>
        <w:t>5.</w:t>
      </w:r>
      <w:r>
        <w:rPr>
          <w:sz w:val="22"/>
          <w:szCs w:val="22"/>
        </w:rPr>
        <w:tab/>
        <w:t>The hearing was on 19 June 2017.  The decision says on page 1 that it was prepared on 17 July 2017, but on page 11 had the date of signature as 9 November 2017.  It was promulgated on 14 November 2017.  There may be an explanation which does not cast any doubt on the safety of the credibility findings, but those were in part based on the oral evidence, and the explanation should at least arguably have been contained wi</w:t>
      </w:r>
      <w:r w:rsidR="00DE5406">
        <w:rPr>
          <w:sz w:val="22"/>
          <w:szCs w:val="22"/>
        </w:rPr>
        <w:t>t</w:t>
      </w:r>
      <w:r>
        <w:rPr>
          <w:sz w:val="22"/>
          <w:szCs w:val="22"/>
        </w:rPr>
        <w:t>hin the decision.</w:t>
      </w:r>
    </w:p>
    <w:p w:rsidR="00C96891" w:rsidRDefault="00C96891" w:rsidP="00C96891">
      <w:pPr>
        <w:ind w:left="1701" w:hanging="567"/>
        <w:jc w:val="both"/>
        <w:rPr>
          <w:sz w:val="22"/>
          <w:szCs w:val="22"/>
        </w:rPr>
      </w:pPr>
    </w:p>
    <w:p w:rsidR="00C96891" w:rsidRDefault="00C96891" w:rsidP="00C96891">
      <w:pPr>
        <w:ind w:left="1701" w:hanging="567"/>
        <w:jc w:val="both"/>
        <w:rPr>
          <w:rFonts w:ascii="Book Antiqua" w:hAnsi="Book Antiqua" w:cs="Arial"/>
        </w:rPr>
      </w:pPr>
      <w:r>
        <w:rPr>
          <w:sz w:val="22"/>
          <w:szCs w:val="22"/>
        </w:rPr>
        <w:t>6.</w:t>
      </w:r>
      <w:r>
        <w:rPr>
          <w:sz w:val="22"/>
          <w:szCs w:val="22"/>
        </w:rPr>
        <w:tab/>
        <w:t xml:space="preserve">While this </w:t>
      </w:r>
      <w:r w:rsidR="00AE2B3B">
        <w:rPr>
          <w:sz w:val="22"/>
          <w:szCs w:val="22"/>
        </w:rPr>
        <w:t>grant</w:t>
      </w:r>
      <w:r>
        <w:rPr>
          <w:sz w:val="22"/>
          <w:szCs w:val="22"/>
        </w:rPr>
        <w:t xml:space="preserve"> of permission is not restricted, it is made principally on the basis that </w:t>
      </w:r>
      <w:r w:rsidR="00AE2B3B">
        <w:rPr>
          <w:sz w:val="22"/>
          <w:szCs w:val="22"/>
        </w:rPr>
        <w:t>ground</w:t>
      </w:r>
      <w:r>
        <w:rPr>
          <w:sz w:val="22"/>
          <w:szCs w:val="22"/>
        </w:rPr>
        <w:t xml:space="preserve"> 1 merits consideration in the </w:t>
      </w:r>
      <w:r w:rsidR="00AE2B3B">
        <w:rPr>
          <w:sz w:val="22"/>
          <w:szCs w:val="22"/>
        </w:rPr>
        <w:t>light</w:t>
      </w:r>
      <w:r>
        <w:rPr>
          <w:sz w:val="22"/>
          <w:szCs w:val="22"/>
        </w:rPr>
        <w:t xml:space="preserve"> of an explanation from Judge Khawar.</w:t>
      </w:r>
      <w:r>
        <w:rPr>
          <w:rFonts w:ascii="Book Antiqua" w:hAnsi="Book Antiqua" w:cs="Arial"/>
        </w:rPr>
        <w:t>”</w:t>
      </w:r>
    </w:p>
    <w:p w:rsidR="00C96891" w:rsidRDefault="00C96891" w:rsidP="00813344">
      <w:pPr>
        <w:ind w:left="567" w:hanging="567"/>
        <w:jc w:val="both"/>
        <w:rPr>
          <w:rFonts w:ascii="Book Antiqua" w:hAnsi="Book Antiqua" w:cs="Arial"/>
        </w:rPr>
      </w:pPr>
    </w:p>
    <w:p w:rsidR="00C96891" w:rsidRDefault="0049094E" w:rsidP="00813344">
      <w:pPr>
        <w:ind w:left="567" w:hanging="567"/>
        <w:jc w:val="both"/>
        <w:rPr>
          <w:rFonts w:ascii="Book Antiqua" w:hAnsi="Book Antiqua" w:cs="Arial"/>
        </w:rPr>
      </w:pPr>
      <w:r>
        <w:rPr>
          <w:rFonts w:ascii="Book Antiqua" w:hAnsi="Book Antiqua" w:cs="Arial"/>
        </w:rPr>
        <w:t>5</w:t>
      </w:r>
      <w:r w:rsidR="00C96891">
        <w:rPr>
          <w:rFonts w:ascii="Book Antiqua" w:hAnsi="Book Antiqua" w:cs="Arial"/>
        </w:rPr>
        <w:t>.</w:t>
      </w:r>
      <w:r w:rsidR="00C96891">
        <w:rPr>
          <w:rFonts w:ascii="Book Antiqua" w:hAnsi="Book Antiqua" w:cs="Arial"/>
        </w:rPr>
        <w:tab/>
      </w:r>
      <w:r w:rsidR="00DE5406">
        <w:rPr>
          <w:rFonts w:ascii="Book Antiqua" w:hAnsi="Book Antiqua" w:cs="Arial"/>
        </w:rPr>
        <w:t xml:space="preserve">Judge Macleman pointed out that the second challenge relied on generalities about screening interviews, Section 8 of the 2004 Act and credibility and that the ground does not acknowledge the strength of the judge’s points and may turn out to be no more than a form of insistence and disagreement, that ground 3 was a vague assertion of lack of reasoning, and that ground 4 offered little, when the appellant said in oral evidence that he is in regular touch with relatives in Sulemniya.  </w:t>
      </w:r>
    </w:p>
    <w:p w:rsidR="00DE5406" w:rsidRDefault="00DE5406" w:rsidP="00813344">
      <w:pPr>
        <w:ind w:left="567" w:hanging="567"/>
        <w:jc w:val="both"/>
        <w:rPr>
          <w:rFonts w:ascii="Book Antiqua" w:hAnsi="Book Antiqua" w:cs="Arial"/>
        </w:rPr>
      </w:pPr>
    </w:p>
    <w:p w:rsidR="00DE5406" w:rsidRDefault="0049094E" w:rsidP="00813344">
      <w:pPr>
        <w:ind w:left="567" w:hanging="567"/>
        <w:jc w:val="both"/>
        <w:rPr>
          <w:rFonts w:ascii="Book Antiqua" w:hAnsi="Book Antiqua" w:cs="Arial"/>
        </w:rPr>
      </w:pPr>
      <w:r>
        <w:rPr>
          <w:rFonts w:ascii="Book Antiqua" w:hAnsi="Book Antiqua" w:cs="Arial"/>
        </w:rPr>
        <w:t>6</w:t>
      </w:r>
      <w:r w:rsidR="00DE5406">
        <w:rPr>
          <w:rFonts w:ascii="Book Antiqua" w:hAnsi="Book Antiqua" w:cs="Arial"/>
        </w:rPr>
        <w:t>.</w:t>
      </w:r>
      <w:r w:rsidR="00DE5406">
        <w:rPr>
          <w:rFonts w:ascii="Book Antiqua" w:hAnsi="Book Antiqua" w:cs="Arial"/>
        </w:rPr>
        <w:tab/>
        <w:t>At the hearing before me</w:t>
      </w:r>
      <w:r>
        <w:rPr>
          <w:rFonts w:ascii="Book Antiqua" w:hAnsi="Book Antiqua" w:cs="Arial"/>
        </w:rPr>
        <w:t>,</w:t>
      </w:r>
      <w:r w:rsidR="00DE5406">
        <w:rPr>
          <w:rFonts w:ascii="Book Antiqua" w:hAnsi="Book Antiqua" w:cs="Arial"/>
        </w:rPr>
        <w:t xml:space="preserve"> Counsel adopted her grounds and suggested that since the appeal was dismissed primarily on credibility grounds</w:t>
      </w:r>
      <w:r w:rsidR="00B87D3C">
        <w:rPr>
          <w:rFonts w:ascii="Book Antiqua" w:hAnsi="Book Antiqua" w:cs="Arial"/>
        </w:rPr>
        <w:t xml:space="preserve"> the delay in hearing this appeal and in promulgating the </w:t>
      </w:r>
      <w:r w:rsidR="0024427E">
        <w:rPr>
          <w:rFonts w:ascii="Book Antiqua" w:hAnsi="Book Antiqua" w:cs="Arial"/>
        </w:rPr>
        <w:t xml:space="preserve">determination </w:t>
      </w:r>
      <w:r w:rsidR="00B87D3C">
        <w:rPr>
          <w:rFonts w:ascii="Book Antiqua" w:hAnsi="Book Antiqua" w:cs="Arial"/>
        </w:rPr>
        <w:t xml:space="preserve">must be a cause for concern.  Amongst other cases she referred me to </w:t>
      </w:r>
      <w:r w:rsidR="00B87D3C" w:rsidRPr="00B87D3C">
        <w:rPr>
          <w:rFonts w:ascii="Book Antiqua" w:hAnsi="Book Antiqua" w:cs="Arial"/>
          <w:i/>
        </w:rPr>
        <w:t>Sambasivam v Secretary of State for the Home Department</w:t>
      </w:r>
      <w:r w:rsidR="00B87D3C">
        <w:rPr>
          <w:rFonts w:ascii="Book Antiqua" w:hAnsi="Book Antiqua" w:cs="Arial"/>
        </w:rPr>
        <w:t xml:space="preserve"> [1999] All ER (D) 1168 and to paragraphs 16 and 17 of the judgment of Potter LJ.  I pointed </w:t>
      </w:r>
      <w:r w:rsidR="00B87D3C">
        <w:rPr>
          <w:rFonts w:ascii="Book Antiqua" w:hAnsi="Book Antiqua" w:cs="Arial"/>
        </w:rPr>
        <w:lastRenderedPageBreak/>
        <w:t xml:space="preserve">out to Counsel that the </w:t>
      </w:r>
      <w:r w:rsidR="00FC3863">
        <w:rPr>
          <w:rFonts w:ascii="Book Antiqua" w:hAnsi="Book Antiqua" w:cs="Arial"/>
        </w:rPr>
        <w:t xml:space="preserve">determination </w:t>
      </w:r>
      <w:r w:rsidR="00B87D3C">
        <w:rPr>
          <w:rFonts w:ascii="Book Antiqua" w:hAnsi="Book Antiqua" w:cs="Arial"/>
        </w:rPr>
        <w:t xml:space="preserve">was </w:t>
      </w:r>
      <w:r w:rsidR="00B87D3C" w:rsidRPr="0049094E">
        <w:rPr>
          <w:rFonts w:ascii="Book Antiqua" w:hAnsi="Book Antiqua" w:cs="Arial"/>
          <w:b/>
        </w:rPr>
        <w:t>prepared</w:t>
      </w:r>
      <w:r w:rsidR="00B87D3C">
        <w:rPr>
          <w:rFonts w:ascii="Book Antiqua" w:hAnsi="Book Antiqua" w:cs="Arial"/>
        </w:rPr>
        <w:t xml:space="preserve"> some four weeks after the hearing </w:t>
      </w:r>
      <w:r>
        <w:rPr>
          <w:rFonts w:ascii="Book Antiqua" w:hAnsi="Book Antiqua" w:cs="Arial"/>
        </w:rPr>
        <w:t>although</w:t>
      </w:r>
      <w:r w:rsidR="00B87D3C">
        <w:rPr>
          <w:rFonts w:ascii="Book Antiqua" w:hAnsi="Book Antiqua" w:cs="Arial"/>
        </w:rPr>
        <w:t xml:space="preserve"> it was not actually </w:t>
      </w:r>
      <w:r w:rsidR="00B87D3C" w:rsidRPr="0049094E">
        <w:rPr>
          <w:rFonts w:ascii="Book Antiqua" w:hAnsi="Book Antiqua" w:cs="Arial"/>
          <w:b/>
        </w:rPr>
        <w:t xml:space="preserve">signed </w:t>
      </w:r>
      <w:r w:rsidR="00B87D3C">
        <w:rPr>
          <w:rFonts w:ascii="Book Antiqua" w:hAnsi="Book Antiqua" w:cs="Arial"/>
        </w:rPr>
        <w:t xml:space="preserve">until November.  In the case in question the delay exceeding three months was between the date of the hearing and the date of the </w:t>
      </w:r>
      <w:r w:rsidR="00B87D3C" w:rsidRPr="0049094E">
        <w:rPr>
          <w:rFonts w:ascii="Book Antiqua" w:hAnsi="Book Antiqua" w:cs="Arial"/>
          <w:b/>
        </w:rPr>
        <w:t xml:space="preserve">preparation </w:t>
      </w:r>
      <w:r w:rsidR="00B87D3C">
        <w:rPr>
          <w:rFonts w:ascii="Book Antiqua" w:hAnsi="Book Antiqua" w:cs="Arial"/>
        </w:rPr>
        <w:t xml:space="preserve">of the </w:t>
      </w:r>
      <w:r w:rsidR="005E4581">
        <w:rPr>
          <w:rFonts w:ascii="Book Antiqua" w:hAnsi="Book Antiqua" w:cs="Arial"/>
        </w:rPr>
        <w:t xml:space="preserve">determination.  </w:t>
      </w:r>
      <w:r w:rsidR="00B87D3C">
        <w:rPr>
          <w:rFonts w:ascii="Book Antiqua" w:hAnsi="Book Antiqua" w:cs="Arial"/>
        </w:rPr>
        <w:t xml:space="preserve">Here the </w:t>
      </w:r>
      <w:r w:rsidR="005E4581">
        <w:rPr>
          <w:rFonts w:ascii="Book Antiqua" w:hAnsi="Book Antiqua" w:cs="Arial"/>
        </w:rPr>
        <w:t xml:space="preserve">determination </w:t>
      </w:r>
      <w:r w:rsidR="00B87D3C">
        <w:rPr>
          <w:rFonts w:ascii="Book Antiqua" w:hAnsi="Book Antiqua" w:cs="Arial"/>
        </w:rPr>
        <w:t xml:space="preserve">was prepared some four weeks after the hearing and I did not see any merit in her challenge.  </w:t>
      </w:r>
    </w:p>
    <w:p w:rsidR="00B87D3C" w:rsidRDefault="00B87D3C" w:rsidP="00813344">
      <w:pPr>
        <w:ind w:left="567" w:hanging="567"/>
        <w:jc w:val="both"/>
        <w:rPr>
          <w:rFonts w:ascii="Book Antiqua" w:hAnsi="Book Antiqua" w:cs="Arial"/>
        </w:rPr>
      </w:pPr>
    </w:p>
    <w:p w:rsidR="00DE653F" w:rsidRDefault="007A3439" w:rsidP="00813344">
      <w:pPr>
        <w:ind w:left="567" w:hanging="567"/>
        <w:jc w:val="both"/>
        <w:rPr>
          <w:rFonts w:ascii="Book Antiqua" w:hAnsi="Book Antiqua" w:cs="Arial"/>
        </w:rPr>
      </w:pPr>
      <w:r>
        <w:rPr>
          <w:rFonts w:ascii="Book Antiqua" w:hAnsi="Book Antiqua" w:cs="Arial"/>
        </w:rPr>
        <w:t>7</w:t>
      </w:r>
      <w:r w:rsidR="00B87D3C">
        <w:rPr>
          <w:rFonts w:ascii="Book Antiqua" w:hAnsi="Book Antiqua" w:cs="Arial"/>
        </w:rPr>
        <w:t>.</w:t>
      </w:r>
      <w:r w:rsidR="00B87D3C">
        <w:rPr>
          <w:rFonts w:ascii="Book Antiqua" w:hAnsi="Book Antiqua" w:cs="Arial"/>
        </w:rPr>
        <w:tab/>
        <w:t xml:space="preserve">Counsel then took me through her second ground.  She referred me to paragraph 36 of the </w:t>
      </w:r>
      <w:r w:rsidR="005E4581">
        <w:rPr>
          <w:rFonts w:ascii="Book Antiqua" w:hAnsi="Book Antiqua" w:cs="Arial"/>
        </w:rPr>
        <w:t xml:space="preserve">determination </w:t>
      </w:r>
      <w:r w:rsidR="00B87D3C">
        <w:rPr>
          <w:rFonts w:ascii="Book Antiqua" w:hAnsi="Book Antiqua" w:cs="Arial"/>
        </w:rPr>
        <w:t>where the judge refers to paragraph 19 of the Secretary of State’s Reasons for Refusal Letter</w:t>
      </w:r>
      <w:r>
        <w:rPr>
          <w:rFonts w:ascii="Book Antiqua" w:hAnsi="Book Antiqua" w:cs="Arial"/>
        </w:rPr>
        <w:t>,</w:t>
      </w:r>
      <w:r w:rsidR="00B87D3C">
        <w:rPr>
          <w:rFonts w:ascii="Book Antiqua" w:hAnsi="Book Antiqua" w:cs="Arial"/>
        </w:rPr>
        <w:t xml:space="preserve"> wherein the respondent refers to the appellant’s answer to question 13 of the Asylum Interview Record where (in describing his adoptive family) the appellant said ... “</w:t>
      </w:r>
      <w:r w:rsidR="00B87D3C" w:rsidRPr="007A3439">
        <w:rPr>
          <w:i/>
          <w:sz w:val="22"/>
          <w:szCs w:val="22"/>
        </w:rPr>
        <w:t>He is a friend of my father, when the incident happened to me, my father took me to this family because my mother died</w:t>
      </w:r>
      <w:r w:rsidR="00B87D3C">
        <w:rPr>
          <w:rFonts w:ascii="Book Antiqua" w:hAnsi="Book Antiqua" w:cs="Arial"/>
        </w:rPr>
        <w:t xml:space="preserve">”.  In paragraph 36 the judge noted that the appellant had sought to correct this as being an error in his solicitors’ letter </w:t>
      </w:r>
      <w:r>
        <w:rPr>
          <w:rFonts w:ascii="Book Antiqua" w:hAnsi="Book Antiqua" w:cs="Arial"/>
        </w:rPr>
        <w:t xml:space="preserve">but that it did not explain why the appellant ha added, </w:t>
      </w:r>
      <w:r w:rsidR="00B87D3C">
        <w:rPr>
          <w:rFonts w:ascii="Book Antiqua" w:hAnsi="Book Antiqua" w:cs="Arial"/>
        </w:rPr>
        <w:t>“</w:t>
      </w:r>
      <w:r w:rsidR="00B87D3C" w:rsidRPr="007A3439">
        <w:rPr>
          <w:i/>
          <w:sz w:val="22"/>
          <w:szCs w:val="22"/>
        </w:rPr>
        <w:t>because my mother died</w:t>
      </w:r>
      <w:r w:rsidR="00B87D3C">
        <w:rPr>
          <w:rFonts w:ascii="Book Antiqua" w:hAnsi="Book Antiqua" w:cs="Arial"/>
        </w:rPr>
        <w:t xml:space="preserve">”.  Counsel suggested </w:t>
      </w:r>
      <w:r w:rsidR="00DE653F">
        <w:rPr>
          <w:rFonts w:ascii="Book Antiqua" w:hAnsi="Book Antiqua" w:cs="Arial"/>
        </w:rPr>
        <w:t xml:space="preserve">that the appellant’s solicitors had written </w:t>
      </w:r>
      <w:proofErr w:type="gramStart"/>
      <w:r w:rsidR="00DE653F">
        <w:rPr>
          <w:rFonts w:ascii="Book Antiqua" w:hAnsi="Book Antiqua" w:cs="Arial"/>
        </w:rPr>
        <w:t>giving an explanation of</w:t>
      </w:r>
      <w:proofErr w:type="gramEnd"/>
      <w:r w:rsidR="00DE653F">
        <w:rPr>
          <w:rFonts w:ascii="Book Antiqua" w:hAnsi="Book Antiqua" w:cs="Arial"/>
        </w:rPr>
        <w:t xml:space="preserve"> the replies to questions in interview and had sent their letter to the Home Office three days after the interview was conducted on 2</w:t>
      </w:r>
      <w:r w:rsidR="00DE653F" w:rsidRPr="00DE653F">
        <w:rPr>
          <w:rFonts w:ascii="Book Antiqua" w:hAnsi="Book Antiqua" w:cs="Arial"/>
          <w:vertAlign w:val="superscript"/>
        </w:rPr>
        <w:t>nd</w:t>
      </w:r>
      <w:r>
        <w:rPr>
          <w:rFonts w:ascii="Book Antiqua" w:hAnsi="Book Antiqua" w:cs="Arial"/>
        </w:rPr>
        <w:t xml:space="preserve"> March</w:t>
      </w:r>
      <w:r w:rsidR="00DE653F">
        <w:rPr>
          <w:rFonts w:ascii="Book Antiqua" w:hAnsi="Book Antiqua" w:cs="Arial"/>
        </w:rPr>
        <w:t xml:space="preserve"> 2017.  In that letter they point out that their </w:t>
      </w:r>
      <w:r w:rsidR="00AE2B3B">
        <w:rPr>
          <w:rFonts w:ascii="Book Antiqua" w:hAnsi="Book Antiqua" w:cs="Arial"/>
        </w:rPr>
        <w:t>client</w:t>
      </w:r>
      <w:r w:rsidR="00DE653F">
        <w:rPr>
          <w:rFonts w:ascii="Book Antiqua" w:hAnsi="Book Antiqua" w:cs="Arial"/>
        </w:rPr>
        <w:t xml:space="preserve"> </w:t>
      </w:r>
      <w:proofErr w:type="gramStart"/>
      <w:r w:rsidR="00DE653F">
        <w:rPr>
          <w:rFonts w:ascii="Book Antiqua" w:hAnsi="Book Antiqua" w:cs="Arial"/>
        </w:rPr>
        <w:t>answered</w:t>
      </w:r>
      <w:proofErr w:type="gramEnd"/>
      <w:r w:rsidR="00DE653F">
        <w:rPr>
          <w:rFonts w:ascii="Book Antiqua" w:hAnsi="Book Antiqua" w:cs="Arial"/>
        </w:rPr>
        <w:t xml:space="preserve"> “My father died in the incident, my father’s friend took me to his house”.  However, it appears at paragraph 38 that the judge has taken account of this explanation but says that this simply does not explain why in answer to question 13 the appellant had said “</w:t>
      </w:r>
      <w:r w:rsidR="00DE653F" w:rsidRPr="007A3439">
        <w:rPr>
          <w:i/>
          <w:sz w:val="22"/>
          <w:szCs w:val="22"/>
        </w:rPr>
        <w:t>because my mother died</w:t>
      </w:r>
      <w:r w:rsidR="00DE653F">
        <w:rPr>
          <w:rFonts w:ascii="Book Antiqua" w:hAnsi="Book Antiqua" w:cs="Arial"/>
        </w:rPr>
        <w:t xml:space="preserve">”.  His claim is that both his </w:t>
      </w:r>
      <w:r w:rsidR="00AE2B3B">
        <w:rPr>
          <w:rFonts w:ascii="Book Antiqua" w:hAnsi="Book Antiqua" w:cs="Arial"/>
        </w:rPr>
        <w:t>parents</w:t>
      </w:r>
      <w:r w:rsidR="00DE653F">
        <w:rPr>
          <w:rFonts w:ascii="Book Antiqua" w:hAnsi="Book Antiqua" w:cs="Arial"/>
        </w:rPr>
        <w:t xml:space="preserve"> were killed, and yet </w:t>
      </w:r>
      <w:r w:rsidR="005E4581">
        <w:rPr>
          <w:rFonts w:ascii="Book Antiqua" w:hAnsi="Book Antiqua" w:cs="Arial"/>
        </w:rPr>
        <w:t xml:space="preserve">at </w:t>
      </w:r>
      <w:r w:rsidR="00DE653F">
        <w:rPr>
          <w:rFonts w:ascii="Book Antiqua" w:hAnsi="Book Antiqua" w:cs="Arial"/>
        </w:rPr>
        <w:t xml:space="preserve">this point during </w:t>
      </w:r>
      <w:r>
        <w:rPr>
          <w:rFonts w:ascii="Book Antiqua" w:hAnsi="Book Antiqua" w:cs="Arial"/>
        </w:rPr>
        <w:t>his asylum interview he did not</w:t>
      </w:r>
      <w:r w:rsidR="00DE653F">
        <w:rPr>
          <w:rFonts w:ascii="Book Antiqua" w:hAnsi="Book Antiqua" w:cs="Arial"/>
        </w:rPr>
        <w:t xml:space="preserve"> and had not suggested that both his </w:t>
      </w:r>
      <w:r w:rsidR="00AE2B3B">
        <w:rPr>
          <w:rFonts w:ascii="Book Antiqua" w:hAnsi="Book Antiqua" w:cs="Arial"/>
        </w:rPr>
        <w:t>parents</w:t>
      </w:r>
      <w:r w:rsidR="00DE653F">
        <w:rPr>
          <w:rFonts w:ascii="Book Antiqua" w:hAnsi="Book Antiqua" w:cs="Arial"/>
        </w:rPr>
        <w:t xml:space="preserve"> were killed, rather that his mother was killed.  Counsel suggested that what the appellant had said during his interview should not be analysed in this way, but I pointed out to her that what the judge said did appear to be correct.  </w:t>
      </w:r>
      <w:r>
        <w:rPr>
          <w:rFonts w:ascii="Book Antiqua" w:hAnsi="Book Antiqua" w:cs="Arial"/>
        </w:rPr>
        <w:t>It was a finding open to the judge on the evidence before him.</w:t>
      </w:r>
    </w:p>
    <w:p w:rsidR="00DE653F" w:rsidRDefault="00DE653F" w:rsidP="00813344">
      <w:pPr>
        <w:ind w:left="567" w:hanging="567"/>
        <w:jc w:val="both"/>
        <w:rPr>
          <w:rFonts w:ascii="Book Antiqua" w:hAnsi="Book Antiqua" w:cs="Arial"/>
        </w:rPr>
      </w:pPr>
    </w:p>
    <w:p w:rsidR="00DE653F" w:rsidRDefault="007A3439" w:rsidP="00813344">
      <w:pPr>
        <w:ind w:left="567" w:hanging="567"/>
        <w:jc w:val="both"/>
        <w:rPr>
          <w:rFonts w:ascii="Book Antiqua" w:hAnsi="Book Antiqua" w:cs="Arial"/>
        </w:rPr>
      </w:pPr>
      <w:r>
        <w:rPr>
          <w:rFonts w:ascii="Book Antiqua" w:hAnsi="Book Antiqua" w:cs="Arial"/>
        </w:rPr>
        <w:t>8</w:t>
      </w:r>
      <w:r w:rsidR="00DE653F">
        <w:rPr>
          <w:rFonts w:ascii="Book Antiqua" w:hAnsi="Book Antiqua" w:cs="Arial"/>
        </w:rPr>
        <w:t>.</w:t>
      </w:r>
      <w:r w:rsidR="00DE653F">
        <w:rPr>
          <w:rFonts w:ascii="Book Antiqua" w:hAnsi="Book Antiqua" w:cs="Arial"/>
        </w:rPr>
        <w:tab/>
      </w:r>
      <w:r w:rsidR="00AC7CEF">
        <w:rPr>
          <w:rFonts w:ascii="Book Antiqua" w:hAnsi="Book Antiqua" w:cs="Arial"/>
        </w:rPr>
        <w:t>Counsel then took me to paragraph 37</w:t>
      </w:r>
      <w:r w:rsidR="001739E4">
        <w:rPr>
          <w:rFonts w:ascii="Book Antiqua" w:hAnsi="Book Antiqua" w:cs="Arial"/>
        </w:rPr>
        <w:t xml:space="preserve"> of the determination </w:t>
      </w:r>
      <w:r w:rsidR="00AC7CEF">
        <w:rPr>
          <w:rFonts w:ascii="Book Antiqua" w:hAnsi="Book Antiqua" w:cs="Arial"/>
        </w:rPr>
        <w:t>where there was</w:t>
      </w:r>
      <w:r>
        <w:rPr>
          <w:rFonts w:ascii="Book Antiqua" w:hAnsi="Book Antiqua" w:cs="Arial"/>
        </w:rPr>
        <w:t>,</w:t>
      </w:r>
      <w:r w:rsidR="00AC7CEF">
        <w:rPr>
          <w:rFonts w:ascii="Book Antiqua" w:hAnsi="Book Antiqua" w:cs="Arial"/>
        </w:rPr>
        <w:t xml:space="preserve"> what the judge believed to be</w:t>
      </w:r>
      <w:r>
        <w:rPr>
          <w:rFonts w:ascii="Book Antiqua" w:hAnsi="Book Antiqua" w:cs="Arial"/>
        </w:rPr>
        <w:t>,</w:t>
      </w:r>
      <w:r w:rsidR="00AC7CEF">
        <w:rPr>
          <w:rFonts w:ascii="Book Antiqua" w:hAnsi="Book Antiqua" w:cs="Arial"/>
        </w:rPr>
        <w:t xml:space="preserve"> a further difficulty with the appellant’s account</w:t>
      </w:r>
      <w:r>
        <w:rPr>
          <w:rFonts w:ascii="Book Antiqua" w:hAnsi="Book Antiqua" w:cs="Arial"/>
        </w:rPr>
        <w:t>,</w:t>
      </w:r>
      <w:r w:rsidR="00AC7CEF">
        <w:rPr>
          <w:rFonts w:ascii="Book Antiqua" w:hAnsi="Book Antiqua" w:cs="Arial"/>
        </w:rPr>
        <w:t xml:space="preserve"> because at the appellant’s screening interview in answer to question 4.1, when asked briefly to explain all </w:t>
      </w:r>
      <w:r w:rsidR="006558F9">
        <w:rPr>
          <w:rFonts w:ascii="Book Antiqua" w:hAnsi="Book Antiqua" w:cs="Arial"/>
        </w:rPr>
        <w:t xml:space="preserve">of </w:t>
      </w:r>
      <w:r w:rsidR="00AC7CEF">
        <w:rPr>
          <w:rFonts w:ascii="Book Antiqua" w:hAnsi="Book Antiqua" w:cs="Arial"/>
        </w:rPr>
        <w:t xml:space="preserve">the reasons why he cannot return to his home country the appellant </w:t>
      </w:r>
      <w:proofErr w:type="gramStart"/>
      <w:r w:rsidR="00AC7CEF">
        <w:rPr>
          <w:rFonts w:ascii="Book Antiqua" w:hAnsi="Book Antiqua" w:cs="Arial"/>
        </w:rPr>
        <w:t>said:-</w:t>
      </w:r>
      <w:proofErr w:type="gramEnd"/>
    </w:p>
    <w:p w:rsidR="00AC7CEF" w:rsidRDefault="00AC7CEF" w:rsidP="00813344">
      <w:pPr>
        <w:ind w:left="567" w:hanging="567"/>
        <w:jc w:val="both"/>
        <w:rPr>
          <w:rFonts w:ascii="Book Antiqua" w:hAnsi="Book Antiqua" w:cs="Arial"/>
        </w:rPr>
      </w:pPr>
    </w:p>
    <w:p w:rsidR="00AC7CEF" w:rsidRDefault="00AC7CEF" w:rsidP="00AC7CEF">
      <w:pPr>
        <w:ind w:left="1134" w:hanging="1134"/>
        <w:jc w:val="both"/>
        <w:rPr>
          <w:rFonts w:ascii="Book Antiqua" w:hAnsi="Book Antiqua" w:cs="Arial"/>
        </w:rPr>
      </w:pPr>
      <w:r>
        <w:rPr>
          <w:rFonts w:ascii="Book Antiqua" w:hAnsi="Book Antiqua" w:cs="Arial"/>
        </w:rPr>
        <w:tab/>
        <w:t>“</w:t>
      </w:r>
      <w:r w:rsidRPr="007A3439">
        <w:rPr>
          <w:i/>
          <w:sz w:val="22"/>
          <w:szCs w:val="22"/>
        </w:rPr>
        <w:t xml:space="preserve">My mum and dad were shot and killed when I was 10.  I was not sure if it was Iraqi or Iranian authorities who were responsible.  My life is not safe there and I </w:t>
      </w:r>
      <w:r w:rsidR="002F7E85" w:rsidRPr="007A3439">
        <w:rPr>
          <w:i/>
          <w:sz w:val="22"/>
          <w:szCs w:val="22"/>
        </w:rPr>
        <w:t>could</w:t>
      </w:r>
      <w:r w:rsidRPr="007A3439">
        <w:rPr>
          <w:i/>
          <w:sz w:val="22"/>
          <w:szCs w:val="22"/>
        </w:rPr>
        <w:t xml:space="preserve"> not leave until I reached the age I am now</w:t>
      </w:r>
      <w:r>
        <w:rPr>
          <w:rFonts w:ascii="Book Antiqua" w:hAnsi="Book Antiqua" w:cs="Arial"/>
        </w:rPr>
        <w:t>”.</w:t>
      </w:r>
    </w:p>
    <w:p w:rsidR="007A3439" w:rsidRDefault="009844F7" w:rsidP="00014594">
      <w:pPr>
        <w:ind w:left="567"/>
        <w:jc w:val="both"/>
        <w:rPr>
          <w:rFonts w:ascii="Book Antiqua" w:hAnsi="Book Antiqua" w:cs="Arial"/>
        </w:rPr>
      </w:pPr>
      <w:r>
        <w:rPr>
          <w:rFonts w:ascii="Book Antiqua" w:hAnsi="Book Antiqua" w:cs="Arial"/>
        </w:rPr>
        <w:t xml:space="preserve">Counsel told me that the explanation offered at paragraph 4.1 was not meant to be a </w:t>
      </w:r>
      <w:r w:rsidR="002F7E85">
        <w:rPr>
          <w:rFonts w:ascii="Book Antiqua" w:hAnsi="Book Antiqua" w:cs="Arial"/>
        </w:rPr>
        <w:t>definitive</w:t>
      </w:r>
      <w:r>
        <w:rPr>
          <w:rFonts w:ascii="Book Antiqua" w:hAnsi="Book Antiqua" w:cs="Arial"/>
        </w:rPr>
        <w:t xml:space="preserve"> response giving all the details of his asylum claim and it was not open</w:t>
      </w:r>
      <w:r w:rsidR="007A3439">
        <w:rPr>
          <w:rFonts w:ascii="Book Antiqua" w:hAnsi="Book Antiqua" w:cs="Arial"/>
        </w:rPr>
        <w:t>,</w:t>
      </w:r>
      <w:r>
        <w:rPr>
          <w:rFonts w:ascii="Book Antiqua" w:hAnsi="Book Antiqua" w:cs="Arial"/>
        </w:rPr>
        <w:t xml:space="preserve"> therefore</w:t>
      </w:r>
      <w:r w:rsidR="007A3439">
        <w:rPr>
          <w:rFonts w:ascii="Book Antiqua" w:hAnsi="Book Antiqua" w:cs="Arial"/>
        </w:rPr>
        <w:t>,</w:t>
      </w:r>
      <w:r>
        <w:rPr>
          <w:rFonts w:ascii="Book Antiqua" w:hAnsi="Book Antiqua" w:cs="Arial"/>
        </w:rPr>
        <w:t xml:space="preserve"> to the judge to criticise it in the way the judge has.  </w:t>
      </w:r>
      <w:r w:rsidR="007067E6">
        <w:rPr>
          <w:rFonts w:ascii="Book Antiqua" w:hAnsi="Book Antiqua" w:cs="Arial"/>
        </w:rPr>
        <w:t>The judge believed that at some point the appellant had changed his account, but that was unfair, suggested Counsel</w:t>
      </w:r>
      <w:r w:rsidR="007A3439">
        <w:rPr>
          <w:rFonts w:ascii="Book Antiqua" w:hAnsi="Book Antiqua" w:cs="Arial"/>
        </w:rPr>
        <w:t>,</w:t>
      </w:r>
      <w:r w:rsidR="007067E6">
        <w:rPr>
          <w:rFonts w:ascii="Book Antiqua" w:hAnsi="Book Antiqua" w:cs="Arial"/>
        </w:rPr>
        <w:t xml:space="preserve"> because the asylum screening interview was not meant to be a definitive statement of all the reasons he could not return to his native country.  </w:t>
      </w:r>
      <w:r w:rsidR="00E61F81">
        <w:rPr>
          <w:rFonts w:ascii="Book Antiqua" w:hAnsi="Book Antiqua" w:cs="Arial"/>
          <w:i/>
        </w:rPr>
        <w:t>YL (R</w:t>
      </w:r>
      <w:r w:rsidR="00F40CFB" w:rsidRPr="00F40CFB">
        <w:rPr>
          <w:rFonts w:ascii="Book Antiqua" w:hAnsi="Book Antiqua" w:cs="Arial"/>
          <w:i/>
        </w:rPr>
        <w:t>ely on SEF) China</w:t>
      </w:r>
      <w:r w:rsidR="00F40CFB">
        <w:rPr>
          <w:rFonts w:ascii="Book Antiqua" w:hAnsi="Book Antiqua" w:cs="Arial"/>
        </w:rPr>
        <w:t xml:space="preserve"> [2004] UKIAT 00145 reminds one that the screening interview is not done to establish in detail the reasons a person gives to support their claim to asylum.  The judge relied on the discrepancy and elevated it to a discrepancy beyond critical by referring to it in three paragraphs.  </w:t>
      </w:r>
    </w:p>
    <w:p w:rsidR="007A3439" w:rsidRDefault="007A3439" w:rsidP="007A3439">
      <w:pPr>
        <w:jc w:val="both"/>
        <w:rPr>
          <w:rFonts w:ascii="Book Antiqua" w:hAnsi="Book Antiqua" w:cs="Arial"/>
        </w:rPr>
      </w:pPr>
    </w:p>
    <w:p w:rsidR="00AC7CEF" w:rsidRDefault="007A3439" w:rsidP="007A3439">
      <w:pPr>
        <w:ind w:left="560" w:hanging="560"/>
        <w:jc w:val="both"/>
        <w:rPr>
          <w:rFonts w:ascii="Book Antiqua" w:hAnsi="Book Antiqua" w:cs="Arial"/>
        </w:rPr>
      </w:pPr>
      <w:r>
        <w:rPr>
          <w:rFonts w:ascii="Book Antiqua" w:hAnsi="Book Antiqua" w:cs="Arial"/>
        </w:rPr>
        <w:t>9.</w:t>
      </w:r>
      <w:r>
        <w:rPr>
          <w:rFonts w:ascii="Book Antiqua" w:hAnsi="Book Antiqua" w:cs="Arial"/>
        </w:rPr>
        <w:tab/>
      </w:r>
      <w:r w:rsidR="00F40CFB">
        <w:rPr>
          <w:rFonts w:ascii="Book Antiqua" w:hAnsi="Book Antiqua" w:cs="Arial"/>
        </w:rPr>
        <w:t>He then went on, she submitted, to rely</w:t>
      </w:r>
      <w:r w:rsidR="00FC05CD">
        <w:rPr>
          <w:rFonts w:ascii="Book Antiqua" w:hAnsi="Book Antiqua" w:cs="Arial"/>
        </w:rPr>
        <w:t xml:space="preserve"> on Section 8 of the 2004 Act, because on his journey from Iraq the appellant travelled </w:t>
      </w:r>
      <w:r w:rsidR="002F7E85">
        <w:rPr>
          <w:rFonts w:ascii="Book Antiqua" w:hAnsi="Book Antiqua" w:cs="Arial"/>
        </w:rPr>
        <w:t>through</w:t>
      </w:r>
      <w:r w:rsidR="00FC05CD">
        <w:rPr>
          <w:rFonts w:ascii="Book Antiqua" w:hAnsi="Book Antiqua" w:cs="Arial"/>
        </w:rPr>
        <w:t xml:space="preserve"> France and Germany.  She submitted </w:t>
      </w:r>
      <w:r w:rsidR="00FC05CD">
        <w:rPr>
          <w:rFonts w:ascii="Book Antiqua" w:hAnsi="Book Antiqua" w:cs="Arial"/>
        </w:rPr>
        <w:lastRenderedPageBreak/>
        <w:t xml:space="preserve">that the First-tier Tribunal Judge erred in elevating </w:t>
      </w:r>
      <w:r w:rsidR="00927804">
        <w:rPr>
          <w:rFonts w:ascii="Book Antiqua" w:hAnsi="Book Antiqua" w:cs="Arial"/>
        </w:rPr>
        <w:t xml:space="preserve">what were </w:t>
      </w:r>
      <w:r w:rsidR="002F7E85">
        <w:rPr>
          <w:rFonts w:ascii="Book Antiqua" w:hAnsi="Book Antiqua" w:cs="Arial"/>
        </w:rPr>
        <w:t>effectively</w:t>
      </w:r>
      <w:r w:rsidR="00927804">
        <w:rPr>
          <w:rFonts w:ascii="Book Antiqua" w:hAnsi="Book Antiqua" w:cs="Arial"/>
        </w:rPr>
        <w:t xml:space="preserve"> brief answers at the screening interview and opining how the appellant’s assailants would have attacked him at point blank range in paragraph 42 of the </w:t>
      </w:r>
      <w:r w:rsidR="0055599F">
        <w:rPr>
          <w:rFonts w:ascii="Book Antiqua" w:hAnsi="Book Antiqua" w:cs="Arial"/>
        </w:rPr>
        <w:t xml:space="preserve">determination.  </w:t>
      </w:r>
      <w:r w:rsidR="00927804">
        <w:rPr>
          <w:rFonts w:ascii="Book Antiqua" w:hAnsi="Book Antiqua" w:cs="Arial"/>
        </w:rPr>
        <w:t xml:space="preserve">There the appellant is criticised for offering no sensible explanation as to how two assailants attempted to kill him whilst he was in hospital.  The appellant claimed that his two uncles found him and tried to kill him in </w:t>
      </w:r>
      <w:r w:rsidR="002F7E85">
        <w:rPr>
          <w:rFonts w:ascii="Book Antiqua" w:hAnsi="Book Antiqua" w:cs="Arial"/>
        </w:rPr>
        <w:t>hospital</w:t>
      </w:r>
      <w:r w:rsidR="00A17E1F">
        <w:rPr>
          <w:rFonts w:ascii="Book Antiqua" w:hAnsi="Book Antiqua" w:cs="Arial"/>
        </w:rPr>
        <w:t xml:space="preserve">, they </w:t>
      </w:r>
      <w:r w:rsidR="00927804">
        <w:rPr>
          <w:rFonts w:ascii="Book Antiqua" w:hAnsi="Book Antiqua" w:cs="Arial"/>
        </w:rPr>
        <w:t xml:space="preserve">took the medication out of his hands and the appellant had to shout for security to intervene and got him out.  The judge said that there was simply nothing to prevent the uncles from shooting the appellant dead rather than </w:t>
      </w:r>
      <w:r w:rsidR="002F7E85">
        <w:rPr>
          <w:rFonts w:ascii="Book Antiqua" w:hAnsi="Book Antiqua" w:cs="Arial"/>
        </w:rPr>
        <w:t>attempting</w:t>
      </w:r>
      <w:r w:rsidR="00927804">
        <w:rPr>
          <w:rFonts w:ascii="Book Antiqua" w:hAnsi="Book Antiqua" w:cs="Arial"/>
        </w:rPr>
        <w:t xml:space="preserve"> to take his medication from him.  The judge went on to make further criticisms in relation to what the appellant claimed was an attempt by his uncles to kill him in 2015.  He was riding his bike to work on a route that he had used frequently and the judge pointed out that he could easily have been brought down by two armed men and shot at point </w:t>
      </w:r>
      <w:r w:rsidR="002F7E85">
        <w:rPr>
          <w:rFonts w:ascii="Book Antiqua" w:hAnsi="Book Antiqua" w:cs="Arial"/>
        </w:rPr>
        <w:t>blank</w:t>
      </w:r>
      <w:r w:rsidR="00927804">
        <w:rPr>
          <w:rFonts w:ascii="Book Antiqua" w:hAnsi="Book Antiqua" w:cs="Arial"/>
        </w:rPr>
        <w:t xml:space="preserve"> range if that was the case.  </w:t>
      </w:r>
      <w:r w:rsidR="00BB1082">
        <w:rPr>
          <w:rFonts w:ascii="Book Antiqua" w:hAnsi="Book Antiqua" w:cs="Arial"/>
        </w:rPr>
        <w:t xml:space="preserve">According to the appellant he carried on living at the same family farm after 2007 and was involved in </w:t>
      </w:r>
      <w:r w:rsidR="00014594">
        <w:rPr>
          <w:rFonts w:ascii="Book Antiqua" w:hAnsi="Book Antiqua" w:cs="Arial"/>
        </w:rPr>
        <w:t xml:space="preserve">farming along with his adoptive father.  In oral evidence he claimed that he had been helping his adopted father in looking after animals and when questioned during oral evidence he asserted that for a while his uncles did not know that he was alive.  However, he failed to offer any explanation as to how he was aware of that fact.  </w:t>
      </w:r>
      <w:r w:rsidR="00BB1082">
        <w:rPr>
          <w:rFonts w:ascii="Book Antiqua" w:hAnsi="Book Antiqua" w:cs="Arial"/>
        </w:rPr>
        <w:t xml:space="preserve"> </w:t>
      </w:r>
    </w:p>
    <w:p w:rsidR="009844F7" w:rsidRDefault="009844F7" w:rsidP="00813344">
      <w:pPr>
        <w:ind w:left="567" w:hanging="567"/>
        <w:jc w:val="both"/>
        <w:rPr>
          <w:rFonts w:ascii="Book Antiqua" w:hAnsi="Book Antiqua" w:cs="Arial"/>
        </w:rPr>
      </w:pPr>
    </w:p>
    <w:p w:rsidR="009844F7" w:rsidRDefault="007A3439" w:rsidP="00813344">
      <w:pPr>
        <w:ind w:left="567" w:hanging="567"/>
        <w:jc w:val="both"/>
        <w:rPr>
          <w:rFonts w:ascii="Book Antiqua" w:hAnsi="Book Antiqua" w:cs="Arial"/>
        </w:rPr>
      </w:pPr>
      <w:r>
        <w:rPr>
          <w:rFonts w:ascii="Book Antiqua" w:hAnsi="Book Antiqua" w:cs="Arial"/>
        </w:rPr>
        <w:t>10</w:t>
      </w:r>
      <w:r w:rsidR="009844F7">
        <w:rPr>
          <w:rFonts w:ascii="Book Antiqua" w:hAnsi="Book Antiqua" w:cs="Arial"/>
        </w:rPr>
        <w:t>.</w:t>
      </w:r>
      <w:r w:rsidR="009844F7">
        <w:rPr>
          <w:rFonts w:ascii="Book Antiqua" w:hAnsi="Book Antiqua" w:cs="Arial"/>
        </w:rPr>
        <w:tab/>
      </w:r>
      <w:r w:rsidR="00BC2599">
        <w:rPr>
          <w:rFonts w:ascii="Book Antiqua" w:hAnsi="Book Antiqua" w:cs="Arial"/>
        </w:rPr>
        <w:t xml:space="preserve">The third challenge suggests that the findings lack proper reasoning and are flawed and the fourth </w:t>
      </w:r>
      <w:r w:rsidR="002F7E85">
        <w:rPr>
          <w:rFonts w:ascii="Book Antiqua" w:hAnsi="Book Antiqua" w:cs="Arial"/>
        </w:rPr>
        <w:t>ground</w:t>
      </w:r>
      <w:r w:rsidR="00BC2599">
        <w:rPr>
          <w:rFonts w:ascii="Book Antiqua" w:hAnsi="Book Antiqua" w:cs="Arial"/>
        </w:rPr>
        <w:t xml:space="preserve"> suggested that the judge had dealt with the question of documentation by sweeping it away largely on the basis that the appellant’s adopted sisters would be able to help obtain documents for him, and as the grounds put it, “thus paid lip service to case law in AA Iraq [2016] EWCA Civ 779”.  The judge further failed to acknowledge that the Secretary of State had accepted that the appellant would not be able to go back to his own home area as it was bombed by Turkish troops, merely stating that he could relocate, but there was no attempt to explain why it would not be unduly harsh to expect him to relocate.  The judge has failed to deal with the question of internal flight.  </w:t>
      </w:r>
    </w:p>
    <w:p w:rsidR="00BC2599" w:rsidRDefault="00BC2599" w:rsidP="00813344">
      <w:pPr>
        <w:ind w:left="567" w:hanging="567"/>
        <w:jc w:val="both"/>
        <w:rPr>
          <w:rFonts w:ascii="Book Antiqua" w:hAnsi="Book Antiqua" w:cs="Arial"/>
        </w:rPr>
      </w:pPr>
    </w:p>
    <w:p w:rsidR="007A3439" w:rsidRDefault="007A3439" w:rsidP="00813344">
      <w:pPr>
        <w:ind w:left="567" w:hanging="567"/>
        <w:jc w:val="both"/>
        <w:rPr>
          <w:rFonts w:ascii="Book Antiqua" w:hAnsi="Book Antiqua" w:cs="Arial"/>
        </w:rPr>
      </w:pPr>
      <w:r>
        <w:rPr>
          <w:rFonts w:ascii="Book Antiqua" w:hAnsi="Book Antiqua" w:cs="Arial"/>
        </w:rPr>
        <w:t>11.</w:t>
      </w:r>
      <w:r w:rsidR="00BC2599">
        <w:rPr>
          <w:rFonts w:ascii="Book Antiqua" w:hAnsi="Book Antiqua" w:cs="Arial"/>
        </w:rPr>
        <w:tab/>
        <w:t>Responding briefly on behalf of the Secretary of State</w:t>
      </w:r>
      <w:r>
        <w:rPr>
          <w:rFonts w:ascii="Book Antiqua" w:hAnsi="Book Antiqua" w:cs="Arial"/>
        </w:rPr>
        <w:t>,</w:t>
      </w:r>
      <w:r w:rsidR="00BC2599">
        <w:rPr>
          <w:rFonts w:ascii="Book Antiqua" w:hAnsi="Book Antiqua" w:cs="Arial"/>
        </w:rPr>
        <w:t xml:space="preserve"> Mr Wilding suggested that as to the promulgation of the judge’s </w:t>
      </w:r>
      <w:r w:rsidR="00045E01">
        <w:rPr>
          <w:rFonts w:ascii="Book Antiqua" w:hAnsi="Book Antiqua" w:cs="Arial"/>
        </w:rPr>
        <w:t xml:space="preserve">determination </w:t>
      </w:r>
      <w:r w:rsidR="00BC2599">
        <w:rPr>
          <w:rFonts w:ascii="Book Antiqua" w:hAnsi="Book Antiqua" w:cs="Arial"/>
        </w:rPr>
        <w:t xml:space="preserve">the fact that promulgation took place in November following a hearing in June did not make the </w:t>
      </w:r>
      <w:r w:rsidR="00B45CB3">
        <w:rPr>
          <w:rFonts w:ascii="Book Antiqua" w:hAnsi="Book Antiqua" w:cs="Arial"/>
        </w:rPr>
        <w:t xml:space="preserve">determination </w:t>
      </w:r>
      <w:r w:rsidR="00BC2599">
        <w:rPr>
          <w:rFonts w:ascii="Book Antiqua" w:hAnsi="Book Antiqua" w:cs="Arial"/>
        </w:rPr>
        <w:t>in any way unsatisfactory.  The appeal was heard on 19</w:t>
      </w:r>
      <w:r w:rsidR="00BC2599" w:rsidRPr="00BC2599">
        <w:rPr>
          <w:rFonts w:ascii="Book Antiqua" w:hAnsi="Book Antiqua" w:cs="Arial"/>
          <w:vertAlign w:val="superscript"/>
        </w:rPr>
        <w:t>th</w:t>
      </w:r>
      <w:r w:rsidR="00BC2599">
        <w:rPr>
          <w:rFonts w:ascii="Book Antiqua" w:hAnsi="Book Antiqua" w:cs="Arial"/>
        </w:rPr>
        <w:t xml:space="preserve"> June and some four weeks later the judge dictated his </w:t>
      </w:r>
      <w:r w:rsidR="00121611">
        <w:rPr>
          <w:rFonts w:ascii="Book Antiqua" w:hAnsi="Book Antiqua" w:cs="Arial"/>
        </w:rPr>
        <w:t xml:space="preserve">determination.  </w:t>
      </w:r>
      <w:r w:rsidR="00BC2599">
        <w:rPr>
          <w:rFonts w:ascii="Book Antiqua" w:hAnsi="Book Antiqua" w:cs="Arial"/>
        </w:rPr>
        <w:t xml:space="preserve">It was not typed and signed by him until November, but it </w:t>
      </w:r>
      <w:r w:rsidR="002F7E85">
        <w:rPr>
          <w:rFonts w:ascii="Book Antiqua" w:hAnsi="Book Antiqua" w:cs="Arial"/>
        </w:rPr>
        <w:t>clearly</w:t>
      </w:r>
      <w:r w:rsidR="00BC2599">
        <w:rPr>
          <w:rFonts w:ascii="Book Antiqua" w:hAnsi="Book Antiqua" w:cs="Arial"/>
        </w:rPr>
        <w:t xml:space="preserve"> was prepared by him some four weeks after the hearing.  </w:t>
      </w:r>
      <w:r w:rsidR="007D35BA">
        <w:rPr>
          <w:rFonts w:ascii="Book Antiqua" w:hAnsi="Book Antiqua" w:cs="Arial"/>
        </w:rPr>
        <w:t xml:space="preserve">There is, therefore, no merit in the first challenge.  </w:t>
      </w:r>
    </w:p>
    <w:p w:rsidR="007A3439" w:rsidRDefault="007A3439" w:rsidP="00813344">
      <w:pPr>
        <w:ind w:left="567" w:hanging="567"/>
        <w:jc w:val="both"/>
        <w:rPr>
          <w:rFonts w:ascii="Book Antiqua" w:hAnsi="Book Antiqua" w:cs="Arial"/>
        </w:rPr>
      </w:pPr>
    </w:p>
    <w:p w:rsidR="00BC2599" w:rsidRDefault="007A3439" w:rsidP="00813344">
      <w:pPr>
        <w:ind w:left="567" w:hanging="567"/>
        <w:jc w:val="both"/>
        <w:rPr>
          <w:rFonts w:ascii="Book Antiqua" w:hAnsi="Book Antiqua" w:cs="Arial"/>
        </w:rPr>
      </w:pPr>
      <w:r>
        <w:rPr>
          <w:rFonts w:ascii="Book Antiqua" w:hAnsi="Book Antiqua" w:cs="Arial"/>
        </w:rPr>
        <w:t>12.</w:t>
      </w:r>
      <w:r>
        <w:rPr>
          <w:rFonts w:ascii="Book Antiqua" w:hAnsi="Book Antiqua" w:cs="Arial"/>
        </w:rPr>
        <w:tab/>
      </w:r>
      <w:r w:rsidR="007D35BA">
        <w:rPr>
          <w:rFonts w:ascii="Book Antiqua" w:hAnsi="Book Antiqua" w:cs="Arial"/>
        </w:rPr>
        <w:t>As to the findings of fact</w:t>
      </w:r>
      <w:r>
        <w:rPr>
          <w:rFonts w:ascii="Book Antiqua" w:hAnsi="Book Antiqua" w:cs="Arial"/>
        </w:rPr>
        <w:t>,</w:t>
      </w:r>
      <w:r w:rsidR="007D35BA">
        <w:rPr>
          <w:rFonts w:ascii="Book Antiqua" w:hAnsi="Book Antiqua" w:cs="Arial"/>
        </w:rPr>
        <w:t xml:space="preserve"> the challenges to the judge’s findings amount to nothing more than a series of disagreements with those findings and an </w:t>
      </w:r>
      <w:r w:rsidR="002F7E85">
        <w:rPr>
          <w:rFonts w:ascii="Book Antiqua" w:hAnsi="Book Antiqua" w:cs="Arial"/>
        </w:rPr>
        <w:t>attempt</w:t>
      </w:r>
      <w:r w:rsidR="007D35BA">
        <w:rPr>
          <w:rFonts w:ascii="Book Antiqua" w:hAnsi="Book Antiqua" w:cs="Arial"/>
        </w:rPr>
        <w:t xml:space="preserve"> to reargue the issues.  Each of the findings made by the judge between paragraphs 35 and 47 are findings which the judge was entitled to make on the evidence which the appellant had placed before him.  Counsel had suggested that the judge had erred in paragraph 46 where the appellant </w:t>
      </w:r>
      <w:proofErr w:type="gramStart"/>
      <w:r w:rsidR="007D35BA">
        <w:rPr>
          <w:rFonts w:ascii="Book Antiqua" w:hAnsi="Book Antiqua" w:cs="Arial"/>
        </w:rPr>
        <w:t>said:-</w:t>
      </w:r>
      <w:proofErr w:type="gramEnd"/>
    </w:p>
    <w:p w:rsidR="007D35BA" w:rsidRDefault="007D35BA" w:rsidP="00813344">
      <w:pPr>
        <w:ind w:left="567" w:hanging="567"/>
        <w:jc w:val="both"/>
        <w:rPr>
          <w:rFonts w:ascii="Book Antiqua" w:hAnsi="Book Antiqua" w:cs="Arial"/>
        </w:rPr>
      </w:pPr>
    </w:p>
    <w:p w:rsidR="007D35BA" w:rsidRDefault="007D35BA" w:rsidP="007D35BA">
      <w:pPr>
        <w:ind w:left="1134" w:hanging="1134"/>
        <w:jc w:val="both"/>
        <w:rPr>
          <w:rFonts w:ascii="Book Antiqua" w:hAnsi="Book Antiqua" w:cs="Arial"/>
        </w:rPr>
      </w:pPr>
      <w:r>
        <w:rPr>
          <w:rFonts w:ascii="Book Antiqua" w:hAnsi="Book Antiqua" w:cs="Arial"/>
        </w:rPr>
        <w:tab/>
        <w:t>“</w:t>
      </w:r>
      <w:proofErr w:type="gramStart"/>
      <w:r>
        <w:rPr>
          <w:sz w:val="22"/>
          <w:szCs w:val="22"/>
        </w:rPr>
        <w:t>Furthermore</w:t>
      </w:r>
      <w:proofErr w:type="gramEnd"/>
      <w:r>
        <w:rPr>
          <w:sz w:val="22"/>
          <w:szCs w:val="22"/>
        </w:rPr>
        <w:t xml:space="preserve"> while I accept that the Appellant has undergone medical treatment in the United Kingdom in relation to his genital/kidney problems, as noted at paragraph 24 of the RFRL there </w:t>
      </w:r>
      <w:r>
        <w:rPr>
          <w:sz w:val="22"/>
          <w:szCs w:val="22"/>
        </w:rPr>
        <w:lastRenderedPageBreak/>
        <w:t xml:space="preserve">is no evidence to substantiate his claim that his injuries were caused as a result of being shot when he was 10 years of age.  </w:t>
      </w:r>
      <w:proofErr w:type="gramStart"/>
      <w:r>
        <w:rPr>
          <w:sz w:val="22"/>
          <w:szCs w:val="22"/>
        </w:rPr>
        <w:t>Consequently</w:t>
      </w:r>
      <w:proofErr w:type="gramEnd"/>
      <w:r>
        <w:rPr>
          <w:sz w:val="22"/>
          <w:szCs w:val="22"/>
        </w:rPr>
        <w:t xml:space="preserve"> it would appear that there is a clear error at paragraph 27 of the RFRL (Summary of Findings of Fact) in which it is intimated that it is accepted the Appellant was the victim of a shooting at 10 years of age.</w:t>
      </w:r>
      <w:r>
        <w:rPr>
          <w:rFonts w:ascii="Book Antiqua" w:hAnsi="Book Antiqua" w:cs="Arial"/>
        </w:rPr>
        <w:t>”</w:t>
      </w:r>
    </w:p>
    <w:p w:rsidR="007D35BA" w:rsidRDefault="007D35BA" w:rsidP="00813344">
      <w:pPr>
        <w:ind w:left="567" w:hanging="567"/>
        <w:jc w:val="both"/>
        <w:rPr>
          <w:rFonts w:ascii="Book Antiqua" w:hAnsi="Book Antiqua" w:cs="Arial"/>
        </w:rPr>
      </w:pPr>
    </w:p>
    <w:p w:rsidR="007D35BA" w:rsidRDefault="007D35BA" w:rsidP="007D35BA">
      <w:pPr>
        <w:ind w:left="567"/>
        <w:jc w:val="both"/>
        <w:rPr>
          <w:rFonts w:ascii="Book Antiqua" w:hAnsi="Book Antiqua" w:cs="Arial"/>
        </w:rPr>
      </w:pPr>
      <w:r>
        <w:rPr>
          <w:rFonts w:ascii="Book Antiqua" w:hAnsi="Book Antiqua" w:cs="Arial"/>
        </w:rPr>
        <w:t xml:space="preserve">Mr Wilding pointed out that what the judge said at paragraph 46 was neither here nor there, but he was </w:t>
      </w:r>
      <w:proofErr w:type="gramStart"/>
      <w:r>
        <w:rPr>
          <w:rFonts w:ascii="Book Antiqua" w:hAnsi="Book Antiqua" w:cs="Arial"/>
        </w:rPr>
        <w:t>actually making</w:t>
      </w:r>
      <w:proofErr w:type="gramEnd"/>
      <w:r>
        <w:rPr>
          <w:rFonts w:ascii="Book Antiqua" w:hAnsi="Book Antiqua" w:cs="Arial"/>
        </w:rPr>
        <w:t xml:space="preserve"> it clear that the evidence did not substantiate the appellant’s claim that he was injured when he was 10.  It is not a point which goes against the appellant because the judge accepts that the appellant has had medical treatment, in any event.  </w:t>
      </w:r>
    </w:p>
    <w:p w:rsidR="007D35BA" w:rsidRDefault="007D35BA" w:rsidP="00813344">
      <w:pPr>
        <w:ind w:left="567" w:hanging="567"/>
        <w:jc w:val="both"/>
        <w:rPr>
          <w:rFonts w:ascii="Book Antiqua" w:hAnsi="Book Antiqua" w:cs="Arial"/>
        </w:rPr>
      </w:pPr>
    </w:p>
    <w:p w:rsidR="00B87D57" w:rsidRDefault="007A3439" w:rsidP="00813344">
      <w:pPr>
        <w:ind w:left="567" w:hanging="567"/>
        <w:jc w:val="both"/>
        <w:rPr>
          <w:rFonts w:ascii="Book Antiqua" w:hAnsi="Book Antiqua" w:cs="Arial"/>
        </w:rPr>
      </w:pPr>
      <w:r>
        <w:rPr>
          <w:rFonts w:ascii="Book Antiqua" w:hAnsi="Book Antiqua" w:cs="Arial"/>
        </w:rPr>
        <w:t>13</w:t>
      </w:r>
      <w:r w:rsidR="007D35BA">
        <w:rPr>
          <w:rFonts w:ascii="Book Antiqua" w:hAnsi="Book Antiqua" w:cs="Arial"/>
        </w:rPr>
        <w:t>.</w:t>
      </w:r>
      <w:r w:rsidR="007D35BA">
        <w:rPr>
          <w:rFonts w:ascii="Book Antiqua" w:hAnsi="Book Antiqua" w:cs="Arial"/>
        </w:rPr>
        <w:tab/>
      </w:r>
      <w:r w:rsidR="00D619C8">
        <w:rPr>
          <w:rFonts w:ascii="Book Antiqua" w:hAnsi="Book Antiqua" w:cs="Arial"/>
        </w:rPr>
        <w:t>At paragraph 23 of the Reasons for Refusal Letter the Secretary of State accepted that the appellant’s home was bombed by the Turkish forces</w:t>
      </w:r>
      <w:r w:rsidR="00753192">
        <w:rPr>
          <w:rFonts w:ascii="Book Antiqua" w:hAnsi="Book Antiqua" w:cs="Arial"/>
        </w:rPr>
        <w:t>, but the question of internal relocation does not arise</w:t>
      </w:r>
      <w:r w:rsidR="00E25A79">
        <w:rPr>
          <w:rFonts w:ascii="Book Antiqua" w:hAnsi="Book Antiqua" w:cs="Arial"/>
        </w:rPr>
        <w:t>,</w:t>
      </w:r>
      <w:r w:rsidR="00753192">
        <w:rPr>
          <w:rFonts w:ascii="Book Antiqua" w:hAnsi="Book Antiqua" w:cs="Arial"/>
        </w:rPr>
        <w:t xml:space="preserve"> because the appellant</w:t>
      </w:r>
      <w:r w:rsidR="004A5E16">
        <w:rPr>
          <w:rFonts w:ascii="Book Antiqua" w:hAnsi="Book Antiqua" w:cs="Arial"/>
        </w:rPr>
        <w:t xml:space="preserve"> has not been found to be in fear as he claimed.  He may not be able to go back and live in the farm house that he was living in previously, but there is no reason why he should not go back to the area and continue farming as he had done before he left the country.  He is from the Iraqi Kurdish region and he </w:t>
      </w:r>
      <w:proofErr w:type="gramStart"/>
      <w:r w:rsidR="004A5E16">
        <w:rPr>
          <w:rFonts w:ascii="Book Antiqua" w:hAnsi="Book Antiqua" w:cs="Arial"/>
        </w:rPr>
        <w:t>is able to</w:t>
      </w:r>
      <w:proofErr w:type="gramEnd"/>
      <w:r w:rsidR="004A5E16">
        <w:rPr>
          <w:rFonts w:ascii="Book Antiqua" w:hAnsi="Book Antiqua" w:cs="Arial"/>
        </w:rPr>
        <w:t xml:space="preserve"> return there.  He was in possession of identification documents and, as the judge found, he would be </w:t>
      </w:r>
      <w:r w:rsidR="002F7E85">
        <w:rPr>
          <w:rFonts w:ascii="Book Antiqua" w:hAnsi="Book Antiqua" w:cs="Arial"/>
        </w:rPr>
        <w:t>able</w:t>
      </w:r>
      <w:r w:rsidR="004A5E16">
        <w:rPr>
          <w:rFonts w:ascii="Book Antiqua" w:hAnsi="Book Antiqua" w:cs="Arial"/>
        </w:rPr>
        <w:t xml:space="preserve"> to return with </w:t>
      </w:r>
      <w:r w:rsidR="00B87D57">
        <w:rPr>
          <w:rFonts w:ascii="Book Antiqua" w:hAnsi="Book Antiqua" w:cs="Arial"/>
        </w:rPr>
        <w:t xml:space="preserve">identity documents which he could obtain with the assistance of his adopted three sisters.  Mr Wilding invited me to dismiss the appeal.  </w:t>
      </w:r>
    </w:p>
    <w:p w:rsidR="00B87D57" w:rsidRDefault="00B87D57" w:rsidP="00813344">
      <w:pPr>
        <w:ind w:left="567" w:hanging="567"/>
        <w:jc w:val="both"/>
        <w:rPr>
          <w:rFonts w:ascii="Book Antiqua" w:hAnsi="Book Antiqua" w:cs="Arial"/>
        </w:rPr>
      </w:pPr>
    </w:p>
    <w:p w:rsidR="00B87D57" w:rsidRPr="00B87D57" w:rsidRDefault="00B87D57" w:rsidP="00813344">
      <w:pPr>
        <w:ind w:left="567" w:hanging="567"/>
        <w:jc w:val="both"/>
        <w:rPr>
          <w:rFonts w:ascii="Book Antiqua" w:hAnsi="Book Antiqua" w:cs="Arial"/>
          <w:b/>
          <w:u w:val="single"/>
        </w:rPr>
      </w:pPr>
      <w:r w:rsidRPr="00B87D57">
        <w:rPr>
          <w:rFonts w:ascii="Book Antiqua" w:hAnsi="Book Antiqua" w:cs="Arial"/>
          <w:b/>
          <w:u w:val="single"/>
        </w:rPr>
        <w:t xml:space="preserve">Determination </w:t>
      </w:r>
    </w:p>
    <w:p w:rsidR="00B87D57" w:rsidRDefault="00B87D57" w:rsidP="00813344">
      <w:pPr>
        <w:ind w:left="567" w:hanging="567"/>
        <w:jc w:val="both"/>
        <w:rPr>
          <w:rFonts w:ascii="Book Antiqua" w:hAnsi="Book Antiqua" w:cs="Arial"/>
        </w:rPr>
      </w:pPr>
    </w:p>
    <w:p w:rsidR="00B87D57" w:rsidRDefault="00E25A79" w:rsidP="00813344">
      <w:pPr>
        <w:ind w:left="567" w:hanging="567"/>
        <w:jc w:val="both"/>
        <w:rPr>
          <w:rFonts w:ascii="Book Antiqua" w:hAnsi="Book Antiqua" w:cs="Arial"/>
        </w:rPr>
      </w:pPr>
      <w:r>
        <w:rPr>
          <w:rFonts w:ascii="Book Antiqua" w:hAnsi="Book Antiqua" w:cs="Arial"/>
        </w:rPr>
        <w:t>14</w:t>
      </w:r>
      <w:r w:rsidR="00B87D57">
        <w:rPr>
          <w:rFonts w:ascii="Book Antiqua" w:hAnsi="Book Antiqua" w:cs="Arial"/>
        </w:rPr>
        <w:t>.</w:t>
      </w:r>
      <w:r w:rsidR="00B87D57">
        <w:rPr>
          <w:rFonts w:ascii="Book Antiqua" w:hAnsi="Book Antiqua" w:cs="Arial"/>
        </w:rPr>
        <w:tab/>
        <w:t xml:space="preserve">I have carefully read the determination in the light of the grounds of appeal and in the light of Counsel’s submissions to me.  </w:t>
      </w:r>
    </w:p>
    <w:p w:rsidR="00B87D57" w:rsidRDefault="00B87D57" w:rsidP="00813344">
      <w:pPr>
        <w:ind w:left="567" w:hanging="567"/>
        <w:jc w:val="both"/>
        <w:rPr>
          <w:rFonts w:ascii="Book Antiqua" w:hAnsi="Book Antiqua" w:cs="Arial"/>
        </w:rPr>
      </w:pPr>
    </w:p>
    <w:p w:rsidR="00B87D57" w:rsidRDefault="00E25A79" w:rsidP="00813344">
      <w:pPr>
        <w:ind w:left="567" w:hanging="567"/>
        <w:jc w:val="both"/>
        <w:rPr>
          <w:rFonts w:ascii="Book Antiqua" w:hAnsi="Book Antiqua" w:cs="Arial"/>
        </w:rPr>
      </w:pPr>
      <w:r>
        <w:rPr>
          <w:rFonts w:ascii="Book Antiqua" w:hAnsi="Book Antiqua" w:cs="Arial"/>
        </w:rPr>
        <w:t>15</w:t>
      </w:r>
      <w:r w:rsidR="00B87D57">
        <w:rPr>
          <w:rFonts w:ascii="Book Antiqua" w:hAnsi="Book Antiqua" w:cs="Arial"/>
        </w:rPr>
        <w:t>.</w:t>
      </w:r>
      <w:r w:rsidR="00B87D57">
        <w:rPr>
          <w:rFonts w:ascii="Book Antiqua" w:hAnsi="Book Antiqua" w:cs="Arial"/>
        </w:rPr>
        <w:tab/>
        <w:t>I do not accept that the determination is unsafe because it was not promulgated until November</w:t>
      </w:r>
      <w:r>
        <w:rPr>
          <w:rFonts w:ascii="Book Antiqua" w:hAnsi="Book Antiqua" w:cs="Arial"/>
        </w:rPr>
        <w:t>,</w:t>
      </w:r>
      <w:r w:rsidR="00B87D57">
        <w:rPr>
          <w:rFonts w:ascii="Book Antiqua" w:hAnsi="Book Antiqua" w:cs="Arial"/>
        </w:rPr>
        <w:t xml:space="preserve"> </w:t>
      </w:r>
      <w:proofErr w:type="gramStart"/>
      <w:r w:rsidR="00B87D57">
        <w:rPr>
          <w:rFonts w:ascii="Book Antiqua" w:hAnsi="Book Antiqua" w:cs="Arial"/>
        </w:rPr>
        <w:t>despite the fact that</w:t>
      </w:r>
      <w:proofErr w:type="gramEnd"/>
      <w:r w:rsidR="00B87D57">
        <w:rPr>
          <w:rFonts w:ascii="Book Antiqua" w:hAnsi="Book Antiqua" w:cs="Arial"/>
        </w:rPr>
        <w:t xml:space="preserve"> the hearing took place in June, some five months earlier.  The judge makes it clear that the determination was prepared by him four weeks after the hearing</w:t>
      </w:r>
      <w:r>
        <w:rPr>
          <w:rFonts w:ascii="Book Antiqua" w:hAnsi="Book Antiqua" w:cs="Arial"/>
        </w:rPr>
        <w:t>,</w:t>
      </w:r>
      <w:r w:rsidR="00B87D57">
        <w:rPr>
          <w:rFonts w:ascii="Book Antiqua" w:hAnsi="Book Antiqua" w:cs="Arial"/>
        </w:rPr>
        <w:t xml:space="preserve"> so that </w:t>
      </w:r>
      <w:r w:rsidR="007A6260">
        <w:rPr>
          <w:rFonts w:ascii="Book Antiqua" w:hAnsi="Book Antiqua" w:cs="Arial"/>
        </w:rPr>
        <w:t>there was not a terribly long gap between the date of the hearing and the date of preparation of the determination.  I do not believe that the delay of four weeks renders the appellant’s assessment of credibility issues unsafe.</w:t>
      </w:r>
    </w:p>
    <w:p w:rsidR="00E25A79" w:rsidRDefault="00E25A79" w:rsidP="00813344">
      <w:pPr>
        <w:ind w:left="567" w:hanging="567"/>
        <w:jc w:val="both"/>
        <w:rPr>
          <w:rFonts w:ascii="Book Antiqua" w:hAnsi="Book Antiqua" w:cs="Arial"/>
        </w:rPr>
      </w:pPr>
      <w:r>
        <w:rPr>
          <w:rFonts w:ascii="Book Antiqua" w:hAnsi="Book Antiqua" w:cs="Arial"/>
        </w:rPr>
        <w:t>16</w:t>
      </w:r>
      <w:r w:rsidR="007A6260">
        <w:rPr>
          <w:rFonts w:ascii="Book Antiqua" w:hAnsi="Book Antiqua" w:cs="Arial"/>
        </w:rPr>
        <w:tab/>
        <w:t>So far as challenges to credibility are concerned</w:t>
      </w:r>
      <w:r>
        <w:rPr>
          <w:rFonts w:ascii="Book Antiqua" w:hAnsi="Book Antiqua" w:cs="Arial"/>
        </w:rPr>
        <w:t>,</w:t>
      </w:r>
      <w:r w:rsidR="007A6260">
        <w:rPr>
          <w:rFonts w:ascii="Book Antiqua" w:hAnsi="Book Antiqua" w:cs="Arial"/>
        </w:rPr>
        <w:t xml:space="preserve"> they are in fact nothing more than disagreements as to the judge’s conclusions.  </w:t>
      </w:r>
    </w:p>
    <w:p w:rsidR="00E25A79" w:rsidRDefault="00E25A79" w:rsidP="00813344">
      <w:pPr>
        <w:ind w:left="567" w:hanging="567"/>
        <w:jc w:val="both"/>
        <w:rPr>
          <w:rFonts w:ascii="Book Antiqua" w:hAnsi="Book Antiqua" w:cs="Arial"/>
        </w:rPr>
      </w:pPr>
    </w:p>
    <w:p w:rsidR="007A6260" w:rsidRDefault="00E25A79" w:rsidP="00813344">
      <w:pPr>
        <w:ind w:left="567" w:hanging="567"/>
        <w:jc w:val="both"/>
        <w:rPr>
          <w:rFonts w:ascii="Book Antiqua" w:hAnsi="Book Antiqua" w:cs="Arial"/>
        </w:rPr>
      </w:pPr>
      <w:r>
        <w:rPr>
          <w:rFonts w:ascii="Book Antiqua" w:hAnsi="Book Antiqua" w:cs="Arial"/>
        </w:rPr>
        <w:t>17.</w:t>
      </w:r>
      <w:r>
        <w:rPr>
          <w:rFonts w:ascii="Book Antiqua" w:hAnsi="Book Antiqua" w:cs="Arial"/>
        </w:rPr>
        <w:tab/>
      </w:r>
      <w:r w:rsidR="007A6260">
        <w:rPr>
          <w:rFonts w:ascii="Book Antiqua" w:hAnsi="Book Antiqua" w:cs="Arial"/>
        </w:rPr>
        <w:t xml:space="preserve">I believe that the judge was perfectly well-entitled to reach the conclusions he did based on the evidence before him.  </w:t>
      </w:r>
      <w:r w:rsidR="00D13E8C">
        <w:rPr>
          <w:rFonts w:ascii="Book Antiqua" w:hAnsi="Book Antiqua" w:cs="Arial"/>
        </w:rPr>
        <w:t xml:space="preserve">He demonstrates that he considered what solicitors had said on behalf of the appellant following his asylum interview and although the initial interview was not meant to be a definitive statement of his claim to asylum, one would ordinarily expect it to be </w:t>
      </w:r>
      <w:proofErr w:type="gramStart"/>
      <w:r w:rsidR="00D13E8C">
        <w:rPr>
          <w:rFonts w:ascii="Book Antiqua" w:hAnsi="Book Antiqua" w:cs="Arial"/>
        </w:rPr>
        <w:t>similar to</w:t>
      </w:r>
      <w:proofErr w:type="gramEnd"/>
      <w:r w:rsidR="00D13E8C">
        <w:rPr>
          <w:rFonts w:ascii="Book Antiqua" w:hAnsi="Book Antiqua" w:cs="Arial"/>
        </w:rPr>
        <w:t xml:space="preserve"> the claim that would be developed before a Tribunal at an asylum hearing.  In the case of this appeal, however, what the appellant said were his reasons for not being able to return to his home country were different to what he had said when it came to the appeal.  </w:t>
      </w:r>
      <w:r w:rsidR="00737C4F">
        <w:rPr>
          <w:rFonts w:ascii="Book Antiqua" w:hAnsi="Book Antiqua" w:cs="Arial"/>
        </w:rPr>
        <w:t xml:space="preserve">Initially he </w:t>
      </w:r>
      <w:r w:rsidR="00DF6824">
        <w:rPr>
          <w:rFonts w:ascii="Book Antiqua" w:hAnsi="Book Antiqua" w:cs="Arial"/>
        </w:rPr>
        <w:t>had not mentioned his uncles at all as being responsible for the death of his mother and father.  I note from paragraph 36 that the judge did consider the solicitors’ letter</w:t>
      </w:r>
      <w:r>
        <w:rPr>
          <w:rFonts w:ascii="Book Antiqua" w:hAnsi="Book Antiqua" w:cs="Arial"/>
        </w:rPr>
        <w:t>,</w:t>
      </w:r>
      <w:r w:rsidR="00DF6824">
        <w:rPr>
          <w:rFonts w:ascii="Book Antiqua" w:hAnsi="Book Antiqua" w:cs="Arial"/>
        </w:rPr>
        <w:t xml:space="preserve"> but quite rightly pointed out that this did not explain why the appellant had added the words “because my mother died”.  The judge was entitled to find as he did in relation to the claims made </w:t>
      </w:r>
      <w:r w:rsidR="00DF6824">
        <w:rPr>
          <w:rFonts w:ascii="Book Antiqua" w:hAnsi="Book Antiqua" w:cs="Arial"/>
        </w:rPr>
        <w:lastRenderedPageBreak/>
        <w:t xml:space="preserve">by the appellant that two men tried to kill him when he was in hospital undergoing surgery.  The judge was similarly entitled </w:t>
      </w:r>
      <w:r w:rsidR="00E5115F">
        <w:rPr>
          <w:rFonts w:ascii="Book Antiqua" w:hAnsi="Book Antiqua" w:cs="Arial"/>
        </w:rPr>
        <w:t xml:space="preserve">to point out that in relation to the 2015 claimed assassination attempt there would have been no reason at all why two armed men could not have shot the appellant at point blank range.  The appellant had apparently carried on living at the same family home after the attempt to kill him in 2004.  I do not believe that the judge erred in making credibility findings under Section 8 of the Asylum and Immigration (Treatment of Claimants, etc.) Act 2004.  </w:t>
      </w:r>
    </w:p>
    <w:p w:rsidR="00E5115F" w:rsidRDefault="00E5115F" w:rsidP="00813344">
      <w:pPr>
        <w:ind w:left="567" w:hanging="567"/>
        <w:jc w:val="both"/>
        <w:rPr>
          <w:rFonts w:ascii="Book Antiqua" w:hAnsi="Book Antiqua" w:cs="Arial"/>
        </w:rPr>
      </w:pPr>
    </w:p>
    <w:p w:rsidR="00E5115F" w:rsidRDefault="00E25A79" w:rsidP="00813344">
      <w:pPr>
        <w:ind w:left="567" w:hanging="567"/>
        <w:jc w:val="both"/>
        <w:rPr>
          <w:rFonts w:ascii="Book Antiqua" w:hAnsi="Book Antiqua" w:cs="Arial"/>
        </w:rPr>
      </w:pPr>
      <w:r>
        <w:rPr>
          <w:rFonts w:ascii="Book Antiqua" w:hAnsi="Book Antiqua" w:cs="Arial"/>
        </w:rPr>
        <w:t>18</w:t>
      </w:r>
      <w:r w:rsidR="00E5115F">
        <w:rPr>
          <w:rFonts w:ascii="Book Antiqua" w:hAnsi="Book Antiqua" w:cs="Arial"/>
        </w:rPr>
        <w:t>.</w:t>
      </w:r>
      <w:r w:rsidR="00E5115F">
        <w:rPr>
          <w:rFonts w:ascii="Book Antiqua" w:hAnsi="Book Antiqua" w:cs="Arial"/>
        </w:rPr>
        <w:tab/>
      </w:r>
      <w:r w:rsidR="00B91534">
        <w:rPr>
          <w:rFonts w:ascii="Book Antiqua" w:hAnsi="Book Antiqua" w:cs="Arial"/>
        </w:rPr>
        <w:t>There is simply no merit in the suggestion that the findings are inadequate or inadequately reasoned.</w:t>
      </w:r>
    </w:p>
    <w:p w:rsidR="00B91534" w:rsidRDefault="00B91534" w:rsidP="00813344">
      <w:pPr>
        <w:ind w:left="567" w:hanging="567"/>
        <w:jc w:val="both"/>
        <w:rPr>
          <w:rFonts w:ascii="Book Antiqua" w:hAnsi="Book Antiqua" w:cs="Arial"/>
        </w:rPr>
      </w:pPr>
    </w:p>
    <w:p w:rsidR="00B91534" w:rsidRDefault="00E25A79" w:rsidP="00813344">
      <w:pPr>
        <w:ind w:left="567" w:hanging="567"/>
        <w:jc w:val="both"/>
        <w:rPr>
          <w:rFonts w:ascii="Book Antiqua" w:hAnsi="Book Antiqua" w:cs="Arial"/>
        </w:rPr>
      </w:pPr>
      <w:r>
        <w:rPr>
          <w:rFonts w:ascii="Book Antiqua" w:hAnsi="Book Antiqua" w:cs="Arial"/>
        </w:rPr>
        <w:t>19</w:t>
      </w:r>
      <w:r w:rsidR="00B91534">
        <w:rPr>
          <w:rFonts w:ascii="Book Antiqua" w:hAnsi="Book Antiqua" w:cs="Arial"/>
        </w:rPr>
        <w:t>.</w:t>
      </w:r>
      <w:r w:rsidR="00B91534">
        <w:rPr>
          <w:rFonts w:ascii="Book Antiqua" w:hAnsi="Book Antiqua" w:cs="Arial"/>
        </w:rPr>
        <w:tab/>
        <w:t>I do not believe therefore that there is any merit in the third challenge either, and as to the last challenge there was no question of sufficiency of protection or internal relocation for the judge to deal with.  He was not satisfied that the claim made by the appellant was credible.  He gives sound, logical and clear reasons for his findings.  The appellant cannot go and live in his house</w:t>
      </w:r>
      <w:r>
        <w:rPr>
          <w:rFonts w:ascii="Book Antiqua" w:hAnsi="Book Antiqua" w:cs="Arial"/>
        </w:rPr>
        <w:t>,</w:t>
      </w:r>
      <w:r w:rsidR="00B91534">
        <w:rPr>
          <w:rFonts w:ascii="Book Antiqua" w:hAnsi="Book Antiqua" w:cs="Arial"/>
        </w:rPr>
        <w:t xml:space="preserve"> because that was bombed, but that does not mean that he needs to internally relocate.  There is no reason why he should not go back to his farm and rebuild his house</w:t>
      </w:r>
      <w:r>
        <w:rPr>
          <w:rFonts w:ascii="Book Antiqua" w:hAnsi="Book Antiqua" w:cs="Arial"/>
        </w:rPr>
        <w:t xml:space="preserve"> or build another one</w:t>
      </w:r>
      <w:r w:rsidR="00B91534">
        <w:rPr>
          <w:rFonts w:ascii="Book Antiqua" w:hAnsi="Book Antiqua" w:cs="Arial"/>
        </w:rPr>
        <w:t xml:space="preserve">.  In any event, he is from the Iranian Kurdish region and given that he has relatives who would be able to assist him in obtaining documentation, there is no reason why he could not return there without transiting Baghdad.  </w:t>
      </w:r>
    </w:p>
    <w:p w:rsidR="004F2682" w:rsidRDefault="004F2682" w:rsidP="00813344">
      <w:pPr>
        <w:ind w:left="567" w:hanging="567"/>
        <w:jc w:val="both"/>
        <w:rPr>
          <w:rFonts w:ascii="Book Antiqua" w:hAnsi="Book Antiqua" w:cs="Arial"/>
        </w:rPr>
      </w:pPr>
    </w:p>
    <w:p w:rsidR="004F2682" w:rsidRPr="004F2682" w:rsidRDefault="004F2682" w:rsidP="00813344">
      <w:pPr>
        <w:ind w:left="567" w:hanging="567"/>
        <w:jc w:val="both"/>
        <w:rPr>
          <w:rFonts w:ascii="Book Antiqua" w:hAnsi="Book Antiqua" w:cs="Arial"/>
          <w:b/>
          <w:u w:val="single"/>
        </w:rPr>
      </w:pPr>
      <w:r w:rsidRPr="004F2682">
        <w:rPr>
          <w:rFonts w:ascii="Book Antiqua" w:hAnsi="Book Antiqua" w:cs="Arial"/>
          <w:b/>
          <w:u w:val="single"/>
        </w:rPr>
        <w:t>Notice of Decision</w:t>
      </w:r>
    </w:p>
    <w:p w:rsidR="00B91534" w:rsidRDefault="00B91534" w:rsidP="00813344">
      <w:pPr>
        <w:ind w:left="567" w:hanging="567"/>
        <w:jc w:val="both"/>
        <w:rPr>
          <w:rFonts w:ascii="Book Antiqua" w:hAnsi="Book Antiqua" w:cs="Arial"/>
        </w:rPr>
      </w:pPr>
    </w:p>
    <w:p w:rsidR="00B91534" w:rsidRDefault="002F7E85" w:rsidP="00813344">
      <w:pPr>
        <w:ind w:left="567" w:hanging="567"/>
        <w:jc w:val="both"/>
        <w:rPr>
          <w:rFonts w:ascii="Book Antiqua" w:hAnsi="Book Antiqua" w:cs="Arial"/>
        </w:rPr>
      </w:pPr>
      <w:r>
        <w:rPr>
          <w:rFonts w:ascii="Book Antiqua" w:hAnsi="Book Antiqua" w:cs="Arial"/>
        </w:rPr>
        <w:t>16</w:t>
      </w:r>
      <w:r w:rsidR="00B91534">
        <w:rPr>
          <w:rFonts w:ascii="Book Antiqua" w:hAnsi="Book Antiqua" w:cs="Arial"/>
        </w:rPr>
        <w:t>.</w:t>
      </w:r>
      <w:r w:rsidR="00B91534">
        <w:rPr>
          <w:rFonts w:ascii="Book Antiqua" w:hAnsi="Book Antiqua" w:cs="Arial"/>
        </w:rPr>
        <w:tab/>
        <w:t xml:space="preserve">In making his determination Judge </w:t>
      </w:r>
      <w:proofErr w:type="gramStart"/>
      <w:r w:rsidR="00B91534">
        <w:rPr>
          <w:rFonts w:ascii="Book Antiqua" w:hAnsi="Book Antiqua" w:cs="Arial"/>
        </w:rPr>
        <w:t>A</w:t>
      </w:r>
      <w:proofErr w:type="gramEnd"/>
      <w:r w:rsidR="00B91534">
        <w:rPr>
          <w:rFonts w:ascii="Book Antiqua" w:hAnsi="Book Antiqua" w:cs="Arial"/>
        </w:rPr>
        <w:t xml:space="preserve"> Khawar did not </w:t>
      </w:r>
      <w:r w:rsidR="004F2682">
        <w:rPr>
          <w:rFonts w:ascii="Book Antiqua" w:hAnsi="Book Antiqua" w:cs="Arial"/>
        </w:rPr>
        <w:t xml:space="preserve">materially err in law.  I uphold his determination.  The appellant’s appeal is dismissed on asylum </w:t>
      </w:r>
      <w:r>
        <w:rPr>
          <w:rFonts w:ascii="Book Antiqua" w:hAnsi="Book Antiqua" w:cs="Arial"/>
        </w:rPr>
        <w:t>grounds</w:t>
      </w:r>
      <w:r w:rsidR="004F2682">
        <w:rPr>
          <w:rFonts w:ascii="Book Antiqua" w:hAnsi="Book Antiqua" w:cs="Arial"/>
        </w:rPr>
        <w:t xml:space="preserve">, humanitarian protection grounds and human rights grounds.  </w:t>
      </w:r>
    </w:p>
    <w:p w:rsidR="004F2682" w:rsidRDefault="004F2682" w:rsidP="00813344">
      <w:pPr>
        <w:ind w:left="567" w:hanging="567"/>
        <w:jc w:val="both"/>
        <w:rPr>
          <w:rFonts w:ascii="Book Antiqua" w:hAnsi="Book Antiqua" w:cs="Arial"/>
        </w:rPr>
      </w:pPr>
    </w:p>
    <w:p w:rsidR="009268C6" w:rsidRPr="009268C6" w:rsidRDefault="002F7E85" w:rsidP="004F2682">
      <w:pPr>
        <w:ind w:left="567" w:hanging="567"/>
        <w:jc w:val="both"/>
        <w:rPr>
          <w:rFonts w:ascii="Book Antiqua" w:hAnsi="Book Antiqua" w:cs="Arial"/>
        </w:rPr>
      </w:pPr>
      <w:r>
        <w:rPr>
          <w:rFonts w:ascii="Book Antiqua" w:hAnsi="Book Antiqua" w:cs="Arial"/>
        </w:rPr>
        <w:t>17</w:t>
      </w:r>
      <w:r w:rsidR="004F2682">
        <w:rPr>
          <w:rFonts w:ascii="Book Antiqua" w:hAnsi="Book Antiqua" w:cs="Arial"/>
        </w:rPr>
        <w:t>.</w:t>
      </w:r>
      <w:r w:rsidR="004F2682">
        <w:rPr>
          <w:rFonts w:ascii="Book Antiqua" w:hAnsi="Book Antiqua" w:cs="Arial"/>
        </w:rPr>
        <w:tab/>
      </w:r>
      <w:r w:rsidR="009268C6" w:rsidRPr="009268C6">
        <w:rPr>
          <w:rFonts w:ascii="Book Antiqua" w:hAnsi="Book Antiqua" w:cs="Arial"/>
        </w:rPr>
        <w:t>No anonymity direction is made.</w:t>
      </w:r>
    </w:p>
    <w:p w:rsidR="009268C6" w:rsidRPr="009268C6" w:rsidRDefault="009268C6" w:rsidP="009268C6">
      <w:pPr>
        <w:jc w:val="both"/>
        <w:rPr>
          <w:rFonts w:ascii="Book Antiqua" w:hAnsi="Book Antiqua" w:cs="Arial"/>
        </w:rPr>
      </w:pPr>
    </w:p>
    <w:p w:rsidR="00E25A79" w:rsidRPr="00E25A79" w:rsidRDefault="00E25A79" w:rsidP="00E25A79">
      <w:pPr>
        <w:jc w:val="both"/>
        <w:rPr>
          <w:rFonts w:ascii="Mistral" w:hAnsi="Mistral" w:cs="Arial"/>
          <w:b/>
          <w:i/>
          <w:sz w:val="40"/>
          <w:szCs w:val="40"/>
        </w:rPr>
      </w:pPr>
      <w:r w:rsidRPr="00E25A79">
        <w:rPr>
          <w:rFonts w:ascii="Mistral" w:hAnsi="Mistral" w:cs="Arial"/>
          <w:b/>
          <w:i/>
          <w:sz w:val="40"/>
          <w:szCs w:val="40"/>
        </w:rPr>
        <w:t>Richard Chalkley</w:t>
      </w:r>
      <w:r w:rsidR="003D4D94">
        <w:rPr>
          <w:rFonts w:ascii="Mistral" w:hAnsi="Mistral" w:cs="Arial"/>
          <w:b/>
          <w:i/>
          <w:sz w:val="40"/>
          <w:szCs w:val="40"/>
        </w:rPr>
        <w:t xml:space="preserve">                             </w:t>
      </w:r>
    </w:p>
    <w:p w:rsidR="00E25A79" w:rsidRPr="00E25A79" w:rsidRDefault="00E25A79" w:rsidP="00E25A79">
      <w:pPr>
        <w:jc w:val="both"/>
        <w:rPr>
          <w:rFonts w:ascii="Book Antiqua" w:hAnsi="Book Antiqua" w:cs="Arial"/>
          <w:b/>
        </w:rPr>
      </w:pPr>
    </w:p>
    <w:p w:rsidR="00E25A79" w:rsidRPr="00E25A79" w:rsidRDefault="00E25A79" w:rsidP="00E25A79">
      <w:pPr>
        <w:tabs>
          <w:tab w:val="left" w:pos="2520"/>
        </w:tabs>
        <w:ind w:left="540" w:hanging="540"/>
        <w:jc w:val="both"/>
        <w:rPr>
          <w:rFonts w:ascii="Book Antiqua" w:hAnsi="Book Antiqua" w:cs="Arial"/>
          <w:b/>
        </w:rPr>
      </w:pPr>
      <w:r w:rsidRPr="00E25A79">
        <w:rPr>
          <w:rFonts w:ascii="Book Antiqua" w:hAnsi="Book Antiqua" w:cs="Arial"/>
          <w:b/>
          <w:color w:val="000000"/>
        </w:rPr>
        <w:t>Upper Tribunal Judge Chalkley</w:t>
      </w:r>
    </w:p>
    <w:p w:rsidR="009268C6" w:rsidRPr="00F5664C" w:rsidRDefault="009268C6" w:rsidP="009268C6">
      <w:pPr>
        <w:tabs>
          <w:tab w:val="left" w:pos="2520"/>
        </w:tabs>
        <w:jc w:val="both"/>
        <w:rPr>
          <w:rFonts w:ascii="Book Antiqua" w:hAnsi="Book Antiqua" w:cs="Arial"/>
        </w:rPr>
      </w:pPr>
    </w:p>
    <w:p w:rsidR="009268C6" w:rsidRPr="009268C6" w:rsidRDefault="009268C6" w:rsidP="009268C6">
      <w:pPr>
        <w:jc w:val="both"/>
        <w:rPr>
          <w:rFonts w:ascii="Book Antiqua" w:hAnsi="Book Antiqua" w:cs="Arial"/>
          <w:b/>
          <w:u w:val="single"/>
        </w:rPr>
      </w:pPr>
      <w:r w:rsidRPr="009268C6">
        <w:rPr>
          <w:rFonts w:ascii="Book Antiqua" w:hAnsi="Book Antiqua" w:cs="Arial"/>
          <w:b/>
          <w:u w:val="single"/>
        </w:rPr>
        <w:t>TO THE RESPONDENT</w:t>
      </w:r>
    </w:p>
    <w:p w:rsidR="009268C6" w:rsidRPr="009268C6" w:rsidRDefault="009268C6" w:rsidP="009268C6">
      <w:pPr>
        <w:ind w:left="567" w:hanging="567"/>
        <w:jc w:val="both"/>
        <w:rPr>
          <w:rFonts w:ascii="Book Antiqua" w:hAnsi="Book Antiqua" w:cs="Arial"/>
        </w:rPr>
      </w:pPr>
      <w:r w:rsidRPr="009268C6">
        <w:rPr>
          <w:rFonts w:ascii="Book Antiqua" w:hAnsi="Book Antiqua" w:cs="Arial"/>
          <w:b/>
          <w:u w:val="single"/>
        </w:rPr>
        <w:t>FEE AWARD</w:t>
      </w:r>
    </w:p>
    <w:p w:rsidR="009268C6" w:rsidRPr="009268C6" w:rsidRDefault="009268C6" w:rsidP="009268C6">
      <w:pPr>
        <w:ind w:left="567" w:hanging="567"/>
        <w:jc w:val="both"/>
        <w:rPr>
          <w:rFonts w:ascii="Book Antiqua" w:hAnsi="Book Antiqua" w:cs="Arial"/>
        </w:rPr>
      </w:pPr>
    </w:p>
    <w:p w:rsidR="009268C6" w:rsidRDefault="009268C6" w:rsidP="009268C6">
      <w:pPr>
        <w:jc w:val="both"/>
        <w:rPr>
          <w:rFonts w:ascii="Book Antiqua" w:hAnsi="Book Antiqua" w:cs="Arial"/>
        </w:rPr>
      </w:pPr>
      <w:r w:rsidRPr="009268C6">
        <w:rPr>
          <w:rFonts w:ascii="Book Antiqua" w:hAnsi="Book Antiqua" w:cs="Arial"/>
        </w:rPr>
        <w:t xml:space="preserve">No fee is paid or payable and </w:t>
      </w:r>
      <w:r w:rsidR="004F2682">
        <w:rPr>
          <w:rFonts w:ascii="Book Antiqua" w:hAnsi="Book Antiqua" w:cs="Arial"/>
        </w:rPr>
        <w:t xml:space="preserve">since the appeal is dismissed there </w:t>
      </w:r>
      <w:r w:rsidRPr="009268C6">
        <w:rPr>
          <w:rFonts w:ascii="Book Antiqua" w:hAnsi="Book Antiqua" w:cs="Arial"/>
        </w:rPr>
        <w:t>can be no fee award.</w:t>
      </w:r>
    </w:p>
    <w:p w:rsidR="009268C6" w:rsidRDefault="009268C6" w:rsidP="009268C6">
      <w:pPr>
        <w:jc w:val="both"/>
        <w:rPr>
          <w:rFonts w:ascii="Book Antiqua" w:hAnsi="Book Antiqua" w:cs="Arial"/>
        </w:rPr>
      </w:pPr>
    </w:p>
    <w:p w:rsidR="009268C6" w:rsidRDefault="009268C6" w:rsidP="009268C6">
      <w:pPr>
        <w:jc w:val="both"/>
        <w:rPr>
          <w:rFonts w:ascii="Book Antiqua" w:hAnsi="Book Antiqua" w:cs="Arial"/>
        </w:rPr>
      </w:pPr>
    </w:p>
    <w:p w:rsidR="009268C6" w:rsidRPr="00E25A79" w:rsidRDefault="00E25A79" w:rsidP="009268C6">
      <w:pPr>
        <w:jc w:val="both"/>
        <w:rPr>
          <w:rFonts w:ascii="Mistral" w:hAnsi="Mistral" w:cs="Arial"/>
          <w:b/>
          <w:i/>
          <w:sz w:val="40"/>
          <w:szCs w:val="40"/>
        </w:rPr>
      </w:pPr>
      <w:r w:rsidRPr="00E25A79">
        <w:rPr>
          <w:rFonts w:ascii="Mistral" w:hAnsi="Mistral" w:cs="Arial"/>
          <w:b/>
          <w:i/>
          <w:sz w:val="40"/>
          <w:szCs w:val="40"/>
        </w:rPr>
        <w:t>Richard Chalkley</w:t>
      </w:r>
    </w:p>
    <w:p w:rsidR="009268C6" w:rsidRPr="00E25A79" w:rsidRDefault="009268C6" w:rsidP="009268C6">
      <w:pPr>
        <w:jc w:val="both"/>
        <w:rPr>
          <w:rFonts w:ascii="Book Antiqua" w:hAnsi="Book Antiqua" w:cs="Arial"/>
          <w:b/>
        </w:rPr>
      </w:pPr>
    </w:p>
    <w:p w:rsidR="009268C6" w:rsidRDefault="009268C6" w:rsidP="009268C6">
      <w:pPr>
        <w:tabs>
          <w:tab w:val="left" w:pos="2520"/>
        </w:tabs>
        <w:ind w:left="540" w:hanging="540"/>
        <w:jc w:val="both"/>
        <w:rPr>
          <w:rFonts w:ascii="Book Antiqua" w:hAnsi="Book Antiqua" w:cs="Arial"/>
          <w:b/>
          <w:color w:val="000000"/>
        </w:rPr>
      </w:pPr>
      <w:r w:rsidRPr="00E25A79">
        <w:rPr>
          <w:rFonts w:ascii="Book Antiqua" w:hAnsi="Book Antiqua" w:cs="Arial"/>
          <w:b/>
          <w:color w:val="000000"/>
        </w:rPr>
        <w:t>Upper Tribunal Judge Chalkley</w:t>
      </w:r>
    </w:p>
    <w:p w:rsidR="003D4D94" w:rsidRDefault="003D4D94" w:rsidP="009268C6">
      <w:pPr>
        <w:tabs>
          <w:tab w:val="left" w:pos="2520"/>
        </w:tabs>
        <w:ind w:left="540" w:hanging="540"/>
        <w:jc w:val="both"/>
        <w:rPr>
          <w:rFonts w:ascii="Book Antiqua" w:hAnsi="Book Antiqua" w:cs="Arial"/>
          <w:b/>
          <w:color w:val="000000"/>
        </w:rPr>
      </w:pPr>
    </w:p>
    <w:p w:rsidR="003D4D94" w:rsidRDefault="003D4D94" w:rsidP="009268C6">
      <w:pPr>
        <w:tabs>
          <w:tab w:val="left" w:pos="2520"/>
        </w:tabs>
        <w:ind w:left="540" w:hanging="540"/>
        <w:jc w:val="both"/>
        <w:rPr>
          <w:rFonts w:ascii="Book Antiqua" w:hAnsi="Book Antiqua" w:cs="Arial"/>
          <w:b/>
          <w:color w:val="000000"/>
        </w:rPr>
      </w:pPr>
    </w:p>
    <w:p w:rsidR="003D4D94" w:rsidRDefault="003D4D94" w:rsidP="009268C6">
      <w:pPr>
        <w:tabs>
          <w:tab w:val="left" w:pos="2520"/>
        </w:tabs>
        <w:ind w:left="540" w:hanging="540"/>
        <w:jc w:val="both"/>
      </w:pPr>
    </w:p>
    <w:p w:rsidR="003D4D94" w:rsidRPr="00E25A79" w:rsidRDefault="003D4D94" w:rsidP="009268C6">
      <w:pPr>
        <w:tabs>
          <w:tab w:val="left" w:pos="2520"/>
        </w:tabs>
        <w:ind w:left="540" w:hanging="540"/>
        <w:jc w:val="both"/>
        <w:rPr>
          <w:rFonts w:ascii="Book Antiqua" w:hAnsi="Book Antiqua" w:cs="Arial"/>
          <w:b/>
        </w:rPr>
      </w:pPr>
      <w:r>
        <w:t xml:space="preserve">Dated 17 May 2018 </w:t>
      </w:r>
    </w:p>
    <w:sectPr w:rsidR="003D4D94" w:rsidRPr="00E25A79" w:rsidSect="00564363">
      <w:headerReference w:type="default" r:id="rId7"/>
      <w:footerReference w:type="default" r:id="rId8"/>
      <w:footerReference w:type="first" r:id="rId9"/>
      <w:pgSz w:w="11906" w:h="16838"/>
      <w:pgMar w:top="426" w:right="1134" w:bottom="1440"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405" w:rsidRDefault="009A0405">
      <w:r>
        <w:separator/>
      </w:r>
    </w:p>
  </w:endnote>
  <w:endnote w:type="continuationSeparator" w:id="0">
    <w:p w:rsidR="009A0405" w:rsidRDefault="009A0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8E9" w:rsidRPr="00A8189A" w:rsidRDefault="00BE68E9" w:rsidP="00A8189A">
    <w:pPr>
      <w:pStyle w:val="Footer"/>
      <w:jc w:val="center"/>
      <w:rPr>
        <w:rFonts w:ascii="Book Antiqua" w:hAnsi="Book Antiqua"/>
      </w:rPr>
    </w:pPr>
    <w:r w:rsidRPr="00A8189A">
      <w:rPr>
        <w:rFonts w:ascii="Book Antiqua" w:hAnsi="Book Antiqua"/>
      </w:rPr>
      <w:fldChar w:fldCharType="begin"/>
    </w:r>
    <w:r w:rsidRPr="00A8189A">
      <w:rPr>
        <w:rFonts w:ascii="Book Antiqua" w:hAnsi="Book Antiqua"/>
      </w:rPr>
      <w:instrText xml:space="preserve"> PAGE   \* MERGEFORMAT </w:instrText>
    </w:r>
    <w:r w:rsidRPr="00A8189A">
      <w:rPr>
        <w:rFonts w:ascii="Book Antiqua" w:hAnsi="Book Antiqua"/>
      </w:rPr>
      <w:fldChar w:fldCharType="separate"/>
    </w:r>
    <w:r w:rsidR="00A730C4">
      <w:rPr>
        <w:rFonts w:ascii="Book Antiqua" w:hAnsi="Book Antiqua"/>
        <w:noProof/>
      </w:rPr>
      <w:t>6</w:t>
    </w:r>
    <w:r w:rsidRPr="00A8189A">
      <w:rPr>
        <w:rFonts w:ascii="Book Antiqua" w:hAnsi="Book Antiqua"/>
        <w:noProof/>
      </w:rPr>
      <w:fldChar w:fldCharType="end"/>
    </w:r>
  </w:p>
  <w:p w:rsidR="003D4D94" w:rsidRDefault="003D4D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8E9" w:rsidRPr="00A8189A" w:rsidRDefault="00BE68E9">
    <w:pPr>
      <w:pStyle w:val="Footer"/>
      <w:rPr>
        <w:rFonts w:ascii="Book Antiqua" w:hAnsi="Book Antiqua"/>
        <w:b/>
      </w:rPr>
    </w:pPr>
    <w:r w:rsidRPr="00A8189A">
      <w:rPr>
        <w:rFonts w:ascii="Book Antiqua" w:hAnsi="Book Antiqua"/>
        <w:b/>
      </w:rPr>
      <w:t xml:space="preserve">                                                ©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405" w:rsidRDefault="009A0405">
      <w:r>
        <w:separator/>
      </w:r>
    </w:p>
  </w:footnote>
  <w:footnote w:type="continuationSeparator" w:id="0">
    <w:p w:rsidR="009A0405" w:rsidRDefault="009A0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D94" w:rsidRDefault="003D4D94" w:rsidP="00A8189A">
    <w:pPr>
      <w:pStyle w:val="Header"/>
      <w:jc w:val="right"/>
      <w:rPr>
        <w:rFonts w:ascii="Book Antiqua" w:hAnsi="Book Antiqua"/>
        <w:sz w:val="16"/>
        <w:szCs w:val="16"/>
      </w:rPr>
    </w:pPr>
    <w:r w:rsidRPr="00A8189A">
      <w:rPr>
        <w:rFonts w:ascii="Book Antiqua" w:hAnsi="Book Antiqua"/>
        <w:sz w:val="16"/>
        <w:szCs w:val="16"/>
      </w:rPr>
      <w:t>Appeal Number: PA/04785/2017</w:t>
    </w:r>
  </w:p>
  <w:p w:rsidR="00A8189A" w:rsidRPr="00A8189A" w:rsidRDefault="00A8189A" w:rsidP="00A8189A">
    <w:pPr>
      <w:pStyle w:val="Header"/>
      <w:jc w:val="right"/>
      <w:rPr>
        <w:rFonts w:ascii="Book Antiqua" w:hAnsi="Book Antiqua"/>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865"/>
    <w:rsid w:val="00000621"/>
    <w:rsid w:val="000036C2"/>
    <w:rsid w:val="00014594"/>
    <w:rsid w:val="00033D3D"/>
    <w:rsid w:val="00045E01"/>
    <w:rsid w:val="00062F02"/>
    <w:rsid w:val="00071A7E"/>
    <w:rsid w:val="000746C0"/>
    <w:rsid w:val="00074D1D"/>
    <w:rsid w:val="000764CD"/>
    <w:rsid w:val="00092580"/>
    <w:rsid w:val="00093D4D"/>
    <w:rsid w:val="000D5D94"/>
    <w:rsid w:val="000E2BC0"/>
    <w:rsid w:val="000F1A0E"/>
    <w:rsid w:val="000F7448"/>
    <w:rsid w:val="00103ECD"/>
    <w:rsid w:val="00107482"/>
    <w:rsid w:val="00112E83"/>
    <w:rsid w:val="001165A7"/>
    <w:rsid w:val="00121611"/>
    <w:rsid w:val="001319BA"/>
    <w:rsid w:val="00167D3A"/>
    <w:rsid w:val="001739E4"/>
    <w:rsid w:val="001804AA"/>
    <w:rsid w:val="00182679"/>
    <w:rsid w:val="001A3082"/>
    <w:rsid w:val="001B186A"/>
    <w:rsid w:val="001B2F75"/>
    <w:rsid w:val="001D3899"/>
    <w:rsid w:val="001D5EC2"/>
    <w:rsid w:val="001F2716"/>
    <w:rsid w:val="001F43B4"/>
    <w:rsid w:val="001F608D"/>
    <w:rsid w:val="00201BB6"/>
    <w:rsid w:val="00207617"/>
    <w:rsid w:val="0023134B"/>
    <w:rsid w:val="0024427E"/>
    <w:rsid w:val="00245518"/>
    <w:rsid w:val="002775EE"/>
    <w:rsid w:val="00283659"/>
    <w:rsid w:val="002901A2"/>
    <w:rsid w:val="002A7DA1"/>
    <w:rsid w:val="002B62BE"/>
    <w:rsid w:val="002C6BD4"/>
    <w:rsid w:val="002D68BF"/>
    <w:rsid w:val="002F6B98"/>
    <w:rsid w:val="002F7E85"/>
    <w:rsid w:val="003215CE"/>
    <w:rsid w:val="00331397"/>
    <w:rsid w:val="00336CBF"/>
    <w:rsid w:val="00343FE3"/>
    <w:rsid w:val="003546C8"/>
    <w:rsid w:val="00360D24"/>
    <w:rsid w:val="00383246"/>
    <w:rsid w:val="00393270"/>
    <w:rsid w:val="003A0BB5"/>
    <w:rsid w:val="003A7CF2"/>
    <w:rsid w:val="003C5CE5"/>
    <w:rsid w:val="003D1EE0"/>
    <w:rsid w:val="003D4D94"/>
    <w:rsid w:val="003D5E37"/>
    <w:rsid w:val="003E267B"/>
    <w:rsid w:val="003E7CD1"/>
    <w:rsid w:val="00402B9E"/>
    <w:rsid w:val="004249CB"/>
    <w:rsid w:val="0044127D"/>
    <w:rsid w:val="004448DB"/>
    <w:rsid w:val="00446C9A"/>
    <w:rsid w:val="00452F2B"/>
    <w:rsid w:val="00477193"/>
    <w:rsid w:val="0049094E"/>
    <w:rsid w:val="004A1848"/>
    <w:rsid w:val="004A5E16"/>
    <w:rsid w:val="004A6F4A"/>
    <w:rsid w:val="004C1483"/>
    <w:rsid w:val="004C4338"/>
    <w:rsid w:val="004E4717"/>
    <w:rsid w:val="004F2682"/>
    <w:rsid w:val="00507FEC"/>
    <w:rsid w:val="00510F0E"/>
    <w:rsid w:val="005479E1"/>
    <w:rsid w:val="00553E0A"/>
    <w:rsid w:val="0055599F"/>
    <w:rsid w:val="005570FD"/>
    <w:rsid w:val="005575EA"/>
    <w:rsid w:val="00564363"/>
    <w:rsid w:val="00574B7B"/>
    <w:rsid w:val="0057790C"/>
    <w:rsid w:val="005906EB"/>
    <w:rsid w:val="00593795"/>
    <w:rsid w:val="005A1A66"/>
    <w:rsid w:val="005A264D"/>
    <w:rsid w:val="005A75FF"/>
    <w:rsid w:val="005B6FD0"/>
    <w:rsid w:val="005D10AB"/>
    <w:rsid w:val="005E4581"/>
    <w:rsid w:val="00601865"/>
    <w:rsid w:val="00601D8F"/>
    <w:rsid w:val="00614BFE"/>
    <w:rsid w:val="00624BC5"/>
    <w:rsid w:val="00653E97"/>
    <w:rsid w:val="006558F9"/>
    <w:rsid w:val="00684A74"/>
    <w:rsid w:val="00690B8A"/>
    <w:rsid w:val="00692425"/>
    <w:rsid w:val="006A30B3"/>
    <w:rsid w:val="006B3BBB"/>
    <w:rsid w:val="006D737C"/>
    <w:rsid w:val="006F2CF1"/>
    <w:rsid w:val="007038ED"/>
    <w:rsid w:val="00703BC3"/>
    <w:rsid w:val="00704B61"/>
    <w:rsid w:val="007067E6"/>
    <w:rsid w:val="00737C4F"/>
    <w:rsid w:val="00753192"/>
    <w:rsid w:val="00754B1C"/>
    <w:rsid w:val="007552A9"/>
    <w:rsid w:val="00761858"/>
    <w:rsid w:val="00767D59"/>
    <w:rsid w:val="00776E97"/>
    <w:rsid w:val="00780F86"/>
    <w:rsid w:val="00784324"/>
    <w:rsid w:val="007912AD"/>
    <w:rsid w:val="00797EE4"/>
    <w:rsid w:val="007A3439"/>
    <w:rsid w:val="007A6260"/>
    <w:rsid w:val="007B0824"/>
    <w:rsid w:val="007B5D3C"/>
    <w:rsid w:val="007D35BA"/>
    <w:rsid w:val="00803622"/>
    <w:rsid w:val="00813344"/>
    <w:rsid w:val="00821B72"/>
    <w:rsid w:val="00823EF2"/>
    <w:rsid w:val="008303B8"/>
    <w:rsid w:val="00833DCE"/>
    <w:rsid w:val="0083414C"/>
    <w:rsid w:val="008362D0"/>
    <w:rsid w:val="00841456"/>
    <w:rsid w:val="00871D34"/>
    <w:rsid w:val="00890D1C"/>
    <w:rsid w:val="008B270C"/>
    <w:rsid w:val="008B2935"/>
    <w:rsid w:val="008B5078"/>
    <w:rsid w:val="008C3D3D"/>
    <w:rsid w:val="008D4131"/>
    <w:rsid w:val="008F1932"/>
    <w:rsid w:val="00903708"/>
    <w:rsid w:val="00921062"/>
    <w:rsid w:val="009268C6"/>
    <w:rsid w:val="00927804"/>
    <w:rsid w:val="009722BC"/>
    <w:rsid w:val="009727A3"/>
    <w:rsid w:val="009844F7"/>
    <w:rsid w:val="00987774"/>
    <w:rsid w:val="009A0405"/>
    <w:rsid w:val="009A11E8"/>
    <w:rsid w:val="009C1E08"/>
    <w:rsid w:val="009D5D32"/>
    <w:rsid w:val="009F5220"/>
    <w:rsid w:val="00A15234"/>
    <w:rsid w:val="00A17E1F"/>
    <w:rsid w:val="00A201AB"/>
    <w:rsid w:val="00A31C8B"/>
    <w:rsid w:val="00A41957"/>
    <w:rsid w:val="00A45075"/>
    <w:rsid w:val="00A509FA"/>
    <w:rsid w:val="00A70014"/>
    <w:rsid w:val="00A730C4"/>
    <w:rsid w:val="00A8189A"/>
    <w:rsid w:val="00A845DC"/>
    <w:rsid w:val="00AB18E5"/>
    <w:rsid w:val="00AC105A"/>
    <w:rsid w:val="00AC3999"/>
    <w:rsid w:val="00AC6EB9"/>
    <w:rsid w:val="00AC7CEF"/>
    <w:rsid w:val="00AE2B3B"/>
    <w:rsid w:val="00B230DE"/>
    <w:rsid w:val="00B26AA2"/>
    <w:rsid w:val="00B27A83"/>
    <w:rsid w:val="00B3524D"/>
    <w:rsid w:val="00B3706C"/>
    <w:rsid w:val="00B40F69"/>
    <w:rsid w:val="00B45CB3"/>
    <w:rsid w:val="00B46616"/>
    <w:rsid w:val="00B7040A"/>
    <w:rsid w:val="00B83391"/>
    <w:rsid w:val="00B87D3C"/>
    <w:rsid w:val="00B87D57"/>
    <w:rsid w:val="00B91534"/>
    <w:rsid w:val="00B95326"/>
    <w:rsid w:val="00BB1082"/>
    <w:rsid w:val="00BC24BB"/>
    <w:rsid w:val="00BC2599"/>
    <w:rsid w:val="00BC4254"/>
    <w:rsid w:val="00BD4196"/>
    <w:rsid w:val="00BE3F46"/>
    <w:rsid w:val="00BE68E9"/>
    <w:rsid w:val="00BF22CA"/>
    <w:rsid w:val="00BF23BB"/>
    <w:rsid w:val="00BF3B7A"/>
    <w:rsid w:val="00C26032"/>
    <w:rsid w:val="00C345E1"/>
    <w:rsid w:val="00C43BFD"/>
    <w:rsid w:val="00C46C09"/>
    <w:rsid w:val="00C8024F"/>
    <w:rsid w:val="00C96891"/>
    <w:rsid w:val="00CA36C7"/>
    <w:rsid w:val="00CA75B9"/>
    <w:rsid w:val="00CB4548"/>
    <w:rsid w:val="00CB6E35"/>
    <w:rsid w:val="00CC4193"/>
    <w:rsid w:val="00CE1A46"/>
    <w:rsid w:val="00CF7288"/>
    <w:rsid w:val="00D13E8C"/>
    <w:rsid w:val="00D20757"/>
    <w:rsid w:val="00D22636"/>
    <w:rsid w:val="00D40FD9"/>
    <w:rsid w:val="00D53769"/>
    <w:rsid w:val="00D619C8"/>
    <w:rsid w:val="00D84115"/>
    <w:rsid w:val="00D85C13"/>
    <w:rsid w:val="00D87D4A"/>
    <w:rsid w:val="00D9111A"/>
    <w:rsid w:val="00D91BE3"/>
    <w:rsid w:val="00D94AFC"/>
    <w:rsid w:val="00D978CD"/>
    <w:rsid w:val="00DB70AE"/>
    <w:rsid w:val="00DD5071"/>
    <w:rsid w:val="00DD5C39"/>
    <w:rsid w:val="00DE5406"/>
    <w:rsid w:val="00DE653F"/>
    <w:rsid w:val="00DE7DB7"/>
    <w:rsid w:val="00DF6824"/>
    <w:rsid w:val="00E00A0A"/>
    <w:rsid w:val="00E066DE"/>
    <w:rsid w:val="00E07F57"/>
    <w:rsid w:val="00E25A79"/>
    <w:rsid w:val="00E30683"/>
    <w:rsid w:val="00E453D8"/>
    <w:rsid w:val="00E50BCE"/>
    <w:rsid w:val="00E5115F"/>
    <w:rsid w:val="00E574BF"/>
    <w:rsid w:val="00E61292"/>
    <w:rsid w:val="00E61F81"/>
    <w:rsid w:val="00E62DA8"/>
    <w:rsid w:val="00E77C4D"/>
    <w:rsid w:val="00E81D01"/>
    <w:rsid w:val="00E942B3"/>
    <w:rsid w:val="00EA3C04"/>
    <w:rsid w:val="00ED722A"/>
    <w:rsid w:val="00EE45D8"/>
    <w:rsid w:val="00F20F31"/>
    <w:rsid w:val="00F22EDA"/>
    <w:rsid w:val="00F34590"/>
    <w:rsid w:val="00F36E56"/>
    <w:rsid w:val="00F4025F"/>
    <w:rsid w:val="00F40CFB"/>
    <w:rsid w:val="00F4482D"/>
    <w:rsid w:val="00F5508B"/>
    <w:rsid w:val="00F6181E"/>
    <w:rsid w:val="00FC05CD"/>
    <w:rsid w:val="00FC3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FooterChar">
    <w:name w:val="Footer Char"/>
    <w:link w:val="Footer"/>
    <w:uiPriority w:val="99"/>
    <w:rsid w:val="003D4D9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2950</Words>
  <Characters>14135</Characters>
  <Application>Microsoft Office Word</Application>
  <DocSecurity>0</DocSecurity>
  <Lines>117</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2018-06-15T11:48:00Z</dcterms:created>
  <dcterms:modified xsi:type="dcterms:W3CDTF">2018-06-15T11:49:00Z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