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9162CC" w:rsidRDefault="007C5E4A" w:rsidP="0010335F">
      <w:pPr>
        <w:jc w:val="center"/>
        <w:rPr>
          <w:rFonts w:ascii="Book Antiqua" w:hAnsi="Book Antiqua" w:cs="Arial"/>
          <w:caps/>
          <w:color w:val="000000"/>
          <w:sz w:val="16"/>
          <w:szCs w:val="16"/>
        </w:rPr>
      </w:pPr>
      <w:r w:rsidRPr="009162CC">
        <w:rPr>
          <w:rFonts w:ascii="Book Antiqua" w:hAnsi="Book Antiqua"/>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9162CC" w:rsidRDefault="0010335F" w:rsidP="00780F86">
      <w:pPr>
        <w:tabs>
          <w:tab w:val="right" w:pos="9720"/>
        </w:tabs>
        <w:ind w:right="-82"/>
        <w:rPr>
          <w:rFonts w:ascii="Book Antiqua" w:hAnsi="Book Antiqua" w:cs="Arial"/>
          <w:b/>
          <w:color w:val="000000"/>
        </w:rPr>
      </w:pPr>
      <w:r w:rsidRPr="009162CC">
        <w:rPr>
          <w:rFonts w:ascii="Book Antiqua" w:hAnsi="Book Antiqua" w:cs="Arial"/>
          <w:b/>
          <w:color w:val="000000"/>
        </w:rPr>
        <w:t>Upper Tribunal</w:t>
      </w:r>
    </w:p>
    <w:p w:rsidR="007B0824" w:rsidRPr="00B35F7D" w:rsidRDefault="0010335F" w:rsidP="00780F86">
      <w:pPr>
        <w:tabs>
          <w:tab w:val="right" w:pos="9720"/>
        </w:tabs>
        <w:ind w:right="-82"/>
        <w:rPr>
          <w:rFonts w:ascii="Book Antiqua" w:hAnsi="Book Antiqua" w:cs="Arial"/>
          <w:b/>
          <w:color w:val="000000"/>
        </w:rPr>
      </w:pPr>
      <w:r w:rsidRPr="009162CC">
        <w:rPr>
          <w:rFonts w:ascii="Book Antiqua" w:hAnsi="Book Antiqua" w:cs="Arial"/>
          <w:b/>
          <w:color w:val="000000"/>
        </w:rPr>
        <w:t xml:space="preserve">(Immigration and Asylum </w:t>
      </w:r>
      <w:proofErr w:type="gramStart"/>
      <w:r w:rsidRPr="009162CC">
        <w:rPr>
          <w:rFonts w:ascii="Book Antiqua" w:hAnsi="Book Antiqua" w:cs="Arial"/>
          <w:b/>
          <w:color w:val="000000"/>
        </w:rPr>
        <w:t>Chamber)</w:t>
      </w:r>
      <w:r w:rsidR="00B35F7D">
        <w:rPr>
          <w:rFonts w:ascii="Book Antiqua" w:hAnsi="Book Antiqua" w:cs="Arial"/>
          <w:b/>
          <w:color w:val="000000"/>
        </w:rPr>
        <w:t xml:space="preserve">   </w:t>
      </w:r>
      <w:proofErr w:type="gramEnd"/>
      <w:r w:rsidR="00B35F7D">
        <w:rPr>
          <w:rFonts w:ascii="Book Antiqua" w:hAnsi="Book Antiqua" w:cs="Arial"/>
          <w:b/>
          <w:color w:val="000000"/>
        </w:rPr>
        <w:t xml:space="preserve">                    </w:t>
      </w:r>
      <w:r w:rsidR="00B3524D" w:rsidRPr="00B35F7D">
        <w:rPr>
          <w:rFonts w:ascii="Book Antiqua" w:hAnsi="Book Antiqua" w:cs="Arial"/>
          <w:b/>
          <w:color w:val="000000"/>
        </w:rPr>
        <w:t>Appeal Number</w:t>
      </w:r>
      <w:r w:rsidR="00D53769" w:rsidRPr="00B35F7D">
        <w:rPr>
          <w:rFonts w:ascii="Book Antiqua" w:hAnsi="Book Antiqua" w:cs="Arial"/>
          <w:b/>
          <w:color w:val="000000"/>
        </w:rPr>
        <w:t>:</w:t>
      </w:r>
      <w:r w:rsidR="00B3524D" w:rsidRPr="00B35F7D">
        <w:rPr>
          <w:rFonts w:ascii="Book Antiqua" w:hAnsi="Book Antiqua" w:cs="Arial"/>
          <w:b/>
          <w:color w:val="000000"/>
        </w:rPr>
        <w:t xml:space="preserve"> </w:t>
      </w:r>
      <w:r w:rsidR="009162CC" w:rsidRPr="00B35F7D">
        <w:rPr>
          <w:rFonts w:ascii="Book Antiqua" w:hAnsi="Book Antiqua" w:cs="Arial"/>
          <w:b/>
          <w:caps/>
          <w:color w:val="000000"/>
        </w:rPr>
        <w:t>PA/04840/2019</w:t>
      </w:r>
    </w:p>
    <w:p w:rsidR="00C345E1" w:rsidRPr="00B35F7D" w:rsidRDefault="00C345E1" w:rsidP="00C345E1">
      <w:pPr>
        <w:jc w:val="center"/>
        <w:rPr>
          <w:rFonts w:ascii="Book Antiqua" w:hAnsi="Book Antiqua" w:cs="Arial"/>
          <w:b/>
          <w:color w:val="000000"/>
        </w:rPr>
      </w:pPr>
    </w:p>
    <w:p w:rsidR="00C345E1" w:rsidRPr="009162CC" w:rsidRDefault="00C345E1" w:rsidP="00C345E1">
      <w:pPr>
        <w:jc w:val="center"/>
        <w:rPr>
          <w:rFonts w:ascii="Book Antiqua" w:hAnsi="Book Antiqua" w:cs="Arial"/>
          <w:b/>
          <w:color w:val="000000"/>
          <w:u w:val="single"/>
        </w:rPr>
      </w:pPr>
      <w:r w:rsidRPr="009162CC">
        <w:rPr>
          <w:rFonts w:ascii="Book Antiqua" w:hAnsi="Book Antiqua" w:cs="Arial"/>
          <w:b/>
          <w:color w:val="000000"/>
          <w:u w:val="single"/>
        </w:rPr>
        <w:t>THE IMMIGRATION ACTS</w:t>
      </w:r>
    </w:p>
    <w:p w:rsidR="00C345E1" w:rsidRPr="009162C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9162CC" w:rsidTr="00B35F7D">
        <w:tc>
          <w:tcPr>
            <w:tcW w:w="5245" w:type="dxa"/>
            <w:shd w:val="clear" w:color="auto" w:fill="auto"/>
          </w:tcPr>
          <w:p w:rsidR="00D22636" w:rsidRPr="009162CC" w:rsidRDefault="009162CC" w:rsidP="00C229B7">
            <w:pPr>
              <w:jc w:val="both"/>
              <w:rPr>
                <w:rFonts w:ascii="Book Antiqua" w:hAnsi="Book Antiqua" w:cs="Arial"/>
                <w:b/>
              </w:rPr>
            </w:pPr>
            <w:r w:rsidRPr="009162CC">
              <w:rPr>
                <w:rFonts w:ascii="Book Antiqua" w:hAnsi="Book Antiqua" w:cs="Arial"/>
                <w:b/>
              </w:rPr>
              <w:t>Decided on the papers</w:t>
            </w:r>
          </w:p>
        </w:tc>
        <w:tc>
          <w:tcPr>
            <w:tcW w:w="4763" w:type="dxa"/>
            <w:shd w:val="clear" w:color="auto" w:fill="auto"/>
          </w:tcPr>
          <w:p w:rsidR="00D22636" w:rsidRPr="009162CC" w:rsidRDefault="00D6134E" w:rsidP="00C229B7">
            <w:pPr>
              <w:jc w:val="both"/>
              <w:rPr>
                <w:rFonts w:ascii="Book Antiqua" w:hAnsi="Book Antiqua" w:cs="Arial"/>
                <w:b/>
                <w:color w:val="000000"/>
              </w:rPr>
            </w:pPr>
            <w:r w:rsidRPr="009162CC">
              <w:rPr>
                <w:rFonts w:ascii="Book Antiqua" w:hAnsi="Book Antiqua" w:cs="Arial"/>
                <w:b/>
                <w:color w:val="000000"/>
              </w:rPr>
              <w:t>Decision &amp; Reasons</w:t>
            </w:r>
            <w:r w:rsidR="00283659" w:rsidRPr="009162CC">
              <w:rPr>
                <w:rFonts w:ascii="Book Antiqua" w:hAnsi="Book Antiqua" w:cs="Arial"/>
                <w:b/>
                <w:color w:val="000000"/>
              </w:rPr>
              <w:t xml:space="preserve"> Promulgated</w:t>
            </w:r>
          </w:p>
        </w:tc>
      </w:tr>
      <w:tr w:rsidR="00D22636" w:rsidRPr="009162CC" w:rsidTr="00B35F7D">
        <w:tc>
          <w:tcPr>
            <w:tcW w:w="5245" w:type="dxa"/>
            <w:shd w:val="clear" w:color="auto" w:fill="auto"/>
          </w:tcPr>
          <w:p w:rsidR="00D22636" w:rsidRPr="009162CC" w:rsidRDefault="00D22636" w:rsidP="00C229B7">
            <w:pPr>
              <w:jc w:val="both"/>
              <w:rPr>
                <w:rFonts w:ascii="Book Antiqua" w:hAnsi="Book Antiqua" w:cs="Arial"/>
                <w:b/>
              </w:rPr>
            </w:pPr>
            <w:r w:rsidRPr="009162CC">
              <w:rPr>
                <w:rFonts w:ascii="Book Antiqua" w:hAnsi="Book Antiqua" w:cs="Arial"/>
                <w:b/>
              </w:rPr>
              <w:t xml:space="preserve">On </w:t>
            </w:r>
            <w:r w:rsidR="00EA0E89">
              <w:rPr>
                <w:rFonts w:ascii="Book Antiqua" w:hAnsi="Book Antiqua" w:cs="Arial"/>
                <w:b/>
              </w:rPr>
              <w:t>18 August</w:t>
            </w:r>
            <w:r w:rsidR="009162CC" w:rsidRPr="009162CC">
              <w:rPr>
                <w:rFonts w:ascii="Book Antiqua" w:hAnsi="Book Antiqua" w:cs="Arial"/>
                <w:b/>
              </w:rPr>
              <w:t xml:space="preserve"> 2020</w:t>
            </w:r>
          </w:p>
        </w:tc>
        <w:tc>
          <w:tcPr>
            <w:tcW w:w="4763" w:type="dxa"/>
            <w:shd w:val="clear" w:color="auto" w:fill="auto"/>
          </w:tcPr>
          <w:p w:rsidR="00D22636" w:rsidRPr="009162CC" w:rsidRDefault="002002C7" w:rsidP="00C229B7">
            <w:pPr>
              <w:jc w:val="both"/>
              <w:rPr>
                <w:rFonts w:ascii="Book Antiqua" w:hAnsi="Book Antiqua" w:cs="Arial"/>
                <w:b/>
              </w:rPr>
            </w:pPr>
            <w:r>
              <w:rPr>
                <w:rFonts w:ascii="Book Antiqua" w:hAnsi="Book Antiqua" w:cs="Arial"/>
                <w:b/>
              </w:rPr>
              <w:t>On 25 August 2020</w:t>
            </w:r>
          </w:p>
        </w:tc>
      </w:tr>
      <w:tr w:rsidR="00D22636" w:rsidRPr="009162CC" w:rsidTr="00B35F7D">
        <w:tc>
          <w:tcPr>
            <w:tcW w:w="5245" w:type="dxa"/>
            <w:shd w:val="clear" w:color="auto" w:fill="auto"/>
          </w:tcPr>
          <w:p w:rsidR="00D22636" w:rsidRPr="009162CC" w:rsidRDefault="00D22636" w:rsidP="00C229B7">
            <w:pPr>
              <w:jc w:val="both"/>
              <w:rPr>
                <w:rFonts w:ascii="Book Antiqua" w:hAnsi="Book Antiqua" w:cs="Arial"/>
                <w:b/>
              </w:rPr>
            </w:pPr>
          </w:p>
        </w:tc>
        <w:tc>
          <w:tcPr>
            <w:tcW w:w="4763" w:type="dxa"/>
            <w:shd w:val="clear" w:color="auto" w:fill="auto"/>
          </w:tcPr>
          <w:p w:rsidR="00D22636" w:rsidRPr="009162CC" w:rsidRDefault="00D22636" w:rsidP="00C229B7">
            <w:pPr>
              <w:jc w:val="both"/>
              <w:rPr>
                <w:rFonts w:ascii="Book Antiqua" w:hAnsi="Book Antiqua" w:cs="Arial"/>
                <w:b/>
              </w:rPr>
            </w:pPr>
          </w:p>
        </w:tc>
      </w:tr>
    </w:tbl>
    <w:p w:rsidR="00A15234" w:rsidRPr="009162CC" w:rsidRDefault="00A15234" w:rsidP="00A15234">
      <w:pPr>
        <w:jc w:val="center"/>
        <w:rPr>
          <w:rFonts w:ascii="Book Antiqua" w:hAnsi="Book Antiqua" w:cs="Arial"/>
        </w:rPr>
      </w:pPr>
    </w:p>
    <w:p w:rsidR="00A15234" w:rsidRPr="009162CC" w:rsidRDefault="00A15234" w:rsidP="00A15234">
      <w:pPr>
        <w:jc w:val="center"/>
        <w:rPr>
          <w:rFonts w:ascii="Book Antiqua" w:hAnsi="Book Antiqua" w:cs="Arial"/>
        </w:rPr>
      </w:pPr>
    </w:p>
    <w:p w:rsidR="00A15234" w:rsidRPr="009162CC" w:rsidRDefault="00207617" w:rsidP="00A15234">
      <w:pPr>
        <w:jc w:val="center"/>
        <w:rPr>
          <w:rFonts w:ascii="Book Antiqua" w:hAnsi="Book Antiqua" w:cs="Arial"/>
          <w:b/>
        </w:rPr>
      </w:pPr>
      <w:r w:rsidRPr="009162CC">
        <w:rPr>
          <w:rFonts w:ascii="Book Antiqua" w:hAnsi="Book Antiqua" w:cs="Arial"/>
          <w:b/>
        </w:rPr>
        <w:t>Befo</w:t>
      </w:r>
      <w:r w:rsidR="00A15234" w:rsidRPr="009162CC">
        <w:rPr>
          <w:rFonts w:ascii="Book Antiqua" w:hAnsi="Book Antiqua" w:cs="Arial"/>
          <w:b/>
        </w:rPr>
        <w:t>re</w:t>
      </w:r>
    </w:p>
    <w:p w:rsidR="00A15234" w:rsidRPr="009162CC" w:rsidRDefault="00A15234" w:rsidP="00A15234">
      <w:pPr>
        <w:jc w:val="center"/>
        <w:rPr>
          <w:rFonts w:ascii="Book Antiqua" w:hAnsi="Book Antiqua" w:cs="Arial"/>
          <w:b/>
        </w:rPr>
      </w:pPr>
    </w:p>
    <w:p w:rsidR="001B186A" w:rsidRPr="009162CC" w:rsidRDefault="00BB7457" w:rsidP="00A15234">
      <w:pPr>
        <w:jc w:val="center"/>
        <w:rPr>
          <w:rFonts w:ascii="Book Antiqua" w:hAnsi="Book Antiqua" w:cs="Arial"/>
          <w:b/>
          <w:color w:val="000000"/>
        </w:rPr>
      </w:pPr>
      <w:r w:rsidRPr="009162CC">
        <w:rPr>
          <w:rFonts w:ascii="Book Antiqua" w:hAnsi="Book Antiqua" w:cs="Arial"/>
          <w:b/>
          <w:color w:val="000000"/>
        </w:rPr>
        <w:t>UPPER TRIBUNAL JUDGE STEPHEN SMITH</w:t>
      </w:r>
    </w:p>
    <w:p w:rsidR="00A845DC" w:rsidRPr="009162CC" w:rsidRDefault="00A845DC" w:rsidP="00A15234">
      <w:pPr>
        <w:jc w:val="center"/>
        <w:rPr>
          <w:rFonts w:ascii="Book Antiqua" w:hAnsi="Book Antiqua" w:cs="Arial"/>
          <w:b/>
        </w:rPr>
      </w:pPr>
    </w:p>
    <w:p w:rsidR="00A845DC" w:rsidRPr="009162CC" w:rsidRDefault="00A845DC" w:rsidP="00A15234">
      <w:pPr>
        <w:jc w:val="center"/>
        <w:rPr>
          <w:rFonts w:ascii="Book Antiqua" w:hAnsi="Book Antiqua" w:cs="Arial"/>
          <w:b/>
        </w:rPr>
      </w:pPr>
      <w:r w:rsidRPr="009162CC">
        <w:rPr>
          <w:rFonts w:ascii="Book Antiqua" w:hAnsi="Book Antiqua" w:cs="Arial"/>
          <w:b/>
        </w:rPr>
        <w:t>Between</w:t>
      </w:r>
    </w:p>
    <w:p w:rsidR="00A845DC" w:rsidRPr="009162CC" w:rsidRDefault="00A845DC" w:rsidP="00A15234">
      <w:pPr>
        <w:jc w:val="center"/>
        <w:rPr>
          <w:rFonts w:ascii="Book Antiqua" w:hAnsi="Book Antiqua" w:cs="Arial"/>
          <w:b/>
        </w:rPr>
      </w:pPr>
    </w:p>
    <w:p w:rsidR="00A845DC" w:rsidRPr="009162CC" w:rsidRDefault="009162CC" w:rsidP="00A15234">
      <w:pPr>
        <w:jc w:val="center"/>
        <w:rPr>
          <w:rFonts w:ascii="Book Antiqua" w:hAnsi="Book Antiqua" w:cs="Arial"/>
          <w:b/>
          <w:caps/>
        </w:rPr>
      </w:pPr>
      <w:r w:rsidRPr="009162CC">
        <w:rPr>
          <w:rFonts w:ascii="Book Antiqua" w:hAnsi="Book Antiqua" w:cs="Arial"/>
          <w:b/>
          <w:caps/>
        </w:rPr>
        <w:t>SA</w:t>
      </w:r>
    </w:p>
    <w:p w:rsidR="00D6134E" w:rsidRPr="00B35F7D" w:rsidRDefault="00D6134E" w:rsidP="00D6134E">
      <w:pPr>
        <w:jc w:val="center"/>
        <w:rPr>
          <w:rFonts w:ascii="Book Antiqua" w:hAnsi="Book Antiqua" w:cs="Arial"/>
          <w:caps/>
        </w:rPr>
      </w:pPr>
      <w:r w:rsidRPr="00B35F7D">
        <w:rPr>
          <w:rFonts w:ascii="Book Antiqua" w:hAnsi="Book Antiqua" w:cs="Arial"/>
          <w:caps/>
        </w:rPr>
        <w:t xml:space="preserve">(ANONYMITY DIRECTION </w:t>
      </w:r>
      <w:r w:rsidR="00701F4D" w:rsidRPr="00B35F7D">
        <w:rPr>
          <w:rFonts w:ascii="Book Antiqua" w:hAnsi="Book Antiqua" w:cs="Arial"/>
          <w:caps/>
        </w:rPr>
        <w:t>MADE</w:t>
      </w:r>
      <w:r w:rsidRPr="00B35F7D">
        <w:rPr>
          <w:rFonts w:ascii="Book Antiqua" w:hAnsi="Book Antiqua" w:cs="Arial"/>
          <w:caps/>
        </w:rPr>
        <w:t>)</w:t>
      </w:r>
    </w:p>
    <w:p w:rsidR="00704B61" w:rsidRPr="009162CC" w:rsidRDefault="00704B61" w:rsidP="00704B61">
      <w:pPr>
        <w:jc w:val="right"/>
        <w:rPr>
          <w:rFonts w:ascii="Book Antiqua" w:hAnsi="Book Antiqua" w:cs="Arial"/>
          <w:u w:val="single"/>
        </w:rPr>
      </w:pPr>
      <w:r w:rsidRPr="009162CC">
        <w:rPr>
          <w:rFonts w:ascii="Book Antiqua" w:hAnsi="Book Antiqua" w:cs="Arial"/>
          <w:u w:val="single"/>
        </w:rPr>
        <w:t>Appellant</w:t>
      </w:r>
    </w:p>
    <w:p w:rsidR="00704B61" w:rsidRPr="009162CC" w:rsidRDefault="00DD5071" w:rsidP="00704B61">
      <w:pPr>
        <w:jc w:val="center"/>
        <w:rPr>
          <w:rFonts w:ascii="Book Antiqua" w:hAnsi="Book Antiqua" w:cs="Arial"/>
          <w:b/>
        </w:rPr>
      </w:pPr>
      <w:r w:rsidRPr="009162CC">
        <w:rPr>
          <w:rFonts w:ascii="Book Antiqua" w:hAnsi="Book Antiqua" w:cs="Arial"/>
          <w:b/>
        </w:rPr>
        <w:t>and</w:t>
      </w:r>
    </w:p>
    <w:p w:rsidR="009162CC" w:rsidRPr="009162CC" w:rsidRDefault="009162CC" w:rsidP="009162CC">
      <w:pPr>
        <w:jc w:val="center"/>
        <w:rPr>
          <w:rFonts w:ascii="Book Antiqua" w:hAnsi="Book Antiqua" w:cs="Arial"/>
          <w:b/>
        </w:rPr>
      </w:pPr>
    </w:p>
    <w:p w:rsidR="009162CC" w:rsidRPr="009162CC" w:rsidRDefault="009162CC" w:rsidP="009162CC">
      <w:pPr>
        <w:jc w:val="center"/>
        <w:rPr>
          <w:rFonts w:ascii="Book Antiqua" w:hAnsi="Book Antiqua" w:cs="Arial"/>
          <w:b/>
        </w:rPr>
      </w:pPr>
      <w:r w:rsidRPr="009162CC">
        <w:rPr>
          <w:rFonts w:ascii="Book Antiqua" w:hAnsi="Book Antiqua" w:cs="Arial"/>
          <w:b/>
        </w:rPr>
        <w:t>THE SECRETARY OF STATE FOR THE HOME DEPARTMENT</w:t>
      </w:r>
    </w:p>
    <w:p w:rsidR="00DD5071" w:rsidRPr="009162CC" w:rsidRDefault="00DD5071" w:rsidP="00DD5071">
      <w:pPr>
        <w:jc w:val="right"/>
        <w:rPr>
          <w:rFonts w:ascii="Book Antiqua" w:hAnsi="Book Antiqua" w:cs="Arial"/>
          <w:u w:val="single"/>
        </w:rPr>
      </w:pPr>
      <w:r w:rsidRPr="009162CC">
        <w:rPr>
          <w:rFonts w:ascii="Book Antiqua" w:hAnsi="Book Antiqua" w:cs="Arial"/>
          <w:u w:val="single"/>
        </w:rPr>
        <w:t>Respondent</w:t>
      </w:r>
    </w:p>
    <w:p w:rsidR="00DD5071" w:rsidRPr="009162CC" w:rsidRDefault="00DD5071" w:rsidP="00DD5071">
      <w:pPr>
        <w:rPr>
          <w:rFonts w:ascii="Book Antiqua" w:hAnsi="Book Antiqua" w:cs="Arial"/>
          <w:u w:val="single"/>
        </w:rPr>
      </w:pPr>
    </w:p>
    <w:p w:rsidR="00DD5071" w:rsidRPr="009162CC" w:rsidRDefault="00DD5071" w:rsidP="00DD5071">
      <w:pPr>
        <w:rPr>
          <w:rFonts w:ascii="Book Antiqua" w:hAnsi="Book Antiqua" w:cs="Arial"/>
          <w:u w:val="single"/>
        </w:rPr>
      </w:pPr>
    </w:p>
    <w:p w:rsidR="00DE7DB7" w:rsidRPr="009162CC" w:rsidRDefault="00D6134E" w:rsidP="00402B9E">
      <w:pPr>
        <w:tabs>
          <w:tab w:val="left" w:pos="2520"/>
        </w:tabs>
        <w:jc w:val="center"/>
        <w:rPr>
          <w:rFonts w:ascii="Book Antiqua" w:hAnsi="Book Antiqua" w:cs="Arial"/>
          <w:b/>
          <w:u w:val="single"/>
        </w:rPr>
      </w:pPr>
      <w:r w:rsidRPr="009162CC">
        <w:rPr>
          <w:rFonts w:ascii="Book Antiqua" w:hAnsi="Book Antiqua" w:cs="Arial"/>
          <w:b/>
          <w:u w:val="single"/>
        </w:rPr>
        <w:t xml:space="preserve">DECISION </w:t>
      </w:r>
      <w:r w:rsidR="00402B9E" w:rsidRPr="009162CC">
        <w:rPr>
          <w:rFonts w:ascii="Book Antiqua" w:hAnsi="Book Antiqua" w:cs="Arial"/>
          <w:b/>
          <w:u w:val="single"/>
        </w:rPr>
        <w:t>AND REASONS</w:t>
      </w:r>
      <w:r w:rsidR="00DB5504" w:rsidRPr="009162CC">
        <w:rPr>
          <w:rFonts w:ascii="Book Antiqua" w:hAnsi="Book Antiqua" w:cs="Arial"/>
          <w:b/>
          <w:u w:val="single"/>
        </w:rPr>
        <w:t xml:space="preserve"> (P)</w:t>
      </w:r>
    </w:p>
    <w:p w:rsidR="00FF1E84" w:rsidRPr="009162CC" w:rsidRDefault="00FF1E84" w:rsidP="00402B9E">
      <w:pPr>
        <w:tabs>
          <w:tab w:val="left" w:pos="2520"/>
        </w:tabs>
        <w:jc w:val="center"/>
        <w:rPr>
          <w:rFonts w:ascii="Book Antiqua" w:hAnsi="Book Antiqua" w:cs="Arial"/>
          <w:b/>
          <w:u w:val="single"/>
        </w:rPr>
      </w:pPr>
    </w:p>
    <w:p w:rsidR="008A7FF5" w:rsidRDefault="008A7FF5" w:rsidP="008A7FF5">
      <w:pPr>
        <w:tabs>
          <w:tab w:val="left" w:pos="2520"/>
        </w:tabs>
        <w:ind w:left="567"/>
        <w:rPr>
          <w:rStyle w:val="normaltextrun"/>
          <w:rFonts w:ascii="Book Antiqua" w:hAnsi="Book Antiqua" w:cs="Tahoma"/>
          <w:i/>
          <w:iCs/>
          <w:color w:val="000000"/>
          <w:shd w:val="clear" w:color="auto" w:fill="FFFFFF"/>
        </w:rPr>
      </w:pPr>
      <w:bookmarkStart w:id="0" w:name="_Hlk45725509"/>
    </w:p>
    <w:p w:rsidR="00FF1E84" w:rsidRPr="008A7FF5" w:rsidRDefault="00FF1E84" w:rsidP="00B35F7D">
      <w:pPr>
        <w:tabs>
          <w:tab w:val="left" w:pos="2520"/>
        </w:tabs>
        <w:ind w:left="567"/>
        <w:jc w:val="both"/>
        <w:rPr>
          <w:rStyle w:val="normaltextrun"/>
          <w:rFonts w:ascii="Book Antiqua" w:hAnsi="Book Antiqua" w:cs="Tahoma"/>
          <w:i/>
          <w:iCs/>
          <w:color w:val="000000"/>
          <w:shd w:val="clear" w:color="auto" w:fill="FFFFFF"/>
        </w:rPr>
      </w:pPr>
      <w:r w:rsidRPr="008A7FF5">
        <w:rPr>
          <w:rStyle w:val="normaltextrun"/>
          <w:rFonts w:ascii="Book Antiqua" w:hAnsi="Book Antiqua" w:cs="Tahoma"/>
          <w:i/>
          <w:iCs/>
          <w:color w:val="000000"/>
          <w:shd w:val="clear" w:color="auto" w:fill="FFFFFF"/>
        </w:rPr>
        <w:t xml:space="preserve">This has been a paper </w:t>
      </w:r>
      <w:proofErr w:type="gramStart"/>
      <w:r w:rsidRPr="008A7FF5">
        <w:rPr>
          <w:rStyle w:val="normaltextrun"/>
          <w:rFonts w:ascii="Book Antiqua" w:hAnsi="Book Antiqua" w:cs="Tahoma"/>
          <w:i/>
          <w:iCs/>
          <w:color w:val="000000"/>
          <w:shd w:val="clear" w:color="auto" w:fill="FFFFFF"/>
        </w:rPr>
        <w:t>hearing </w:t>
      </w:r>
      <w:r w:rsidR="00C07657" w:rsidRPr="008A7FF5">
        <w:rPr>
          <w:rStyle w:val="normaltextrun"/>
          <w:rFonts w:ascii="Book Antiqua" w:hAnsi="Book Antiqua" w:cs="Tahoma"/>
          <w:i/>
          <w:iCs/>
          <w:color w:val="000000"/>
          <w:shd w:val="clear" w:color="auto" w:fill="FFFFFF"/>
        </w:rPr>
        <w:t xml:space="preserve"> </w:t>
      </w:r>
      <w:r w:rsidRPr="008A7FF5">
        <w:rPr>
          <w:rStyle w:val="normaltextrun"/>
          <w:rFonts w:ascii="Book Antiqua" w:hAnsi="Book Antiqua" w:cs="Tahoma"/>
          <w:i/>
          <w:iCs/>
          <w:color w:val="000000"/>
          <w:shd w:val="clear" w:color="auto" w:fill="FFFFFF"/>
        </w:rPr>
        <w:t>which</w:t>
      </w:r>
      <w:proofErr w:type="gramEnd"/>
      <w:r w:rsidRPr="008A7FF5">
        <w:rPr>
          <w:rStyle w:val="normaltextrun"/>
          <w:rFonts w:ascii="Book Antiqua" w:hAnsi="Book Antiqua" w:cs="Tahoma"/>
          <w:i/>
          <w:iCs/>
          <w:color w:val="000000"/>
          <w:shd w:val="clear" w:color="auto" w:fill="FFFFFF"/>
        </w:rPr>
        <w:t xml:space="preserve"> has not been objected to by the parties.  The form of hearing was P </w:t>
      </w:r>
      <w:r w:rsidR="00CC4798" w:rsidRPr="008A7FF5">
        <w:rPr>
          <w:rStyle w:val="normaltextrun"/>
          <w:rFonts w:ascii="Book Antiqua" w:hAnsi="Book Antiqua" w:cs="Tahoma"/>
          <w:i/>
          <w:iCs/>
          <w:color w:val="000000"/>
          <w:shd w:val="clear" w:color="auto" w:fill="FFFFFF"/>
        </w:rPr>
        <w:t>(paper determination which is not provisional)</w:t>
      </w:r>
      <w:r w:rsidRPr="008A7FF5">
        <w:rPr>
          <w:rStyle w:val="normaltextrun"/>
          <w:rFonts w:ascii="Book Antiqua" w:hAnsi="Book Antiqua" w:cs="Tahoma"/>
          <w:i/>
          <w:iCs/>
          <w:color w:val="000000"/>
          <w:shd w:val="clear" w:color="auto" w:fill="FFFFFF"/>
        </w:rPr>
        <w:t xml:space="preserve">. A face to face hearing was not held because it was not </w:t>
      </w:r>
      <w:r w:rsidR="00CA7EBC" w:rsidRPr="008A7FF5">
        <w:rPr>
          <w:rStyle w:val="normaltextrun"/>
          <w:rFonts w:ascii="Book Antiqua" w:hAnsi="Book Antiqua" w:cs="Tahoma"/>
          <w:i/>
          <w:iCs/>
          <w:color w:val="000000"/>
          <w:shd w:val="clear" w:color="auto" w:fill="FFFFFF"/>
        </w:rPr>
        <w:t>practicable,</w:t>
      </w:r>
      <w:r w:rsidRPr="008A7FF5">
        <w:rPr>
          <w:rStyle w:val="normaltextrun"/>
          <w:rFonts w:ascii="Book Antiqua" w:hAnsi="Book Antiqua" w:cs="Tahoma"/>
          <w:i/>
          <w:iCs/>
          <w:color w:val="000000"/>
          <w:shd w:val="clear" w:color="auto" w:fill="FFFFFF"/>
        </w:rPr>
        <w:t xml:space="preserve"> and all issues could be determined on paper. The documents that I was referred to are in a bundle of [</w:t>
      </w:r>
      <w:r w:rsidR="00245B04" w:rsidRPr="008A7FF5">
        <w:rPr>
          <w:rStyle w:val="normaltextrun"/>
          <w:rFonts w:ascii="Book Antiqua" w:hAnsi="Book Antiqua" w:cs="Tahoma"/>
          <w:i/>
          <w:iCs/>
          <w:color w:val="000000"/>
          <w:shd w:val="clear" w:color="auto" w:fill="FFFFFF"/>
        </w:rPr>
        <w:t>231</w:t>
      </w:r>
      <w:r w:rsidRPr="008A7FF5">
        <w:rPr>
          <w:rStyle w:val="normaltextrun"/>
          <w:rFonts w:ascii="Book Antiqua" w:hAnsi="Book Antiqua" w:cs="Tahoma"/>
          <w:i/>
          <w:iCs/>
          <w:color w:val="000000"/>
          <w:shd w:val="clear" w:color="auto" w:fill="FFFFFF"/>
        </w:rPr>
        <w:t xml:space="preserve">] pages, </w:t>
      </w:r>
      <w:r w:rsidR="00245B04" w:rsidRPr="008A7FF5">
        <w:rPr>
          <w:rStyle w:val="normaltextrun"/>
          <w:rFonts w:ascii="Book Antiqua" w:hAnsi="Book Antiqua" w:cs="Tahoma"/>
          <w:i/>
          <w:iCs/>
          <w:color w:val="000000"/>
          <w:shd w:val="clear" w:color="auto" w:fill="FFFFFF"/>
        </w:rPr>
        <w:t xml:space="preserve">plus additional supporting documents, </w:t>
      </w:r>
      <w:r w:rsidRPr="008A7FF5">
        <w:rPr>
          <w:rStyle w:val="normaltextrun"/>
          <w:rFonts w:ascii="Book Antiqua" w:hAnsi="Book Antiqua" w:cs="Tahoma"/>
          <w:i/>
          <w:iCs/>
          <w:color w:val="000000"/>
          <w:shd w:val="clear" w:color="auto" w:fill="FFFFFF"/>
        </w:rPr>
        <w:t>the contents of which I have recorded. The order made is described at the end of these reasons</w:t>
      </w:r>
      <w:r w:rsidR="00CC4798" w:rsidRPr="008A7FF5">
        <w:rPr>
          <w:rStyle w:val="normaltextrun"/>
          <w:rFonts w:ascii="Book Antiqua" w:hAnsi="Book Antiqua" w:cs="Tahoma"/>
          <w:i/>
          <w:iCs/>
          <w:color w:val="000000"/>
          <w:shd w:val="clear" w:color="auto" w:fill="FFFFFF"/>
        </w:rPr>
        <w:t>.</w:t>
      </w:r>
    </w:p>
    <w:p w:rsidR="008A7FF5" w:rsidRPr="009162CC" w:rsidRDefault="008A7FF5" w:rsidP="00FF1E84">
      <w:pPr>
        <w:tabs>
          <w:tab w:val="left" w:pos="2520"/>
        </w:tabs>
        <w:rPr>
          <w:rFonts w:ascii="Book Antiqua" w:hAnsi="Book Antiqua" w:cs="Arial"/>
        </w:rPr>
      </w:pPr>
    </w:p>
    <w:bookmarkEnd w:id="0"/>
    <w:p w:rsidR="00402B9E" w:rsidRPr="009162CC" w:rsidRDefault="00402B9E" w:rsidP="00402B9E">
      <w:pPr>
        <w:tabs>
          <w:tab w:val="left" w:pos="2520"/>
        </w:tabs>
        <w:jc w:val="both"/>
        <w:rPr>
          <w:rFonts w:ascii="Book Antiqua" w:hAnsi="Book Antiqua" w:cs="Arial"/>
        </w:rPr>
      </w:pPr>
    </w:p>
    <w:p w:rsidR="00FF1E84" w:rsidRPr="009162CC" w:rsidRDefault="00DB5504" w:rsidP="00DB5504">
      <w:pPr>
        <w:numPr>
          <w:ilvl w:val="0"/>
          <w:numId w:val="1"/>
        </w:numPr>
        <w:tabs>
          <w:tab w:val="clear" w:pos="720"/>
        </w:tabs>
        <w:spacing w:before="240"/>
        <w:ind w:left="567" w:hanging="567"/>
        <w:jc w:val="both"/>
        <w:rPr>
          <w:rFonts w:ascii="Book Antiqua" w:hAnsi="Book Antiqua" w:cs="Arial"/>
        </w:rPr>
      </w:pPr>
      <w:r w:rsidRPr="009162CC">
        <w:rPr>
          <w:rFonts w:ascii="Book Antiqua" w:hAnsi="Book Antiqua" w:cs="Arial"/>
        </w:rPr>
        <w:t xml:space="preserve">On 19 September 2019, First-tier Tribunal Judge Cope dismissed an appeal by the appellant brought against a decision of the respondent dated 8 May 2019 to refuse her asylum and humanitarian protection claim. On 29 January 2020, Designated Judge Shaerf of the First-tier Tribunal granted the appellant permission to appeal against that decision.  </w:t>
      </w:r>
    </w:p>
    <w:p w:rsidR="00FF1E84" w:rsidRPr="009162CC" w:rsidRDefault="00FF1E84" w:rsidP="00DB5504">
      <w:pPr>
        <w:numPr>
          <w:ilvl w:val="0"/>
          <w:numId w:val="1"/>
        </w:numPr>
        <w:tabs>
          <w:tab w:val="clear" w:pos="720"/>
        </w:tabs>
        <w:spacing w:before="240"/>
        <w:ind w:left="567" w:hanging="567"/>
        <w:jc w:val="both"/>
        <w:rPr>
          <w:rFonts w:ascii="Book Antiqua" w:hAnsi="Book Antiqua" w:cs="Arial"/>
        </w:rPr>
      </w:pPr>
      <w:r w:rsidRPr="009162CC">
        <w:rPr>
          <w:rFonts w:ascii="Book Antiqua" w:hAnsi="Book Antiqua" w:cs="Arial"/>
        </w:rPr>
        <w:t>This decision sets out my reasons for allowing the appellant’s appeal.</w:t>
      </w:r>
    </w:p>
    <w:p w:rsidR="00FF1E84" w:rsidRPr="009162CC" w:rsidRDefault="00FF1E84" w:rsidP="00FF1E84">
      <w:pPr>
        <w:spacing w:before="240"/>
        <w:jc w:val="both"/>
        <w:rPr>
          <w:rFonts w:ascii="Book Antiqua" w:hAnsi="Book Antiqua" w:cs="Arial"/>
          <w:i/>
          <w:iCs/>
        </w:rPr>
      </w:pPr>
      <w:r w:rsidRPr="009162CC">
        <w:rPr>
          <w:rFonts w:ascii="Book Antiqua" w:hAnsi="Book Antiqua" w:cs="Arial"/>
          <w:i/>
          <w:iCs/>
        </w:rPr>
        <w:lastRenderedPageBreak/>
        <w:t>Procedural background</w:t>
      </w:r>
    </w:p>
    <w:p w:rsidR="00DB5504" w:rsidRDefault="00DB5504" w:rsidP="00DB5504">
      <w:pPr>
        <w:numPr>
          <w:ilvl w:val="0"/>
          <w:numId w:val="1"/>
        </w:numPr>
        <w:tabs>
          <w:tab w:val="clear" w:pos="720"/>
        </w:tabs>
        <w:spacing w:before="240"/>
        <w:ind w:left="567" w:hanging="567"/>
        <w:jc w:val="both"/>
        <w:rPr>
          <w:rFonts w:ascii="Book Antiqua" w:hAnsi="Book Antiqua" w:cs="Arial"/>
        </w:rPr>
      </w:pPr>
      <w:r w:rsidRPr="009162CC">
        <w:rPr>
          <w:rFonts w:ascii="Book Antiqua" w:hAnsi="Book Antiqua" w:cs="Arial"/>
        </w:rPr>
        <w:t xml:space="preserve">On 7 May 2020, </w:t>
      </w:r>
      <w:r w:rsidR="00FF1E84" w:rsidRPr="009162CC">
        <w:rPr>
          <w:rFonts w:ascii="Book Antiqua" w:hAnsi="Book Antiqua" w:cs="Arial"/>
        </w:rPr>
        <w:t>U</w:t>
      </w:r>
      <w:r w:rsidRPr="009162CC">
        <w:rPr>
          <w:rFonts w:ascii="Book Antiqua" w:hAnsi="Book Antiqua" w:cs="Arial"/>
        </w:rPr>
        <w:t xml:space="preserve">pper Tribunal </w:t>
      </w:r>
      <w:r w:rsidR="00FF1E84" w:rsidRPr="009162CC">
        <w:rPr>
          <w:rFonts w:ascii="Book Antiqua" w:hAnsi="Book Antiqua" w:cs="Arial"/>
        </w:rPr>
        <w:t>J</w:t>
      </w:r>
      <w:r w:rsidRPr="009162CC">
        <w:rPr>
          <w:rFonts w:ascii="Book Antiqua" w:hAnsi="Book Antiqua" w:cs="Arial"/>
        </w:rPr>
        <w:t>udge Blum directed that his provisional view was that it would be possible to determine whether the decision of Judge Cope involved the making of an error of law and, if so, whether it should be set aside</w:t>
      </w:r>
      <w:r w:rsidR="00FF1E84" w:rsidRPr="009162CC">
        <w:rPr>
          <w:rFonts w:ascii="Book Antiqua" w:hAnsi="Book Antiqua" w:cs="Arial"/>
        </w:rPr>
        <w:t>, without holding a hearing</w:t>
      </w:r>
      <w:r w:rsidRPr="009162CC">
        <w:rPr>
          <w:rFonts w:ascii="Book Antiqua" w:hAnsi="Book Antiqua" w:cs="Arial"/>
        </w:rPr>
        <w:t xml:space="preserve">. Judge Blum issued directions for an exchange of submissions concerning </w:t>
      </w:r>
      <w:r w:rsidR="00646072">
        <w:rPr>
          <w:rFonts w:ascii="Book Antiqua" w:hAnsi="Book Antiqua" w:cs="Arial"/>
        </w:rPr>
        <w:t>those issues</w:t>
      </w:r>
      <w:r w:rsidRPr="009162CC">
        <w:rPr>
          <w:rFonts w:ascii="Book Antiqua" w:hAnsi="Book Antiqua" w:cs="Arial"/>
        </w:rPr>
        <w:t xml:space="preserve">, </w:t>
      </w:r>
      <w:r w:rsidR="00FF1E84" w:rsidRPr="009162CC">
        <w:rPr>
          <w:rFonts w:ascii="Book Antiqua" w:hAnsi="Book Antiqua" w:cs="Arial"/>
        </w:rPr>
        <w:t xml:space="preserve">and the parties’ substantive position in relation to the submissions, </w:t>
      </w:r>
      <w:r w:rsidRPr="009162CC">
        <w:rPr>
          <w:rFonts w:ascii="Book Antiqua" w:hAnsi="Book Antiqua" w:cs="Arial"/>
        </w:rPr>
        <w:t>the time limit for compliance with which has now passed. The respondent, in notice</w:t>
      </w:r>
      <w:r w:rsidR="002D2A9F">
        <w:rPr>
          <w:rFonts w:ascii="Book Antiqua" w:hAnsi="Book Antiqua" w:cs="Arial"/>
        </w:rPr>
        <w:t>s</w:t>
      </w:r>
      <w:r w:rsidRPr="009162CC">
        <w:rPr>
          <w:rFonts w:ascii="Book Antiqua" w:hAnsi="Book Antiqua" w:cs="Arial"/>
        </w:rPr>
        <w:t xml:space="preserve"> dated 1 June </w:t>
      </w:r>
      <w:r w:rsidR="002D2A9F">
        <w:rPr>
          <w:rFonts w:ascii="Book Antiqua" w:hAnsi="Book Antiqua" w:cs="Arial"/>
        </w:rPr>
        <w:t>and 30 July 2020</w:t>
      </w:r>
      <w:r w:rsidRPr="009162CC">
        <w:rPr>
          <w:rFonts w:ascii="Book Antiqua" w:hAnsi="Book Antiqua" w:cs="Arial"/>
        </w:rPr>
        <w:t>, set out her reasons for resisting this appeal</w:t>
      </w:r>
      <w:r w:rsidR="006D7102">
        <w:rPr>
          <w:rFonts w:ascii="Book Antiqua" w:hAnsi="Book Antiqua" w:cs="Arial"/>
        </w:rPr>
        <w:t xml:space="preserve"> in response to Judge Blum’s directions and supplementary directions I issued</w:t>
      </w:r>
      <w:r w:rsidRPr="009162CC">
        <w:rPr>
          <w:rFonts w:ascii="Book Antiqua" w:hAnsi="Book Antiqua" w:cs="Arial"/>
        </w:rPr>
        <w:t>, to which I will turn shortly. The appellant, who is now a litigant in person, did not respond.</w:t>
      </w:r>
    </w:p>
    <w:p w:rsidR="006D7102" w:rsidRPr="006D7102" w:rsidRDefault="006D7102" w:rsidP="006D7102">
      <w:pPr>
        <w:spacing w:before="240"/>
        <w:jc w:val="both"/>
        <w:rPr>
          <w:rFonts w:ascii="Book Antiqua" w:hAnsi="Book Antiqua" w:cs="Arial"/>
          <w:i/>
          <w:iCs/>
        </w:rPr>
      </w:pPr>
      <w:r>
        <w:rPr>
          <w:rFonts w:ascii="Book Antiqua" w:hAnsi="Book Antiqua" w:cs="Arial"/>
          <w:i/>
          <w:iCs/>
        </w:rPr>
        <w:t>Whether to hold a hearing</w:t>
      </w:r>
    </w:p>
    <w:p w:rsidR="00DB5504" w:rsidRPr="009162CC" w:rsidRDefault="00DB5504" w:rsidP="00FF1E84">
      <w:pPr>
        <w:numPr>
          <w:ilvl w:val="0"/>
          <w:numId w:val="1"/>
        </w:numPr>
        <w:tabs>
          <w:tab w:val="clear" w:pos="720"/>
        </w:tabs>
        <w:spacing w:before="240"/>
        <w:ind w:left="567" w:hanging="567"/>
        <w:jc w:val="both"/>
        <w:rPr>
          <w:rFonts w:ascii="Book Antiqua" w:hAnsi="Book Antiqua" w:cs="Arial"/>
        </w:rPr>
      </w:pPr>
      <w:r w:rsidRPr="009162CC">
        <w:rPr>
          <w:rFonts w:ascii="Book Antiqua" w:hAnsi="Book Antiqua" w:cs="Arial"/>
        </w:rPr>
        <w:t xml:space="preserve">Paragraph </w:t>
      </w:r>
      <w:r w:rsidR="00FF1E84" w:rsidRPr="009162CC">
        <w:rPr>
          <w:rFonts w:ascii="Book Antiqua" w:hAnsi="Book Antiqua" w:cs="Arial"/>
        </w:rPr>
        <w:t xml:space="preserve">4 of the Senior President of Tribunal’s </w:t>
      </w:r>
      <w:r w:rsidR="00FF1E84" w:rsidRPr="009162CC">
        <w:rPr>
          <w:rFonts w:ascii="Book Antiqua" w:hAnsi="Book Antiqua" w:cs="Arial"/>
          <w:i/>
          <w:iCs/>
        </w:rPr>
        <w:t>Pilot Practice Direction: Contingency arrangements in the First-tier Tribunal and the Upper Tribunal</w:t>
      </w:r>
      <w:r w:rsidR="00FF1E84" w:rsidRPr="009162CC">
        <w:rPr>
          <w:rFonts w:ascii="Book Antiqua" w:hAnsi="Book Antiqua" w:cs="Arial"/>
        </w:rPr>
        <w:t xml:space="preserve"> dated 19 March 2020 provides that, “where a chamber’s procedure rules allow decisions to be made without a hearing, decisions should usually be made in this way, provided this is in accordance with the overriding objective, the parties’ ECHR rights in the chamber’s procedure rules about notice and consent.”  Rule 34 of the Tribunal Procedure (Upper Tribunal) Rules 2008 provides, where relevant:</w:t>
      </w:r>
    </w:p>
    <w:p w:rsidR="00FF1E84" w:rsidRPr="009162CC" w:rsidRDefault="00FF1E84" w:rsidP="00FF1E84">
      <w:pPr>
        <w:spacing w:before="240"/>
        <w:ind w:left="1701" w:hanging="567"/>
        <w:jc w:val="both"/>
        <w:rPr>
          <w:rFonts w:ascii="Book Antiqua" w:hAnsi="Book Antiqua" w:cs="Arial"/>
          <w:sz w:val="22"/>
          <w:szCs w:val="22"/>
        </w:rPr>
      </w:pPr>
      <w:r w:rsidRPr="009162CC">
        <w:rPr>
          <w:rFonts w:ascii="Book Antiqua" w:hAnsi="Book Antiqua" w:cs="Arial"/>
          <w:sz w:val="22"/>
          <w:szCs w:val="22"/>
        </w:rPr>
        <w:t>“(1) Subject to paragraphs (2) and (3), the Upper Tribunal may make any decision without a hearing.</w:t>
      </w:r>
    </w:p>
    <w:p w:rsidR="00FF1E84" w:rsidRPr="009162CC" w:rsidRDefault="00FF1E84" w:rsidP="00FF1E84">
      <w:pPr>
        <w:spacing w:before="240"/>
        <w:ind w:left="1701" w:hanging="567"/>
        <w:jc w:val="both"/>
        <w:rPr>
          <w:rFonts w:ascii="Book Antiqua" w:hAnsi="Book Antiqua" w:cs="Arial"/>
          <w:sz w:val="22"/>
          <w:szCs w:val="22"/>
        </w:rPr>
      </w:pPr>
      <w:r w:rsidRPr="009162CC">
        <w:rPr>
          <w:rFonts w:ascii="Book Antiqua" w:hAnsi="Book Antiqua" w:cs="Arial"/>
          <w:sz w:val="22"/>
          <w:szCs w:val="22"/>
        </w:rPr>
        <w:t xml:space="preserve">(2) </w:t>
      </w:r>
      <w:r w:rsidRPr="009162CC">
        <w:rPr>
          <w:rFonts w:ascii="Book Antiqua" w:hAnsi="Book Antiqua" w:cs="Arial"/>
          <w:sz w:val="22"/>
          <w:szCs w:val="22"/>
        </w:rPr>
        <w:tab/>
        <w:t>The Upper Tribunal must have regard to any view expressed by a party when deciding whether to hold a hearing to consider any matter, and the form of any such hearing.”</w:t>
      </w:r>
    </w:p>
    <w:p w:rsidR="009162CC" w:rsidRPr="009162CC" w:rsidRDefault="00CC4798" w:rsidP="00DB5504">
      <w:pPr>
        <w:numPr>
          <w:ilvl w:val="0"/>
          <w:numId w:val="1"/>
        </w:numPr>
        <w:tabs>
          <w:tab w:val="clear" w:pos="720"/>
        </w:tabs>
        <w:spacing w:before="240"/>
        <w:ind w:left="567" w:hanging="567"/>
        <w:jc w:val="both"/>
        <w:rPr>
          <w:rFonts w:ascii="Book Antiqua" w:hAnsi="Book Antiqua" w:cs="Arial"/>
        </w:rPr>
      </w:pPr>
      <w:r w:rsidRPr="009162CC">
        <w:rPr>
          <w:rFonts w:ascii="Book Antiqua" w:hAnsi="Book Antiqua" w:cs="Arial"/>
        </w:rPr>
        <w:t>The starting point for my consideration as to whether it would be appropriate to determine the issues identified by Judge Blum without a hearing is the overriding objective. Rule 2(1) of the Tribunal Procedure (Upper Tribunal) Rules 2008 provides that the overriding objective of the Upper Tribunal is to “deal with cases fairly and justly”.  That includes, at (2)(c)</w:t>
      </w:r>
      <w:r w:rsidR="00646072">
        <w:rPr>
          <w:rFonts w:ascii="Book Antiqua" w:hAnsi="Book Antiqua" w:cs="Arial"/>
        </w:rPr>
        <w:t>,</w:t>
      </w:r>
      <w:r w:rsidRPr="009162CC">
        <w:rPr>
          <w:rFonts w:ascii="Book Antiqua" w:hAnsi="Book Antiqua" w:cs="Arial"/>
        </w:rPr>
        <w:t xml:space="preserve"> “ensuring, so far as practicable, that the parties are able to participate fully in the proceedings”, and, at (d), “using any special expertise of the Upper Tribunal effectively”. Also relevant is the need to avoid delay, so far as compatible with proper consideration of the issues: see</w:t>
      </w:r>
      <w:r w:rsidR="00646072">
        <w:rPr>
          <w:rFonts w:ascii="Book Antiqua" w:hAnsi="Book Antiqua" w:cs="Arial"/>
        </w:rPr>
        <w:t xml:space="preserve"> paragraph</w:t>
      </w:r>
      <w:r w:rsidRPr="009162CC">
        <w:rPr>
          <w:rFonts w:ascii="Book Antiqua" w:hAnsi="Book Antiqua" w:cs="Arial"/>
        </w:rPr>
        <w:t xml:space="preserve"> (2)(e).  </w:t>
      </w:r>
      <w:r w:rsidR="006D7102">
        <w:rPr>
          <w:rFonts w:ascii="Book Antiqua" w:hAnsi="Book Antiqua" w:cs="Arial"/>
        </w:rPr>
        <w:t>In her 1 June 2020 written submissions, t</w:t>
      </w:r>
      <w:r w:rsidRPr="009162CC">
        <w:rPr>
          <w:rFonts w:ascii="Book Antiqua" w:hAnsi="Book Antiqua" w:cs="Arial"/>
        </w:rPr>
        <w:t xml:space="preserve">he Secretary of State, while setting out in robust terms why she does not consider the decision of the judge to have featured an error of law, did not object to the matter being determined on the papers. </w:t>
      </w:r>
      <w:r w:rsidR="002D2A9F">
        <w:rPr>
          <w:rFonts w:ascii="Book Antiqua" w:hAnsi="Book Antiqua" w:cs="Arial"/>
        </w:rPr>
        <w:t xml:space="preserve"> In her helpful </w:t>
      </w:r>
      <w:r w:rsidR="002D2A9F" w:rsidRPr="008E4966">
        <w:rPr>
          <w:rFonts w:ascii="Book Antiqua" w:hAnsi="Book Antiqua" w:cs="Arial"/>
        </w:rPr>
        <w:t xml:space="preserve">supplementary submissions </w:t>
      </w:r>
      <w:r w:rsidR="006D7102" w:rsidRPr="008E4966">
        <w:rPr>
          <w:rFonts w:ascii="Book Antiqua" w:hAnsi="Book Antiqua" w:cs="Arial"/>
        </w:rPr>
        <w:t xml:space="preserve">dated 30 July 2020 </w:t>
      </w:r>
      <w:r w:rsidR="002D2A9F" w:rsidRPr="008E4966">
        <w:rPr>
          <w:rFonts w:ascii="Book Antiqua" w:hAnsi="Book Antiqua" w:cs="Arial"/>
        </w:rPr>
        <w:t xml:space="preserve">(as to which, see paragraph </w:t>
      </w:r>
      <w:r w:rsidR="008E4966" w:rsidRPr="008E4966">
        <w:rPr>
          <w:rFonts w:ascii="Book Antiqua" w:hAnsi="Book Antiqua" w:cs="Arial"/>
        </w:rPr>
        <w:fldChar w:fldCharType="begin"/>
      </w:r>
      <w:r w:rsidR="008E4966" w:rsidRPr="008E4966">
        <w:rPr>
          <w:rFonts w:ascii="Book Antiqua" w:hAnsi="Book Antiqua" w:cs="Arial"/>
        </w:rPr>
        <w:instrText xml:space="preserve"> REF _Ref48569631 \r \h </w:instrText>
      </w:r>
      <w:r w:rsidR="008E4966">
        <w:rPr>
          <w:rFonts w:ascii="Book Antiqua" w:hAnsi="Book Antiqua" w:cs="Arial"/>
        </w:rPr>
        <w:instrText xml:space="preserve"> \* MERGEFORMAT </w:instrText>
      </w:r>
      <w:r w:rsidR="008E4966" w:rsidRPr="008E4966">
        <w:rPr>
          <w:rFonts w:ascii="Book Antiqua" w:hAnsi="Book Antiqua" w:cs="Arial"/>
        </w:rPr>
      </w:r>
      <w:r w:rsidR="008E4966" w:rsidRPr="008E4966">
        <w:rPr>
          <w:rFonts w:ascii="Book Antiqua" w:hAnsi="Book Antiqua" w:cs="Arial"/>
        </w:rPr>
        <w:fldChar w:fldCharType="separate"/>
      </w:r>
      <w:r w:rsidR="007C5E4A">
        <w:rPr>
          <w:rFonts w:ascii="Book Antiqua" w:hAnsi="Book Antiqua" w:cs="Arial"/>
        </w:rPr>
        <w:t>9</w:t>
      </w:r>
      <w:r w:rsidR="008E4966" w:rsidRPr="008E4966">
        <w:rPr>
          <w:rFonts w:ascii="Book Antiqua" w:hAnsi="Book Antiqua" w:cs="Arial"/>
        </w:rPr>
        <w:fldChar w:fldCharType="end"/>
      </w:r>
      <w:r w:rsidR="002D2A9F" w:rsidRPr="008E4966">
        <w:rPr>
          <w:rFonts w:ascii="Book Antiqua" w:hAnsi="Book Antiqua" w:cs="Arial"/>
        </w:rPr>
        <w:t>, below),</w:t>
      </w:r>
      <w:r w:rsidR="002D2A9F">
        <w:rPr>
          <w:rFonts w:ascii="Book Antiqua" w:hAnsi="Book Antiqua" w:cs="Arial"/>
        </w:rPr>
        <w:t xml:space="preserve"> she confirmed that </w:t>
      </w:r>
      <w:r w:rsidR="00994305">
        <w:rPr>
          <w:rFonts w:ascii="Book Antiqua" w:hAnsi="Book Antiqua" w:cs="Arial"/>
        </w:rPr>
        <w:t xml:space="preserve">she considered that </w:t>
      </w:r>
      <w:r w:rsidR="002D2A9F">
        <w:rPr>
          <w:rFonts w:ascii="Book Antiqua" w:hAnsi="Book Antiqua" w:cs="Arial"/>
        </w:rPr>
        <w:t>the issue of the error of law may be determined on the papers.</w:t>
      </w:r>
    </w:p>
    <w:p w:rsidR="009162CC" w:rsidRDefault="00CC4798" w:rsidP="00DB5504">
      <w:pPr>
        <w:numPr>
          <w:ilvl w:val="0"/>
          <w:numId w:val="1"/>
        </w:numPr>
        <w:tabs>
          <w:tab w:val="clear" w:pos="720"/>
        </w:tabs>
        <w:spacing w:before="240"/>
        <w:ind w:left="567" w:hanging="567"/>
        <w:jc w:val="both"/>
        <w:rPr>
          <w:rFonts w:ascii="Book Antiqua" w:hAnsi="Book Antiqua" w:cs="Arial"/>
        </w:rPr>
      </w:pPr>
      <w:r w:rsidRPr="009162CC">
        <w:rPr>
          <w:rFonts w:ascii="Book Antiqua" w:hAnsi="Book Antiqua" w:cs="Arial"/>
        </w:rPr>
        <w:t>The appellant has not responded</w:t>
      </w:r>
      <w:r w:rsidR="002D2A9F">
        <w:rPr>
          <w:rFonts w:ascii="Book Antiqua" w:hAnsi="Book Antiqua" w:cs="Arial"/>
        </w:rPr>
        <w:t xml:space="preserve"> to any of the directions</w:t>
      </w:r>
      <w:r w:rsidRPr="009162CC">
        <w:rPr>
          <w:rFonts w:ascii="Book Antiqua" w:hAnsi="Book Antiqua" w:cs="Arial"/>
        </w:rPr>
        <w:t>. That suggests that she is unable fully to articulate the alleged errors of law, which is hardly surprising given she is a litigant in person who does not speak English.</w:t>
      </w:r>
      <w:r w:rsidR="00CA7EBC">
        <w:rPr>
          <w:rFonts w:ascii="Book Antiqua" w:hAnsi="Book Antiqua" w:cs="Arial"/>
        </w:rPr>
        <w:t xml:space="preserve"> </w:t>
      </w:r>
      <w:r w:rsidR="00994305">
        <w:rPr>
          <w:rFonts w:ascii="Book Antiqua" w:hAnsi="Book Antiqua" w:cs="Arial"/>
        </w:rPr>
        <w:t xml:space="preserve">  While as I note below this is a matter of some concern, I will consider </w:t>
      </w:r>
      <w:r w:rsidR="00931322">
        <w:rPr>
          <w:rFonts w:ascii="Book Antiqua" w:hAnsi="Book Antiqua" w:cs="Arial"/>
        </w:rPr>
        <w:t>whether</w:t>
      </w:r>
      <w:r w:rsidR="00994305">
        <w:rPr>
          <w:rFonts w:ascii="Book Antiqua" w:hAnsi="Book Antiqua" w:cs="Arial"/>
        </w:rPr>
        <w:t xml:space="preserve"> the error of law issue may be determined without further input from her, relying on the expertise I have as a judge in this specialist jurisdiction. </w:t>
      </w:r>
    </w:p>
    <w:p w:rsidR="002D2A9F" w:rsidRDefault="00931322" w:rsidP="00DB5504">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During my initial review of the </w:t>
      </w:r>
      <w:r w:rsidR="00994305">
        <w:rPr>
          <w:rFonts w:ascii="Book Antiqua" w:hAnsi="Book Antiqua" w:cs="Arial"/>
        </w:rPr>
        <w:t>decision</w:t>
      </w:r>
      <w:r w:rsidR="00CC4798" w:rsidRPr="009162CC">
        <w:rPr>
          <w:rFonts w:ascii="Book Antiqua" w:hAnsi="Book Antiqua" w:cs="Arial"/>
        </w:rPr>
        <w:t xml:space="preserve"> of the judge</w:t>
      </w:r>
      <w:r w:rsidR="006D7102">
        <w:rPr>
          <w:rFonts w:ascii="Book Antiqua" w:hAnsi="Book Antiqua" w:cs="Arial"/>
        </w:rPr>
        <w:t>, the grant of permission to appeal by Judge Shaerf, and the respondent’s initial written submissions dated 1 June 2020</w:t>
      </w:r>
      <w:r w:rsidR="00994305">
        <w:rPr>
          <w:rFonts w:ascii="Book Antiqua" w:hAnsi="Book Antiqua" w:cs="Arial"/>
        </w:rPr>
        <w:t xml:space="preserve">, I considered that the decision of Judge Cope </w:t>
      </w:r>
      <w:r w:rsidR="002D2A9F">
        <w:rPr>
          <w:rFonts w:ascii="Book Antiqua" w:hAnsi="Book Antiqua" w:cs="Arial"/>
        </w:rPr>
        <w:t xml:space="preserve">may have featured some </w:t>
      </w:r>
      <w:r w:rsidR="002D2A9F">
        <w:rPr>
          <w:rFonts w:ascii="Book Antiqua" w:hAnsi="Book Antiqua" w:cs="Arial"/>
          <w:i/>
          <w:iCs/>
        </w:rPr>
        <w:t>“Robinson-</w:t>
      </w:r>
      <w:r w:rsidR="002D2A9F">
        <w:rPr>
          <w:rFonts w:ascii="Book Antiqua" w:hAnsi="Book Antiqua" w:cs="Arial"/>
        </w:rPr>
        <w:t xml:space="preserve">obvious” errors of law, which I set out below.  Under normal circumstances, I would have simply raised these concerns with the parties at the hearing.  These are not normal times, and the prospect of listing the matter for an oral hearing in order to do so (even if conducted remotely), had the potential to infect the process with avoidable delay.  As such, on 14 July 2020 I issued a “Note and Directions” to the parties on setting out my preliminary views on the potential </w:t>
      </w:r>
      <w:r w:rsidR="002D2A9F">
        <w:rPr>
          <w:rFonts w:ascii="Book Antiqua" w:hAnsi="Book Antiqua" w:cs="Arial"/>
          <w:i/>
          <w:iCs/>
        </w:rPr>
        <w:t>Robinson-</w:t>
      </w:r>
      <w:r w:rsidR="002D2A9F">
        <w:rPr>
          <w:rFonts w:ascii="Book Antiqua" w:hAnsi="Book Antiqua" w:cs="Arial"/>
        </w:rPr>
        <w:t>obvious points, the operative terms of which sought responses from the parties (</w:t>
      </w:r>
      <w:proofErr w:type="gramStart"/>
      <w:r w:rsidR="002D2A9F">
        <w:rPr>
          <w:rFonts w:ascii="Book Antiqua" w:hAnsi="Book Antiqua" w:cs="Arial"/>
        </w:rPr>
        <w:t>in particular, the</w:t>
      </w:r>
      <w:proofErr w:type="gramEnd"/>
      <w:r w:rsidR="002D2A9F">
        <w:rPr>
          <w:rFonts w:ascii="Book Antiqua" w:hAnsi="Book Antiqua" w:cs="Arial"/>
        </w:rPr>
        <w:t xml:space="preserve"> respondent), on the following:</w:t>
      </w:r>
    </w:p>
    <w:p w:rsidR="002D2A9F" w:rsidRPr="002D2A9F" w:rsidRDefault="002D2A9F" w:rsidP="002D2A9F">
      <w:pPr>
        <w:spacing w:before="240"/>
        <w:ind w:left="1134"/>
        <w:jc w:val="both"/>
        <w:rPr>
          <w:rFonts w:ascii="Book Antiqua" w:hAnsi="Book Antiqua" w:cs="Arial"/>
          <w:sz w:val="22"/>
          <w:szCs w:val="22"/>
        </w:rPr>
      </w:pPr>
      <w:r>
        <w:rPr>
          <w:rFonts w:ascii="Book Antiqua" w:hAnsi="Book Antiqua" w:cs="Arial"/>
          <w:sz w:val="22"/>
          <w:szCs w:val="22"/>
        </w:rPr>
        <w:t>“</w:t>
      </w:r>
      <w:r w:rsidRPr="002D2A9F">
        <w:rPr>
          <w:rFonts w:ascii="Book Antiqua" w:hAnsi="Book Antiqua" w:cs="Arial"/>
          <w:sz w:val="22"/>
          <w:szCs w:val="22"/>
        </w:rPr>
        <w:t xml:space="preserve">Within 14 days of being sent these Directions, both parties (but </w:t>
      </w:r>
      <w:proofErr w:type="gramStart"/>
      <w:r w:rsidRPr="002D2A9F">
        <w:rPr>
          <w:rFonts w:ascii="Book Antiqua" w:hAnsi="Book Antiqua" w:cs="Arial"/>
          <w:sz w:val="22"/>
          <w:szCs w:val="22"/>
        </w:rPr>
        <w:t>in particular the</w:t>
      </w:r>
      <w:proofErr w:type="gramEnd"/>
      <w:r w:rsidRPr="002D2A9F">
        <w:rPr>
          <w:rFonts w:ascii="Book Antiqua" w:hAnsi="Book Antiqua" w:cs="Arial"/>
          <w:sz w:val="22"/>
          <w:szCs w:val="22"/>
        </w:rPr>
        <w:t xml:space="preserve"> Secretary of State) are directed to make written submissions concerning:</w:t>
      </w:r>
    </w:p>
    <w:p w:rsidR="002D2A9F" w:rsidRPr="002D2A9F" w:rsidRDefault="002D2A9F" w:rsidP="002D2A9F">
      <w:pPr>
        <w:spacing w:before="240"/>
        <w:ind w:left="1701"/>
        <w:jc w:val="both"/>
        <w:rPr>
          <w:rFonts w:ascii="Book Antiqua" w:hAnsi="Book Antiqua" w:cs="Arial"/>
          <w:sz w:val="22"/>
          <w:szCs w:val="22"/>
        </w:rPr>
      </w:pPr>
      <w:r w:rsidRPr="002D2A9F">
        <w:rPr>
          <w:rFonts w:ascii="Book Antiqua" w:hAnsi="Book Antiqua" w:cs="Arial"/>
          <w:sz w:val="22"/>
          <w:szCs w:val="22"/>
        </w:rPr>
        <w:t>a.</w:t>
      </w:r>
      <w:r w:rsidRPr="002D2A9F">
        <w:rPr>
          <w:rFonts w:ascii="Book Antiqua" w:hAnsi="Book Antiqua" w:cs="Arial"/>
          <w:sz w:val="22"/>
          <w:szCs w:val="22"/>
        </w:rPr>
        <w:tab/>
        <w:t>My preliminary views concerning possible Robinson obvious errors in the decision of Judge Cope, set out at paragraphs 7 to 13</w:t>
      </w:r>
      <w:r w:rsidR="006D7102">
        <w:rPr>
          <w:rFonts w:ascii="Book Antiqua" w:hAnsi="Book Antiqua" w:cs="Arial"/>
          <w:sz w:val="22"/>
          <w:szCs w:val="22"/>
        </w:rPr>
        <w:t xml:space="preserve"> [of the Note and Directions]</w:t>
      </w:r>
      <w:r w:rsidRPr="002D2A9F">
        <w:rPr>
          <w:rFonts w:ascii="Book Antiqua" w:hAnsi="Book Antiqua" w:cs="Arial"/>
          <w:sz w:val="22"/>
          <w:szCs w:val="22"/>
        </w:rPr>
        <w:t>; and</w:t>
      </w:r>
    </w:p>
    <w:p w:rsidR="002D2A9F" w:rsidRPr="002D2A9F" w:rsidRDefault="002D2A9F" w:rsidP="002D2A9F">
      <w:pPr>
        <w:spacing w:before="240"/>
        <w:ind w:left="1701"/>
        <w:jc w:val="both"/>
        <w:rPr>
          <w:rFonts w:ascii="Book Antiqua" w:hAnsi="Book Antiqua" w:cs="Arial"/>
          <w:sz w:val="22"/>
          <w:szCs w:val="22"/>
        </w:rPr>
      </w:pPr>
      <w:r w:rsidRPr="002D2A9F">
        <w:rPr>
          <w:rFonts w:ascii="Book Antiqua" w:hAnsi="Book Antiqua" w:cs="Arial"/>
          <w:sz w:val="22"/>
          <w:szCs w:val="22"/>
        </w:rPr>
        <w:t>b.</w:t>
      </w:r>
      <w:r w:rsidRPr="002D2A9F">
        <w:rPr>
          <w:rFonts w:ascii="Book Antiqua" w:hAnsi="Book Antiqua" w:cs="Arial"/>
          <w:sz w:val="22"/>
          <w:szCs w:val="22"/>
        </w:rPr>
        <w:tab/>
        <w:t xml:space="preserve">Whether the error of law hearing can be conducted on the papers, without a further hearing, </w:t>
      </w:r>
      <w:proofErr w:type="gramStart"/>
      <w:r w:rsidRPr="002D2A9F">
        <w:rPr>
          <w:rFonts w:ascii="Book Antiqua" w:hAnsi="Book Antiqua" w:cs="Arial"/>
          <w:sz w:val="22"/>
          <w:szCs w:val="22"/>
        </w:rPr>
        <w:t>in light of</w:t>
      </w:r>
      <w:proofErr w:type="gramEnd"/>
      <w:r w:rsidRPr="002D2A9F">
        <w:rPr>
          <w:rFonts w:ascii="Book Antiqua" w:hAnsi="Book Antiqua" w:cs="Arial"/>
          <w:sz w:val="22"/>
          <w:szCs w:val="22"/>
        </w:rPr>
        <w:t xml:space="preserve"> the overriding objective and the need to avoid delay, where compatible with proper consideration of the issues and the need for fairness for all parties.  Alternatively, whether it is in the interests of fairness and justice for a hearing to be held, whether remote or face to face.</w:t>
      </w:r>
    </w:p>
    <w:p w:rsidR="002D2A9F" w:rsidRPr="002D2A9F" w:rsidRDefault="002D2A9F" w:rsidP="002D2A9F">
      <w:pPr>
        <w:spacing w:before="240"/>
        <w:ind w:left="1134"/>
        <w:jc w:val="both"/>
        <w:rPr>
          <w:rFonts w:ascii="Book Antiqua" w:hAnsi="Book Antiqua" w:cs="Arial"/>
          <w:sz w:val="22"/>
          <w:szCs w:val="22"/>
        </w:rPr>
      </w:pPr>
      <w:r w:rsidRPr="002D2A9F">
        <w:rPr>
          <w:rFonts w:ascii="Book Antiqua" w:hAnsi="Book Antiqua" w:cs="Arial"/>
          <w:sz w:val="22"/>
          <w:szCs w:val="22"/>
        </w:rPr>
        <w:t>The Parties should note that I do not invite further submissions concerning the observations of Judge Shaerf when granting permission to appeal.  The respondent has already submitted her position in relation to those issues, for which I am grateful.</w:t>
      </w:r>
      <w:r>
        <w:rPr>
          <w:rFonts w:ascii="Book Antiqua" w:hAnsi="Book Antiqua" w:cs="Arial"/>
          <w:sz w:val="22"/>
          <w:szCs w:val="22"/>
        </w:rPr>
        <w:t>”</w:t>
      </w:r>
    </w:p>
    <w:p w:rsidR="002D2A9F" w:rsidRDefault="002D2A9F" w:rsidP="00DB550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attach the full Note and Directions to this decision as an </w:t>
      </w:r>
      <w:r w:rsidRPr="006D7102">
        <w:rPr>
          <w:rFonts w:ascii="Book Antiqua" w:hAnsi="Book Antiqua" w:cs="Arial"/>
          <w:b/>
          <w:bCs/>
        </w:rPr>
        <w:t>Annex</w:t>
      </w:r>
      <w:r>
        <w:rPr>
          <w:rFonts w:ascii="Book Antiqua" w:hAnsi="Book Antiqua" w:cs="Arial"/>
        </w:rPr>
        <w:t>.</w:t>
      </w:r>
      <w:r w:rsidR="006D7102">
        <w:rPr>
          <w:rFonts w:ascii="Book Antiqua" w:hAnsi="Book Antiqua" w:cs="Arial"/>
        </w:rPr>
        <w:t xml:space="preserve">  I issued the directions in the interests of fairness to the respondent, to ensure she had the opportunity to address me on, first, the substantive issues arising from my preliminary observations and, secondly, any consequential impact on the suitability of this matter to be determined on the papers.  </w:t>
      </w:r>
    </w:p>
    <w:p w:rsidR="006D7102" w:rsidRDefault="006D7102" w:rsidP="00DB5504">
      <w:pPr>
        <w:numPr>
          <w:ilvl w:val="0"/>
          <w:numId w:val="1"/>
        </w:numPr>
        <w:tabs>
          <w:tab w:val="clear" w:pos="720"/>
        </w:tabs>
        <w:spacing w:before="240"/>
        <w:ind w:left="567" w:hanging="567"/>
        <w:jc w:val="both"/>
        <w:rPr>
          <w:rFonts w:ascii="Book Antiqua" w:hAnsi="Book Antiqua" w:cs="Arial"/>
        </w:rPr>
      </w:pPr>
      <w:bookmarkStart w:id="1" w:name="_Ref48569631"/>
      <w:r>
        <w:rPr>
          <w:rFonts w:ascii="Book Antiqua" w:hAnsi="Book Antiqua" w:cs="Arial"/>
        </w:rPr>
        <w:t>I am grateful to Mr Avery, a Senior Home Office Presenting Officer, for his succinct and helpful response to my directions, dated 30 July 2020.  I will turn to the substance of the Secretary of State’s position in response to the preliminary views set out in the Note in due course, but at this stage I need simply highlight the fact that the Secretary of State agreed through Mr Avery’s response that the error of law issue could be determined on the papers.</w:t>
      </w:r>
      <w:bookmarkEnd w:id="1"/>
    </w:p>
    <w:p w:rsidR="006D7102" w:rsidRDefault="006D7102" w:rsidP="00DB550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Drawing together the procedural implications of the above process, I consider that it would be fair and consistent with the overriding objective, </w:t>
      </w:r>
      <w:proofErr w:type="gramStart"/>
      <w:r>
        <w:rPr>
          <w:rFonts w:ascii="Book Antiqua" w:hAnsi="Book Antiqua" w:cs="Arial"/>
        </w:rPr>
        <w:t>in particular the</w:t>
      </w:r>
      <w:proofErr w:type="gramEnd"/>
      <w:r>
        <w:rPr>
          <w:rFonts w:ascii="Book Antiqua" w:hAnsi="Book Antiqua" w:cs="Arial"/>
        </w:rPr>
        <w:t xml:space="preserve"> need to avoid delay insofar as compatible with proper consideration of the issues, for this matter to proceed on the papers.  The Secretary of State has</w:t>
      </w:r>
      <w:r w:rsidR="008E4966">
        <w:rPr>
          <w:rFonts w:ascii="Book Antiqua" w:hAnsi="Book Antiqua" w:cs="Arial"/>
        </w:rPr>
        <w:t xml:space="preserve"> had the opportunity to engage with the process in writing and has responded to the evolving concerns of the Tribunal as set out in my Note and Directions.  While not determinative of the fairness of deciding the case on the papers, the fact that the Secretary of State agrees that the matter is suitable for consideration in that form is of some relevance to this issue.  I </w:t>
      </w:r>
      <w:r w:rsidR="008E4966">
        <w:rPr>
          <w:rFonts w:ascii="Book Antiqua" w:hAnsi="Book Antiqua" w:cs="Arial"/>
        </w:rPr>
        <w:lastRenderedPageBreak/>
        <w:t xml:space="preserve">note that the appellant has not engaged with the written procedure at all.  Like Mr Avery, I agree that that is a concern.  However, </w:t>
      </w:r>
      <w:proofErr w:type="gramStart"/>
      <w:r w:rsidR="008E4966">
        <w:rPr>
          <w:rFonts w:ascii="Book Antiqua" w:hAnsi="Book Antiqua" w:cs="Arial"/>
        </w:rPr>
        <w:t>in light of</w:t>
      </w:r>
      <w:proofErr w:type="gramEnd"/>
      <w:r w:rsidR="008E4966">
        <w:rPr>
          <w:rFonts w:ascii="Book Antiqua" w:hAnsi="Book Antiqua" w:cs="Arial"/>
        </w:rPr>
        <w:t xml:space="preserve"> the manner in which I propose to resolve this appeal, there is no prejudice to the appellant as a result. </w:t>
      </w:r>
    </w:p>
    <w:p w:rsidR="00165D5E" w:rsidRDefault="00CA7EBC" w:rsidP="00DB550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overriding objective is to avoid delay, so far as is compatible with proper consideration of the issues; I consider that the analysis set out below </w:t>
      </w:r>
      <w:r w:rsidR="000A4292">
        <w:rPr>
          <w:rFonts w:ascii="Book Antiqua" w:hAnsi="Book Antiqua" w:cs="Arial"/>
        </w:rPr>
        <w:t>to be</w:t>
      </w:r>
      <w:r>
        <w:rPr>
          <w:rFonts w:ascii="Book Antiqua" w:hAnsi="Book Antiqua" w:cs="Arial"/>
        </w:rPr>
        <w:t xml:space="preserve"> a proper consideration of the issues, and that, in light of the listing difficulties likely to be experienced for some time in the Upper Tribunal, it would be in the interests of justice for this matter to be determined on the papers. </w:t>
      </w:r>
      <w:r w:rsidR="00B519CA">
        <w:rPr>
          <w:rFonts w:ascii="Book Antiqua" w:hAnsi="Book Antiqua" w:cs="Arial"/>
        </w:rPr>
        <w:t xml:space="preserve"> </w:t>
      </w:r>
    </w:p>
    <w:p w:rsidR="008E4966" w:rsidRDefault="008E4966" w:rsidP="005A6722">
      <w:pPr>
        <w:jc w:val="both"/>
        <w:rPr>
          <w:rFonts w:ascii="Book Antiqua" w:hAnsi="Book Antiqua" w:cs="Arial"/>
          <w:i/>
        </w:rPr>
      </w:pPr>
    </w:p>
    <w:p w:rsidR="005A6722" w:rsidRPr="009162CC" w:rsidRDefault="005A6722" w:rsidP="005A6722">
      <w:pPr>
        <w:jc w:val="both"/>
        <w:rPr>
          <w:rFonts w:ascii="Book Antiqua" w:hAnsi="Book Antiqua" w:cs="Arial"/>
          <w:i/>
        </w:rPr>
      </w:pPr>
      <w:r w:rsidRPr="009162CC">
        <w:rPr>
          <w:rFonts w:ascii="Book Antiqua" w:hAnsi="Book Antiqua" w:cs="Arial"/>
          <w:i/>
        </w:rPr>
        <w:t>Factual background</w:t>
      </w:r>
    </w:p>
    <w:p w:rsidR="00B13C55" w:rsidRDefault="00774FD4"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w:t>
      </w:r>
      <w:r w:rsidR="000A4292">
        <w:rPr>
          <w:rFonts w:ascii="Book Antiqua" w:hAnsi="Book Antiqua" w:cs="Arial"/>
        </w:rPr>
        <w:t xml:space="preserve">he appellant is an Iraqi of Kurdish ethnicity born in 1992. She lived with her parents. There were two strands to her claim for asylum. The first was that she had an extramarital relationship with a Mr M, in circumstances which were not approved by her family. Although the family of Mr M sought the permission of </w:t>
      </w:r>
      <w:r w:rsidR="00646072">
        <w:rPr>
          <w:rFonts w:ascii="Book Antiqua" w:hAnsi="Book Antiqua" w:cs="Arial"/>
        </w:rPr>
        <w:t>the appellant’s</w:t>
      </w:r>
      <w:r w:rsidR="000A4292">
        <w:rPr>
          <w:rFonts w:ascii="Book Antiqua" w:hAnsi="Book Antiqua" w:cs="Arial"/>
        </w:rPr>
        <w:t xml:space="preserve"> family for their marriage, </w:t>
      </w:r>
      <w:r w:rsidR="00646072">
        <w:rPr>
          <w:rFonts w:ascii="Book Antiqua" w:hAnsi="Book Antiqua" w:cs="Arial"/>
        </w:rPr>
        <w:t xml:space="preserve">her </w:t>
      </w:r>
      <w:r w:rsidR="000A4292">
        <w:rPr>
          <w:rFonts w:ascii="Book Antiqua" w:hAnsi="Book Antiqua" w:cs="Arial"/>
        </w:rPr>
        <w:t xml:space="preserve">elderly father had betrothed her in marriage to his former commanding officer in the Kurdish forces, in which he used to serve. This presented the appellant with a dilemma. She did not want to marry this man, Mr B, and if she refused, she would face the risk of death on account of the dishonour that that would bring upon </w:t>
      </w:r>
      <w:r w:rsidR="00646072">
        <w:rPr>
          <w:rFonts w:ascii="Book Antiqua" w:hAnsi="Book Antiqua" w:cs="Arial"/>
        </w:rPr>
        <w:t>her family</w:t>
      </w:r>
      <w:r w:rsidR="000A4292">
        <w:rPr>
          <w:rFonts w:ascii="Book Antiqua" w:hAnsi="Book Antiqua" w:cs="Arial"/>
        </w:rPr>
        <w:t xml:space="preserve">. However, if she were to marry him, it would readily be apparent that she was no longer a virgin, which itself would place her at risk of being killed on honour grounds.  She was mistreated by her family upon being told that she had to marry Mr B, as, it seems, they sensed her resistance. She was then given two days’ notice ahead of the arranged marriage ceremony, at which point she </w:t>
      </w:r>
      <w:proofErr w:type="gramStart"/>
      <w:r w:rsidR="000A4292">
        <w:rPr>
          <w:rFonts w:ascii="Book Antiqua" w:hAnsi="Book Antiqua" w:cs="Arial"/>
        </w:rPr>
        <w:t>made arrangements</w:t>
      </w:r>
      <w:proofErr w:type="gramEnd"/>
      <w:r w:rsidR="000A4292">
        <w:rPr>
          <w:rFonts w:ascii="Book Antiqua" w:hAnsi="Book Antiqua" w:cs="Arial"/>
        </w:rPr>
        <w:t xml:space="preserve"> to leave the country, with the help of an agent.</w:t>
      </w:r>
      <w:r w:rsidR="00B13C55">
        <w:rPr>
          <w:rFonts w:ascii="Book Antiqua" w:hAnsi="Book Antiqua" w:cs="Arial"/>
        </w:rPr>
        <w:t xml:space="preserve"> This took place in April 2018. </w:t>
      </w:r>
      <w:r w:rsidR="00646072">
        <w:rPr>
          <w:rFonts w:ascii="Book Antiqua" w:hAnsi="Book Antiqua" w:cs="Arial"/>
        </w:rPr>
        <w:t xml:space="preserve">She left for Turkey, </w:t>
      </w:r>
      <w:r w:rsidR="00B13C55">
        <w:rPr>
          <w:rFonts w:ascii="Book Antiqua" w:hAnsi="Book Antiqua" w:cs="Arial"/>
        </w:rPr>
        <w:t>passed through Europe, and into the United Kingdom, travelling clandestinely. She was arrested and, although there is some dispute between the parties about exactly when, claimed asylum shortly afterwards.</w:t>
      </w:r>
    </w:p>
    <w:p w:rsidR="00774FD4" w:rsidRPr="00774FD4" w:rsidRDefault="00774FD4" w:rsidP="00774FD4">
      <w:pPr>
        <w:spacing w:before="240"/>
        <w:jc w:val="both"/>
        <w:rPr>
          <w:rFonts w:ascii="Book Antiqua" w:hAnsi="Book Antiqua" w:cs="Arial"/>
          <w:i/>
          <w:iCs/>
        </w:rPr>
      </w:pPr>
      <w:r>
        <w:rPr>
          <w:rFonts w:ascii="Book Antiqua" w:hAnsi="Book Antiqua" w:cs="Arial"/>
          <w:i/>
          <w:iCs/>
        </w:rPr>
        <w:t xml:space="preserve">The decision of the First-tier Tribunal </w:t>
      </w:r>
    </w:p>
    <w:p w:rsidR="00B13C55" w:rsidRDefault="00B13C55"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did not consider the appellant to have provided a credible account</w:t>
      </w:r>
      <w:r w:rsidR="00774FD4">
        <w:rPr>
          <w:rFonts w:ascii="Book Antiqua" w:hAnsi="Book Antiqua" w:cs="Arial"/>
        </w:rPr>
        <w:t xml:space="preserve"> of what took place in Kurdistan. </w:t>
      </w:r>
      <w:r>
        <w:rPr>
          <w:rFonts w:ascii="Book Antiqua" w:hAnsi="Book Antiqua" w:cs="Arial"/>
        </w:rPr>
        <w:t xml:space="preserve"> While he acknowledged (see [24]) that there were elements of consistency in the way that she had relayed her account, and, at [25], that elements of it were consistent with background materials concerning the position of women and honour crimes in the Kurdistan region, he considered that overall there had been </w:t>
      </w:r>
      <w:r w:rsidR="001E0325">
        <w:rPr>
          <w:rFonts w:ascii="Book Antiqua" w:hAnsi="Book Antiqua" w:cs="Arial"/>
        </w:rPr>
        <w:t xml:space="preserve">significant inconsistencies </w:t>
      </w:r>
      <w:r>
        <w:rPr>
          <w:rFonts w:ascii="Book Antiqua" w:hAnsi="Book Antiqua" w:cs="Arial"/>
        </w:rPr>
        <w:t xml:space="preserve">in </w:t>
      </w:r>
      <w:r w:rsidR="001E0325">
        <w:rPr>
          <w:rFonts w:ascii="Book Antiqua" w:hAnsi="Book Antiqua" w:cs="Arial"/>
        </w:rPr>
        <w:t>the different accounts provided by the appellant</w:t>
      </w:r>
      <w:r>
        <w:rPr>
          <w:rFonts w:ascii="Book Antiqua" w:hAnsi="Book Antiqua" w:cs="Arial"/>
        </w:rPr>
        <w:t>. At the heart of the judge’s analysis lay</w:t>
      </w:r>
      <w:r w:rsidR="005E4835">
        <w:rPr>
          <w:rFonts w:ascii="Book Antiqua" w:hAnsi="Book Antiqua" w:cs="Arial"/>
        </w:rPr>
        <w:t xml:space="preserve"> his concerns about</w:t>
      </w:r>
      <w:r>
        <w:rPr>
          <w:rFonts w:ascii="Book Antiqua" w:hAnsi="Book Antiqua" w:cs="Arial"/>
        </w:rPr>
        <w:t xml:space="preserve"> </w:t>
      </w:r>
      <w:r w:rsidR="00994305">
        <w:rPr>
          <w:rFonts w:ascii="Book Antiqua" w:hAnsi="Book Antiqua" w:cs="Arial"/>
        </w:rPr>
        <w:t>the initial written</w:t>
      </w:r>
      <w:r>
        <w:rPr>
          <w:rFonts w:ascii="Book Antiqua" w:hAnsi="Book Antiqua" w:cs="Arial"/>
        </w:rPr>
        <w:t xml:space="preserve"> statement the appellant had provided </w:t>
      </w:r>
      <w:r w:rsidR="005E4835">
        <w:rPr>
          <w:rFonts w:ascii="Book Antiqua" w:hAnsi="Book Antiqua" w:cs="Arial"/>
        </w:rPr>
        <w:t xml:space="preserve">to </w:t>
      </w:r>
      <w:r>
        <w:rPr>
          <w:rFonts w:ascii="Book Antiqua" w:hAnsi="Book Antiqua" w:cs="Arial"/>
        </w:rPr>
        <w:t xml:space="preserve">the respondent when she made her claim. </w:t>
      </w:r>
      <w:r w:rsidR="005E4835">
        <w:rPr>
          <w:rFonts w:ascii="Book Antiqua" w:hAnsi="Book Antiqua" w:cs="Arial"/>
        </w:rPr>
        <w:t>D</w:t>
      </w:r>
      <w:r>
        <w:rPr>
          <w:rFonts w:ascii="Book Antiqua" w:hAnsi="Book Antiqua" w:cs="Arial"/>
        </w:rPr>
        <w:t xml:space="preserve">ated July 2018, </w:t>
      </w:r>
      <w:r w:rsidR="005E4835">
        <w:rPr>
          <w:rFonts w:ascii="Book Antiqua" w:hAnsi="Book Antiqua" w:cs="Arial"/>
        </w:rPr>
        <w:t xml:space="preserve">the statement </w:t>
      </w:r>
      <w:r>
        <w:rPr>
          <w:rFonts w:ascii="Book Antiqua" w:hAnsi="Book Antiqua" w:cs="Arial"/>
        </w:rPr>
        <w:t xml:space="preserve">was said to have been prepared by her former solicitors, with the assistance of a Kurdish </w:t>
      </w:r>
      <w:r w:rsidR="001E0325">
        <w:rPr>
          <w:rFonts w:ascii="Book Antiqua" w:hAnsi="Book Antiqua" w:cs="Arial"/>
        </w:rPr>
        <w:t>interpreter</w:t>
      </w:r>
      <w:r>
        <w:rPr>
          <w:rFonts w:ascii="Book Antiqua" w:hAnsi="Book Antiqua" w:cs="Arial"/>
        </w:rPr>
        <w:t xml:space="preserve">. </w:t>
      </w:r>
      <w:r w:rsidR="00994305">
        <w:rPr>
          <w:rFonts w:ascii="Book Antiqua" w:hAnsi="Book Antiqua" w:cs="Arial"/>
        </w:rPr>
        <w:t xml:space="preserve">It was signed by the appellant.  </w:t>
      </w:r>
      <w:r>
        <w:rPr>
          <w:rFonts w:ascii="Book Antiqua" w:hAnsi="Book Antiqua" w:cs="Arial"/>
        </w:rPr>
        <w:t xml:space="preserve">It features differences, mainly in relation to dates, </w:t>
      </w:r>
      <w:r w:rsidR="00931322">
        <w:rPr>
          <w:rFonts w:ascii="Book Antiqua" w:hAnsi="Book Antiqua" w:cs="Arial"/>
        </w:rPr>
        <w:t xml:space="preserve">when </w:t>
      </w:r>
      <w:r w:rsidR="005E4835">
        <w:rPr>
          <w:rFonts w:ascii="Book Antiqua" w:hAnsi="Book Antiqua" w:cs="Arial"/>
        </w:rPr>
        <w:t>compared to</w:t>
      </w:r>
      <w:r>
        <w:rPr>
          <w:rFonts w:ascii="Book Antiqua" w:hAnsi="Book Antiqua" w:cs="Arial"/>
        </w:rPr>
        <w:t xml:space="preserve"> the account the appellant gave in her substantive asylum interview, in her statement prepared for the proceedings in the </w:t>
      </w:r>
      <w:r w:rsidR="005E4835">
        <w:rPr>
          <w:rFonts w:ascii="Book Antiqua" w:hAnsi="Book Antiqua" w:cs="Arial"/>
        </w:rPr>
        <w:t>F</w:t>
      </w:r>
      <w:r>
        <w:rPr>
          <w:rFonts w:ascii="Book Antiqua" w:hAnsi="Book Antiqua" w:cs="Arial"/>
        </w:rPr>
        <w:t xml:space="preserve">irst-tier </w:t>
      </w:r>
      <w:r w:rsidR="005E4835">
        <w:rPr>
          <w:rFonts w:ascii="Book Antiqua" w:hAnsi="Book Antiqua" w:cs="Arial"/>
        </w:rPr>
        <w:t>T</w:t>
      </w:r>
      <w:r>
        <w:rPr>
          <w:rFonts w:ascii="Book Antiqua" w:hAnsi="Book Antiqua" w:cs="Arial"/>
        </w:rPr>
        <w:t>ribunal, and her oral evidence before the judge. The judge rejected the appellant’s explanation that she had been poorly served by those solicitors, as she had not made an official complaint about them.  He did not accept that the interpreter provided by the solicitors spoke a different dialect of the Kurdish language, on account of the interpreter coming from Turkey, rather than Iraq</w:t>
      </w:r>
      <w:r w:rsidR="005E4835">
        <w:rPr>
          <w:rFonts w:ascii="Book Antiqua" w:hAnsi="Book Antiqua" w:cs="Arial"/>
        </w:rPr>
        <w:t xml:space="preserve">i </w:t>
      </w:r>
      <w:r w:rsidR="005E4835">
        <w:rPr>
          <w:rFonts w:ascii="Book Antiqua" w:hAnsi="Book Antiqua" w:cs="Arial"/>
        </w:rPr>
        <w:lastRenderedPageBreak/>
        <w:t>Kurdistan</w:t>
      </w:r>
      <w:r>
        <w:rPr>
          <w:rFonts w:ascii="Book Antiqua" w:hAnsi="Book Antiqua" w:cs="Arial"/>
        </w:rPr>
        <w:t xml:space="preserve">. Nor did the judge </w:t>
      </w:r>
      <w:r w:rsidR="00994305">
        <w:rPr>
          <w:rFonts w:ascii="Book Antiqua" w:hAnsi="Book Antiqua" w:cs="Arial"/>
        </w:rPr>
        <w:t>accept</w:t>
      </w:r>
      <w:r>
        <w:rPr>
          <w:rFonts w:ascii="Book Antiqua" w:hAnsi="Book Antiqua" w:cs="Arial"/>
        </w:rPr>
        <w:t xml:space="preserve"> that the statement was simply presented to her for signature, without it being read back to her. The judge found at [41] that the account the appellant had provided of the difficulties she encountered when making the statement, and with her previous solicitors, was not “reasonably likely to have occurred”.</w:t>
      </w:r>
      <w:r w:rsidR="00994305">
        <w:rPr>
          <w:rFonts w:ascii="Book Antiqua" w:hAnsi="Book Antiqua" w:cs="Arial"/>
        </w:rPr>
        <w:t xml:space="preserve">  The judge reached that finding before analysing the remaining aspects of the appellant’s case.</w:t>
      </w:r>
    </w:p>
    <w:p w:rsidR="00774FD4" w:rsidRDefault="00B13C55" w:rsidP="00774FD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significance of the judge not accepting the appellant’s explanations concerning the July 2018 statement </w:t>
      </w:r>
      <w:r w:rsidR="005E4835">
        <w:rPr>
          <w:rFonts w:ascii="Book Antiqua" w:hAnsi="Book Antiqua" w:cs="Arial"/>
        </w:rPr>
        <w:t>lay in the fact he ascribed great significance to many of the discrepancies between the statement and the other evidence</w:t>
      </w:r>
      <w:r w:rsidR="00994305">
        <w:rPr>
          <w:rFonts w:ascii="Book Antiqua" w:hAnsi="Book Antiqua" w:cs="Arial"/>
        </w:rPr>
        <w:t>, having already rejected that the appellant’s account concerning the initial statement before considering those matters</w:t>
      </w:r>
      <w:r w:rsidR="005E4835">
        <w:rPr>
          <w:rFonts w:ascii="Book Antiqua" w:hAnsi="Book Antiqua" w:cs="Arial"/>
        </w:rPr>
        <w:t xml:space="preserve">.  </w:t>
      </w:r>
      <w:r>
        <w:rPr>
          <w:rFonts w:ascii="Book Antiqua" w:hAnsi="Book Antiqua" w:cs="Arial"/>
        </w:rPr>
        <w:t>In the statement</w:t>
      </w:r>
      <w:r w:rsidR="00774FD4">
        <w:rPr>
          <w:rFonts w:ascii="Book Antiqua" w:hAnsi="Book Antiqua" w:cs="Arial"/>
        </w:rPr>
        <w:t xml:space="preserve"> at [6]</w:t>
      </w:r>
      <w:r>
        <w:rPr>
          <w:rFonts w:ascii="Book Antiqua" w:hAnsi="Book Antiqua" w:cs="Arial"/>
        </w:rPr>
        <w:t>, the appellant had said that she met Mr M in approximately March 2018</w:t>
      </w:r>
      <w:r w:rsidR="00774FD4">
        <w:rPr>
          <w:rFonts w:ascii="Book Antiqua" w:hAnsi="Book Antiqua" w:cs="Arial"/>
        </w:rPr>
        <w:t xml:space="preserve">; at [7], she said she met him in February 2017. That was a clear discrepancy which gave rise to credibility concerns, found the judge: see [44]. At [45], the judge contrasted [8] of the statement, in which the appellant said that she commenced sexual relations with Mr M in February 2018, with questions 114 and 127 of her substantive asylum interview, [6] of her appeal statement, and her oral evidence, in which she said that that took place in December 2017.  The July 2018 statement said that the sexual relations took place in an orchard, whereas at question 127 of her substantive asylum interview, and at paragraph [6] of her appeal statement, she said that the incident took place at Mr M’s home. </w:t>
      </w:r>
    </w:p>
    <w:p w:rsidR="001A3E8F" w:rsidRDefault="00774FD4" w:rsidP="00774FD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outlined similar discrepancies at [49], in relation to the date when Mr M’s family approached the appellant’s family concerning the possibility of marriage. In the July 2018 statement the date given was March 2018, whereas in her asylum interview, she said that the date was January or February 2017. By letter dated 11 March 2019, the appellant’s subsequent legal representatives, Iris law firm, wrote to the respondent stating that when she answered that question during the interview, she meant to say 2018. At [50], the judge said that, “no explanation has been put forward as to why the year 2017 was given…” The judge also had concerns that section 4.1 of the appellant’s screening interview was confused in relation to</w:t>
      </w:r>
      <w:r w:rsidR="001A3E8F">
        <w:rPr>
          <w:rFonts w:ascii="Book Antiqua" w:hAnsi="Book Antiqua" w:cs="Arial"/>
        </w:rPr>
        <w:t xml:space="preserve"> who had made threats against the appellant.</w:t>
      </w:r>
    </w:p>
    <w:p w:rsidR="001A3E8F" w:rsidRDefault="001A3E8F" w:rsidP="00774FD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judge also found certain aspects of the appellant’s case to be implausible. At [55], the judge did not believe the appellant’s evidence that she was conveyed to the Turkish border without being told that her onward destination was the United Kingdom. The person the appellant </w:t>
      </w:r>
      <w:proofErr w:type="gramStart"/>
      <w:r>
        <w:rPr>
          <w:rFonts w:ascii="Book Antiqua" w:hAnsi="Book Antiqua" w:cs="Arial"/>
        </w:rPr>
        <w:t>made contact with</w:t>
      </w:r>
      <w:proofErr w:type="gramEnd"/>
      <w:r>
        <w:rPr>
          <w:rFonts w:ascii="Book Antiqua" w:hAnsi="Book Antiqua" w:cs="Arial"/>
        </w:rPr>
        <w:t xml:space="preserve"> upon her arrival in this country was the sister of the person who arranged her departure from Iraq; at [56], the judge said it was “completely implausible” that that would have not been mentioned to the appellant previously. It was also implausible that the appellant had not been in touch with the person who arranged her travel from Kurdistan, and the explanation provided as to why she was unable to give evidence at the hearing (on holiday in Iraq) was not credible, especially in the absence of any documentary evidence.</w:t>
      </w:r>
    </w:p>
    <w:p w:rsidR="001A3E8F" w:rsidRDefault="001A3E8F" w:rsidP="00774FD4">
      <w:pPr>
        <w:numPr>
          <w:ilvl w:val="0"/>
          <w:numId w:val="1"/>
        </w:numPr>
        <w:tabs>
          <w:tab w:val="clear" w:pos="720"/>
        </w:tabs>
        <w:spacing w:before="240"/>
        <w:ind w:left="567" w:hanging="567"/>
        <w:jc w:val="both"/>
        <w:rPr>
          <w:rFonts w:ascii="Book Antiqua" w:hAnsi="Book Antiqua" w:cs="Arial"/>
        </w:rPr>
      </w:pPr>
      <w:bookmarkStart w:id="2" w:name="_Ref45613551"/>
      <w:r>
        <w:rPr>
          <w:rFonts w:ascii="Book Antiqua" w:hAnsi="Book Antiqua" w:cs="Arial"/>
        </w:rPr>
        <w:t>These findings led to the following global conclusions, at [79]:</w:t>
      </w:r>
      <w:bookmarkEnd w:id="2"/>
    </w:p>
    <w:p w:rsidR="00774FD4" w:rsidRPr="001A3E8F" w:rsidRDefault="001A3E8F" w:rsidP="001A3E8F">
      <w:pPr>
        <w:spacing w:before="240"/>
        <w:ind w:left="1134"/>
        <w:jc w:val="both"/>
        <w:rPr>
          <w:rFonts w:ascii="Book Antiqua" w:hAnsi="Book Antiqua" w:cs="Arial"/>
          <w:sz w:val="22"/>
          <w:szCs w:val="22"/>
        </w:rPr>
      </w:pPr>
      <w:r w:rsidRPr="001A3E8F">
        <w:rPr>
          <w:rFonts w:ascii="Book Antiqua" w:hAnsi="Book Antiqua" w:cs="Arial"/>
          <w:sz w:val="22"/>
          <w:szCs w:val="22"/>
        </w:rPr>
        <w:t>“I do not accept that the appellant had a relationship with Mr M; that this would not have been accepted by her family; that a marriage with Mr B had been arranged by her family unbeknown to her; that she refused to marry Mr B; that she was ill</w:t>
      </w:r>
      <w:r>
        <w:rPr>
          <w:rFonts w:ascii="Book Antiqua" w:hAnsi="Book Antiqua" w:cs="Arial"/>
          <w:sz w:val="22"/>
          <w:szCs w:val="22"/>
        </w:rPr>
        <w:t>-</w:t>
      </w:r>
      <w:r w:rsidRPr="001A3E8F">
        <w:rPr>
          <w:rFonts w:ascii="Book Antiqua" w:hAnsi="Book Antiqua" w:cs="Arial"/>
          <w:sz w:val="22"/>
          <w:szCs w:val="22"/>
        </w:rPr>
        <w:t xml:space="preserve">treated and </w:t>
      </w:r>
      <w:r w:rsidRPr="001A3E8F">
        <w:rPr>
          <w:rFonts w:ascii="Book Antiqua" w:hAnsi="Book Antiqua" w:cs="Arial"/>
          <w:sz w:val="22"/>
          <w:szCs w:val="22"/>
        </w:rPr>
        <w:lastRenderedPageBreak/>
        <w:t>beaten by her family as a result; that she was helped to escape from her family by [Ms R]; that she did not know that she was coming to the United Kingdom; and that she was not aware that the telephone number given to her was that of Ms R’s sister.”</w:t>
      </w:r>
    </w:p>
    <w:p w:rsidR="00774FD4" w:rsidRDefault="001A3E8F" w:rsidP="00774FD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judge found that, </w:t>
      </w:r>
      <w:proofErr w:type="gramStart"/>
      <w:r>
        <w:rPr>
          <w:rFonts w:ascii="Book Antiqua" w:hAnsi="Book Antiqua" w:cs="Arial"/>
        </w:rPr>
        <w:t>in light of</w:t>
      </w:r>
      <w:proofErr w:type="gramEnd"/>
      <w:r>
        <w:rPr>
          <w:rFonts w:ascii="Book Antiqua" w:hAnsi="Book Antiqua" w:cs="Arial"/>
        </w:rPr>
        <w:t xml:space="preserve"> his rejection of the appellant’s account of the hostility and threats from her family, and given she had certain identity documents available to her in Iraq, that she would be able to be returned to the IKR. For similar reasons, her alternative claim to humanitarian protection was also dismissed, and there had been no reliance on article 8 ECHR.</w:t>
      </w:r>
    </w:p>
    <w:p w:rsidR="005A6722" w:rsidRPr="009162CC" w:rsidRDefault="005A6722" w:rsidP="00646072">
      <w:pPr>
        <w:spacing w:before="240"/>
        <w:jc w:val="both"/>
        <w:rPr>
          <w:rFonts w:ascii="Book Antiqua" w:hAnsi="Book Antiqua" w:cs="Arial"/>
        </w:rPr>
      </w:pPr>
      <w:r w:rsidRPr="009162CC">
        <w:rPr>
          <w:rFonts w:ascii="Book Antiqua" w:hAnsi="Book Antiqua" w:cs="Arial"/>
          <w:i/>
        </w:rPr>
        <w:t>Permission to appeal</w:t>
      </w:r>
      <w:r w:rsidRPr="009162CC">
        <w:rPr>
          <w:rFonts w:ascii="Book Antiqua" w:hAnsi="Book Antiqua" w:cs="Arial"/>
        </w:rPr>
        <w:t xml:space="preserve"> </w:t>
      </w:r>
    </w:p>
    <w:p w:rsidR="005A6722" w:rsidRPr="009162CC" w:rsidRDefault="005E4835"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w:t>
      </w:r>
      <w:r w:rsidR="001A3E8F">
        <w:rPr>
          <w:rFonts w:ascii="Book Antiqua" w:hAnsi="Book Antiqua" w:cs="Arial"/>
        </w:rPr>
        <w:t xml:space="preserve">he grounds of appeal, which appear to have been drafted by the Iris law firm, </w:t>
      </w:r>
      <w:r>
        <w:rPr>
          <w:rFonts w:ascii="Book Antiqua" w:hAnsi="Book Antiqua" w:cs="Arial"/>
        </w:rPr>
        <w:t>are</w:t>
      </w:r>
      <w:r w:rsidR="001A3E8F">
        <w:rPr>
          <w:rFonts w:ascii="Book Antiqua" w:hAnsi="Book Antiqua" w:cs="Arial"/>
        </w:rPr>
        <w:t xml:space="preserve"> brief and feature no analysis of the judge’s decision. Judge Shaerf considered that it was arguable that the judge placed too much weight on what the appellant said during her screening </w:t>
      </w:r>
      <w:proofErr w:type="gramStart"/>
      <w:r w:rsidR="001A3E8F">
        <w:rPr>
          <w:rFonts w:ascii="Book Antiqua" w:hAnsi="Book Antiqua" w:cs="Arial"/>
        </w:rPr>
        <w:t>interview, and</w:t>
      </w:r>
      <w:proofErr w:type="gramEnd"/>
      <w:r w:rsidR="001A3E8F">
        <w:rPr>
          <w:rFonts w:ascii="Book Antiqua" w:hAnsi="Book Antiqua" w:cs="Arial"/>
        </w:rPr>
        <w:t xml:space="preserve"> suggested that the judge did not consider the implications of the Kurdish calendar ending at around 21 March, when considering the apparent inconsistencies between the dates proffered by the appellant. He added that the judge arguably failed to address the appellant’s claim that she left Iraq to escape forced marriage to a much older man, nor that he considered the risk on return as a single young woman.</w:t>
      </w:r>
    </w:p>
    <w:p w:rsidR="00A42C11" w:rsidRDefault="005A6722" w:rsidP="005E4835">
      <w:pPr>
        <w:spacing w:before="240"/>
        <w:jc w:val="both"/>
        <w:rPr>
          <w:rFonts w:ascii="Book Antiqua" w:hAnsi="Book Antiqua" w:cs="Arial"/>
        </w:rPr>
      </w:pPr>
      <w:r w:rsidRPr="009162CC">
        <w:rPr>
          <w:rFonts w:ascii="Book Antiqua" w:hAnsi="Book Antiqua" w:cs="Arial"/>
          <w:i/>
        </w:rPr>
        <w:t>Submissions</w:t>
      </w:r>
      <w:r w:rsidRPr="009162CC">
        <w:rPr>
          <w:rFonts w:ascii="Book Antiqua" w:hAnsi="Book Antiqua" w:cs="Arial"/>
        </w:rPr>
        <w:t xml:space="preserve"> </w:t>
      </w:r>
    </w:p>
    <w:p w:rsidR="001A3E8F" w:rsidRDefault="005E4835"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w:t>
      </w:r>
      <w:r w:rsidR="001A3E8F">
        <w:rPr>
          <w:rFonts w:ascii="Book Antiqua" w:hAnsi="Book Antiqua" w:cs="Arial"/>
        </w:rPr>
        <w:t xml:space="preserve">he respondent set out her </w:t>
      </w:r>
      <w:r w:rsidR="00376EE3">
        <w:rPr>
          <w:rFonts w:ascii="Book Antiqua" w:hAnsi="Book Antiqua" w:cs="Arial"/>
        </w:rPr>
        <w:t xml:space="preserve">initial </w:t>
      </w:r>
      <w:r w:rsidR="001A3E8F">
        <w:rPr>
          <w:rFonts w:ascii="Book Antiqua" w:hAnsi="Book Antiqua" w:cs="Arial"/>
        </w:rPr>
        <w:t>position in relation to this appeal in the following terms</w:t>
      </w:r>
      <w:r w:rsidR="00376EE3">
        <w:rPr>
          <w:rFonts w:ascii="Book Antiqua" w:hAnsi="Book Antiqua" w:cs="Arial"/>
        </w:rPr>
        <w:t xml:space="preserve"> in a response dated 1 June 2020</w:t>
      </w:r>
      <w:r w:rsidR="001A3E8F">
        <w:rPr>
          <w:rFonts w:ascii="Book Antiqua" w:hAnsi="Book Antiqua" w:cs="Arial"/>
        </w:rPr>
        <w:t xml:space="preserve">. </w:t>
      </w:r>
      <w:proofErr w:type="gramStart"/>
      <w:r w:rsidR="001A3E8F">
        <w:rPr>
          <w:rFonts w:ascii="Book Antiqua" w:hAnsi="Book Antiqua" w:cs="Arial"/>
        </w:rPr>
        <w:t>In light of</w:t>
      </w:r>
      <w:proofErr w:type="gramEnd"/>
      <w:r w:rsidR="001A3E8F">
        <w:rPr>
          <w:rFonts w:ascii="Book Antiqua" w:hAnsi="Book Antiqua" w:cs="Arial"/>
        </w:rPr>
        <w:t xml:space="preserve"> their brevity, I will set their operative terms out in full:</w:t>
      </w:r>
    </w:p>
    <w:p w:rsidR="00B519CA" w:rsidRPr="005E4835" w:rsidRDefault="001A3E8F" w:rsidP="00B519CA">
      <w:pPr>
        <w:spacing w:before="240"/>
        <w:ind w:left="1134"/>
        <w:jc w:val="both"/>
        <w:rPr>
          <w:rFonts w:ascii="Book Antiqua" w:hAnsi="Book Antiqua" w:cs="Arial"/>
          <w:sz w:val="22"/>
          <w:szCs w:val="22"/>
        </w:rPr>
      </w:pPr>
      <w:r w:rsidRPr="005E4835">
        <w:rPr>
          <w:rFonts w:ascii="Book Antiqua" w:hAnsi="Book Antiqua" w:cs="Arial"/>
          <w:sz w:val="22"/>
          <w:szCs w:val="22"/>
        </w:rPr>
        <w:t>“</w:t>
      </w:r>
      <w:r w:rsidR="00B519CA" w:rsidRPr="005E4835">
        <w:rPr>
          <w:rFonts w:ascii="Book Antiqua" w:hAnsi="Book Antiqua" w:cs="Arial"/>
          <w:sz w:val="22"/>
          <w:szCs w:val="22"/>
        </w:rPr>
        <w:t>T</w:t>
      </w:r>
      <w:r w:rsidRPr="005E4835">
        <w:rPr>
          <w:rFonts w:ascii="Book Antiqua" w:hAnsi="Book Antiqua" w:cs="Arial"/>
          <w:sz w:val="22"/>
          <w:szCs w:val="22"/>
        </w:rPr>
        <w:t>he grounds of appeal are extremely brief</w:t>
      </w:r>
      <w:r w:rsidR="00B519CA" w:rsidRPr="005E4835">
        <w:rPr>
          <w:rFonts w:ascii="Book Antiqua" w:hAnsi="Book Antiqua" w:cs="Arial"/>
          <w:sz w:val="22"/>
          <w:szCs w:val="22"/>
        </w:rPr>
        <w:t xml:space="preserve"> and are made and only general terms. The judge who granted permission himself identified </w:t>
      </w:r>
      <w:proofErr w:type="gramStart"/>
      <w:r w:rsidR="00B519CA" w:rsidRPr="005E4835">
        <w:rPr>
          <w:rFonts w:ascii="Book Antiqua" w:hAnsi="Book Antiqua" w:cs="Arial"/>
          <w:sz w:val="22"/>
          <w:szCs w:val="22"/>
        </w:rPr>
        <w:t>a number of</w:t>
      </w:r>
      <w:proofErr w:type="gramEnd"/>
      <w:r w:rsidR="00B519CA" w:rsidRPr="005E4835">
        <w:rPr>
          <w:rFonts w:ascii="Book Antiqua" w:hAnsi="Book Antiqua" w:cs="Arial"/>
          <w:sz w:val="22"/>
          <w:szCs w:val="22"/>
        </w:rPr>
        <w:t xml:space="preserve"> areas that concerned him.</w:t>
      </w:r>
    </w:p>
    <w:p w:rsidR="00B519CA" w:rsidRPr="005E4835" w:rsidRDefault="00B519CA" w:rsidP="00B519CA">
      <w:pPr>
        <w:spacing w:before="240"/>
        <w:ind w:left="1134"/>
        <w:jc w:val="both"/>
        <w:rPr>
          <w:rFonts w:ascii="Book Antiqua" w:hAnsi="Book Antiqua" w:cs="Arial"/>
          <w:sz w:val="22"/>
          <w:szCs w:val="22"/>
        </w:rPr>
      </w:pPr>
      <w:r w:rsidRPr="005E4835">
        <w:rPr>
          <w:rFonts w:ascii="Book Antiqua" w:hAnsi="Book Antiqua" w:cs="Arial"/>
          <w:sz w:val="22"/>
          <w:szCs w:val="22"/>
        </w:rPr>
        <w:t xml:space="preserve">The permission judge noted that no account was taken of the differences in the Kurdish calendar when the first-tier were considering the discrepancies over dates. At no point was this proffered by the appellant as an explanation for the differences in her accounts and it is essentially speculation by the permission judge. He was also concerned that excessive weight had been placed on screening </w:t>
      </w:r>
      <w:proofErr w:type="gramStart"/>
      <w:r w:rsidRPr="005E4835">
        <w:rPr>
          <w:rFonts w:ascii="Book Antiqua" w:hAnsi="Book Antiqua" w:cs="Arial"/>
          <w:sz w:val="22"/>
          <w:szCs w:val="22"/>
        </w:rPr>
        <w:t>interview</w:t>
      </w:r>
      <w:proofErr w:type="gramEnd"/>
      <w:r w:rsidRPr="005E4835">
        <w:rPr>
          <w:rFonts w:ascii="Book Antiqua" w:hAnsi="Book Antiqua" w:cs="Arial"/>
          <w:sz w:val="22"/>
          <w:szCs w:val="22"/>
        </w:rPr>
        <w:t xml:space="preserve"> but weight is a matter for the deciding judge. The last character, there is nothing to indicate that undue weight was given to the screening interview and the evidence formed only part of the issue with the discrepancies.</w:t>
      </w:r>
    </w:p>
    <w:p w:rsidR="00B519CA" w:rsidRPr="005E4835" w:rsidRDefault="00B519CA" w:rsidP="00B519CA">
      <w:pPr>
        <w:spacing w:before="240"/>
        <w:ind w:left="1134"/>
        <w:jc w:val="both"/>
        <w:rPr>
          <w:rFonts w:ascii="Book Antiqua" w:hAnsi="Book Antiqua" w:cs="Arial"/>
          <w:sz w:val="22"/>
          <w:szCs w:val="22"/>
        </w:rPr>
      </w:pPr>
      <w:r w:rsidRPr="005E4835">
        <w:rPr>
          <w:rFonts w:ascii="Book Antiqua" w:hAnsi="Book Antiqua" w:cs="Arial"/>
          <w:sz w:val="22"/>
          <w:szCs w:val="22"/>
        </w:rPr>
        <w:t xml:space="preserve">The determination shows that the first-tier judge made substantial and </w:t>
      </w:r>
      <w:proofErr w:type="spellStart"/>
      <w:r w:rsidRPr="005E4835">
        <w:rPr>
          <w:rFonts w:ascii="Book Antiqua" w:hAnsi="Book Antiqua" w:cs="Arial"/>
          <w:sz w:val="22"/>
          <w:szCs w:val="22"/>
        </w:rPr>
        <w:t>well reasoned</w:t>
      </w:r>
      <w:proofErr w:type="spellEnd"/>
      <w:r w:rsidRPr="005E4835">
        <w:rPr>
          <w:rFonts w:ascii="Book Antiqua" w:hAnsi="Book Antiqua" w:cs="Arial"/>
          <w:sz w:val="22"/>
          <w:szCs w:val="22"/>
        </w:rPr>
        <w:t xml:space="preserve"> adverse credibility findings in this case. They had the benefit of hearing oral evidence from the appellant and there were significant discrepancies in her account. The adverse findings were clearly open to the judge on the evidence.</w:t>
      </w:r>
    </w:p>
    <w:p w:rsidR="00B519CA" w:rsidRPr="005E4835" w:rsidRDefault="00B519CA" w:rsidP="00B519CA">
      <w:pPr>
        <w:spacing w:before="240"/>
        <w:ind w:left="1134"/>
        <w:jc w:val="both"/>
        <w:rPr>
          <w:rFonts w:ascii="Book Antiqua" w:hAnsi="Book Antiqua" w:cs="Arial"/>
          <w:sz w:val="22"/>
          <w:szCs w:val="22"/>
        </w:rPr>
      </w:pPr>
      <w:r w:rsidRPr="005E4835">
        <w:rPr>
          <w:rFonts w:ascii="Book Antiqua" w:hAnsi="Book Antiqua" w:cs="Arial"/>
          <w:sz w:val="22"/>
          <w:szCs w:val="22"/>
        </w:rPr>
        <w:t xml:space="preserve">The permission [sic] also noted that the first-tier judge was required to make a finding on whether the appellant would face a forced marriage and return. The Secretary of State would point to the summary of the judge’s credibility findings at paragraph 79 </w:t>
      </w:r>
      <w:r w:rsidRPr="00BA6EBC">
        <w:rPr>
          <w:rFonts w:ascii="Book Antiqua" w:hAnsi="Book Antiqua" w:cs="Arial"/>
          <w:sz w:val="22"/>
          <w:szCs w:val="22"/>
        </w:rPr>
        <w:t>[quoted in full</w:t>
      </w:r>
      <w:r w:rsidR="00FC49F5" w:rsidRPr="00BA6EBC">
        <w:rPr>
          <w:rFonts w:ascii="Book Antiqua" w:hAnsi="Book Antiqua" w:cs="Arial"/>
          <w:sz w:val="22"/>
          <w:szCs w:val="22"/>
        </w:rPr>
        <w:t xml:space="preserve"> at [</w:t>
      </w:r>
      <w:r w:rsidR="00FC49F5" w:rsidRPr="00BA6EBC">
        <w:rPr>
          <w:rFonts w:ascii="Book Antiqua" w:hAnsi="Book Antiqua" w:cs="Arial"/>
          <w:sz w:val="22"/>
          <w:szCs w:val="22"/>
        </w:rPr>
        <w:fldChar w:fldCharType="begin"/>
      </w:r>
      <w:r w:rsidR="00FC49F5" w:rsidRPr="00BA6EBC">
        <w:rPr>
          <w:rFonts w:ascii="Book Antiqua" w:hAnsi="Book Antiqua" w:cs="Arial"/>
          <w:sz w:val="22"/>
          <w:szCs w:val="22"/>
        </w:rPr>
        <w:instrText xml:space="preserve"> REF _Ref45613551 \r \h </w:instrText>
      </w:r>
      <w:r w:rsidR="00BA6EBC">
        <w:rPr>
          <w:rFonts w:ascii="Book Antiqua" w:hAnsi="Book Antiqua" w:cs="Arial"/>
          <w:sz w:val="22"/>
          <w:szCs w:val="22"/>
        </w:rPr>
        <w:instrText xml:space="preserve"> \* MERGEFORMAT </w:instrText>
      </w:r>
      <w:r w:rsidR="00FC49F5" w:rsidRPr="00BA6EBC">
        <w:rPr>
          <w:rFonts w:ascii="Book Antiqua" w:hAnsi="Book Antiqua" w:cs="Arial"/>
          <w:sz w:val="22"/>
          <w:szCs w:val="22"/>
        </w:rPr>
      </w:r>
      <w:r w:rsidR="00FC49F5" w:rsidRPr="00BA6EBC">
        <w:rPr>
          <w:rFonts w:ascii="Book Antiqua" w:hAnsi="Book Antiqua" w:cs="Arial"/>
          <w:sz w:val="22"/>
          <w:szCs w:val="22"/>
        </w:rPr>
        <w:fldChar w:fldCharType="separate"/>
      </w:r>
      <w:r w:rsidR="007C5E4A">
        <w:rPr>
          <w:rFonts w:ascii="Book Antiqua" w:hAnsi="Book Antiqua" w:cs="Arial"/>
          <w:sz w:val="22"/>
          <w:szCs w:val="22"/>
        </w:rPr>
        <w:t>17</w:t>
      </w:r>
      <w:r w:rsidR="00FC49F5" w:rsidRPr="00BA6EBC">
        <w:rPr>
          <w:rFonts w:ascii="Book Antiqua" w:hAnsi="Book Antiqua" w:cs="Arial"/>
          <w:sz w:val="22"/>
          <w:szCs w:val="22"/>
        </w:rPr>
        <w:fldChar w:fldCharType="end"/>
      </w:r>
      <w:r w:rsidR="00FC49F5" w:rsidRPr="00BA6EBC">
        <w:rPr>
          <w:rFonts w:ascii="Book Antiqua" w:hAnsi="Book Antiqua" w:cs="Arial"/>
          <w:sz w:val="22"/>
          <w:szCs w:val="22"/>
        </w:rPr>
        <w:t>]</w:t>
      </w:r>
      <w:r w:rsidRPr="00BA6EBC">
        <w:rPr>
          <w:rFonts w:ascii="Book Antiqua" w:hAnsi="Book Antiqua" w:cs="Arial"/>
          <w:sz w:val="22"/>
          <w:szCs w:val="22"/>
        </w:rPr>
        <w:t>, above].”</w:t>
      </w:r>
    </w:p>
    <w:p w:rsidR="00376EE3" w:rsidRPr="00376EE3" w:rsidRDefault="00376EE3" w:rsidP="005E4835">
      <w:pPr>
        <w:spacing w:before="240"/>
        <w:jc w:val="both"/>
        <w:rPr>
          <w:rFonts w:ascii="Book Antiqua" w:hAnsi="Book Antiqua" w:cs="Arial"/>
        </w:rPr>
      </w:pPr>
      <w:r>
        <w:rPr>
          <w:rFonts w:ascii="Book Antiqua" w:hAnsi="Book Antiqua" w:cs="Arial"/>
          <w:i/>
          <w:iCs/>
        </w:rPr>
        <w:tab/>
      </w:r>
      <w:r>
        <w:rPr>
          <w:rFonts w:ascii="Book Antiqua" w:hAnsi="Book Antiqua" w:cs="Arial"/>
        </w:rPr>
        <w:t>I will address Mr Avery’s written submissions dated 30 July 2020 in due course.</w:t>
      </w:r>
    </w:p>
    <w:p w:rsidR="005A6722" w:rsidRPr="005E4835" w:rsidRDefault="005E4835" w:rsidP="005E4835">
      <w:pPr>
        <w:spacing w:before="240"/>
        <w:jc w:val="both"/>
        <w:rPr>
          <w:rFonts w:ascii="Book Antiqua" w:hAnsi="Book Antiqua" w:cs="Arial"/>
          <w:i/>
          <w:iCs/>
        </w:rPr>
      </w:pPr>
      <w:r w:rsidRPr="005E4835">
        <w:rPr>
          <w:rFonts w:ascii="Book Antiqua" w:hAnsi="Book Antiqua" w:cs="Arial"/>
          <w:i/>
          <w:iCs/>
        </w:rPr>
        <w:lastRenderedPageBreak/>
        <w:t>Discussion</w:t>
      </w:r>
    </w:p>
    <w:p w:rsidR="005E4835" w:rsidRDefault="005E4835" w:rsidP="00646072">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grounds of appeal are poorly drafted.  They were submitted in the name of the Iris Law Firm, which has since come off the record.</w:t>
      </w:r>
      <w:r w:rsidR="00FC49F5">
        <w:rPr>
          <w:rFonts w:ascii="Book Antiqua" w:hAnsi="Book Antiqua" w:cs="Arial"/>
        </w:rPr>
        <w:t xml:space="preserve">  I have not been aided by the grounds of </w:t>
      </w:r>
      <w:r w:rsidR="00622C55">
        <w:rPr>
          <w:rFonts w:ascii="Book Antiqua" w:hAnsi="Book Antiqua" w:cs="Arial"/>
        </w:rPr>
        <w:t>appeal but</w:t>
      </w:r>
      <w:r w:rsidR="00FC49F5">
        <w:rPr>
          <w:rFonts w:ascii="Book Antiqua" w:hAnsi="Book Antiqua" w:cs="Arial"/>
        </w:rPr>
        <w:t xml:space="preserve"> have found considerable assistance in the observations of Judge Shaerf when granting permission to appeal.</w:t>
      </w:r>
    </w:p>
    <w:p w:rsidR="0014442F" w:rsidRDefault="0014442F" w:rsidP="0014442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reject the Secretary of State’s submissions that the judge made </w:t>
      </w:r>
      <w:proofErr w:type="gramStart"/>
      <w:r>
        <w:rPr>
          <w:rFonts w:ascii="Book Antiqua" w:hAnsi="Book Antiqua" w:cs="Arial"/>
        </w:rPr>
        <w:t>sufficient</w:t>
      </w:r>
      <w:proofErr w:type="gramEnd"/>
      <w:r>
        <w:rPr>
          <w:rFonts w:ascii="Book Antiqua" w:hAnsi="Book Antiqua" w:cs="Arial"/>
        </w:rPr>
        <w:t xml:space="preserve"> findings concerning the claimed forced marriage to B and her likely circumstances of return as a single woman.  Even putting to one side the issues with the judge’s wider credibility analysis set out below, the judge did not give </w:t>
      </w:r>
      <w:proofErr w:type="gramStart"/>
      <w:r>
        <w:rPr>
          <w:rFonts w:ascii="Book Antiqua" w:hAnsi="Book Antiqua" w:cs="Arial"/>
        </w:rPr>
        <w:t>sufficient</w:t>
      </w:r>
      <w:proofErr w:type="gramEnd"/>
      <w:r>
        <w:rPr>
          <w:rFonts w:ascii="Book Antiqua" w:hAnsi="Book Antiqua" w:cs="Arial"/>
        </w:rPr>
        <w:t xml:space="preserve"> reasons for rejecting the appellant’s case concerning the likely risk of forced marriage to B.  The judge set out at some length his concerns with the appellant’s account of her relationship with Mr M.  Although at [</w:t>
      </w:r>
      <w:r w:rsidR="00FC49F5">
        <w:rPr>
          <w:rFonts w:ascii="Book Antiqua" w:hAnsi="Book Antiqua" w:cs="Arial"/>
        </w:rPr>
        <w:t>49</w:t>
      </w:r>
      <w:r>
        <w:rPr>
          <w:rFonts w:ascii="Book Antiqua" w:hAnsi="Book Antiqua" w:cs="Arial"/>
        </w:rPr>
        <w:t xml:space="preserve">] </w:t>
      </w:r>
      <w:r w:rsidR="00FC49F5">
        <w:rPr>
          <w:rFonts w:ascii="Book Antiqua" w:hAnsi="Book Antiqua" w:cs="Arial"/>
        </w:rPr>
        <w:t>the judge had highlighted consistency concerns with the appellant’s account of the prospect of forced marriage to B</w:t>
      </w:r>
      <w:r>
        <w:rPr>
          <w:rFonts w:ascii="Book Antiqua" w:hAnsi="Book Antiqua" w:cs="Arial"/>
        </w:rPr>
        <w:t>, the reader of the decision is left wondering why the judge reached his global findings at [79]</w:t>
      </w:r>
      <w:r w:rsidR="00FC49F5">
        <w:rPr>
          <w:rFonts w:ascii="Book Antiqua" w:hAnsi="Book Antiqua" w:cs="Arial"/>
        </w:rPr>
        <w:t xml:space="preserve"> concerning that issue</w:t>
      </w:r>
      <w:r>
        <w:rPr>
          <w:rFonts w:ascii="Book Antiqua" w:hAnsi="Book Antiqua" w:cs="Arial"/>
        </w:rPr>
        <w:t>.  The appellant’s relationship with M was only one aspect of her case, yet the judge extrapolated his rejection of that limb of the appellant’s case to the quite separate issue of the claimed prospect of forced marriage.  Even if the relationship with M had been fabricated, it was incumbent upon the judge to say why he rejected the appellant’s case in relation to Mr B.  It is not clear from the decision what the judge’s reasons are</w:t>
      </w:r>
      <w:r w:rsidR="00FC49F5">
        <w:rPr>
          <w:rFonts w:ascii="Book Antiqua" w:hAnsi="Book Antiqua" w:cs="Arial"/>
        </w:rPr>
        <w:t xml:space="preserve"> for reaching his finding concerning B</w:t>
      </w:r>
      <w:r>
        <w:rPr>
          <w:rFonts w:ascii="Book Antiqua" w:hAnsi="Book Antiqua" w:cs="Arial"/>
        </w:rPr>
        <w:t>, other than his general rejection of the credibility of the other limbs of the appellant’s case,</w:t>
      </w:r>
      <w:r w:rsidR="00FC49F5">
        <w:rPr>
          <w:rFonts w:ascii="Book Antiqua" w:hAnsi="Book Antiqua" w:cs="Arial"/>
        </w:rPr>
        <w:t xml:space="preserve"> and a single concern about consistency concerning B</w:t>
      </w:r>
      <w:r>
        <w:rPr>
          <w:rFonts w:ascii="Book Antiqua" w:hAnsi="Book Antiqua" w:cs="Arial"/>
        </w:rPr>
        <w:t>.  Judges must give reasons that are tolerably clear</w:t>
      </w:r>
      <w:r w:rsidR="00CB6984">
        <w:rPr>
          <w:rFonts w:ascii="Book Antiqua" w:hAnsi="Book Antiqua" w:cs="Arial"/>
        </w:rPr>
        <w:t xml:space="preserve">.  The reasons given by this judge for rejecting this aspect of this case are not </w:t>
      </w:r>
      <w:r w:rsidR="00FC49F5">
        <w:rPr>
          <w:rFonts w:ascii="Book Antiqua" w:hAnsi="Book Antiqua" w:cs="Arial"/>
        </w:rPr>
        <w:t xml:space="preserve">tolerably </w:t>
      </w:r>
      <w:r w:rsidR="00CB6984">
        <w:rPr>
          <w:rFonts w:ascii="Book Antiqua" w:hAnsi="Book Antiqua" w:cs="Arial"/>
        </w:rPr>
        <w:t>clear.</w:t>
      </w:r>
    </w:p>
    <w:p w:rsidR="00CB6984" w:rsidRPr="00CB6984" w:rsidRDefault="00CB6984" w:rsidP="00CB698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There are other reasons I consider the judge’s credibility assessment to be tainted, which I consider to be “</w:t>
      </w:r>
      <w:r w:rsidRPr="00622C55">
        <w:rPr>
          <w:rFonts w:ascii="Book Antiqua" w:hAnsi="Book Antiqua" w:cs="Arial"/>
          <w:i/>
          <w:iCs/>
        </w:rPr>
        <w:t>Robinson</w:t>
      </w:r>
      <w:r>
        <w:rPr>
          <w:rFonts w:ascii="Book Antiqua" w:hAnsi="Book Antiqua" w:cs="Arial"/>
        </w:rPr>
        <w:t xml:space="preserve"> obvious”, such that the Upper Tribunal’s jurisdiction extends to considering those points</w:t>
      </w:r>
      <w:r w:rsidR="00FC49F5">
        <w:rPr>
          <w:rFonts w:ascii="Book Antiqua" w:hAnsi="Book Antiqua" w:cs="Arial"/>
        </w:rPr>
        <w:t xml:space="preserve"> even though they were not raised in the application for, or grant of, permission to appeal</w:t>
      </w:r>
      <w:r>
        <w:rPr>
          <w:rFonts w:ascii="Book Antiqua" w:hAnsi="Book Antiqua" w:cs="Arial"/>
        </w:rPr>
        <w:t xml:space="preserve">.  The term </w:t>
      </w:r>
      <w:r w:rsidRPr="00CB6984">
        <w:rPr>
          <w:rFonts w:ascii="Book Antiqua" w:hAnsi="Book Antiqua" w:cs="Arial"/>
        </w:rPr>
        <w:t>“</w:t>
      </w:r>
      <w:r w:rsidRPr="00CB6984">
        <w:rPr>
          <w:rFonts w:ascii="Book Antiqua" w:hAnsi="Book Antiqua" w:cs="Arial"/>
          <w:i/>
          <w:iCs/>
        </w:rPr>
        <w:t xml:space="preserve">Robinson </w:t>
      </w:r>
      <w:r w:rsidRPr="00CB6984">
        <w:rPr>
          <w:rFonts w:ascii="Book Antiqua" w:hAnsi="Book Antiqua" w:cs="Arial"/>
        </w:rPr>
        <w:t xml:space="preserve">obvious” has its origins in </w:t>
      </w:r>
      <w:r w:rsidRPr="00CB6984">
        <w:rPr>
          <w:rFonts w:ascii="Book Antiqua" w:hAnsi="Book Antiqua" w:cs="Arial"/>
          <w:u w:val="single"/>
        </w:rPr>
        <w:t xml:space="preserve">R v Secretary of State for The Home Department, Ex </w:t>
      </w:r>
      <w:proofErr w:type="spellStart"/>
      <w:r w:rsidRPr="00CB6984">
        <w:rPr>
          <w:rFonts w:ascii="Book Antiqua" w:hAnsi="Book Antiqua" w:cs="Arial"/>
          <w:u w:val="single"/>
        </w:rPr>
        <w:t>parte</w:t>
      </w:r>
      <w:proofErr w:type="spellEnd"/>
      <w:r w:rsidRPr="00CB6984">
        <w:rPr>
          <w:rFonts w:ascii="Book Antiqua" w:hAnsi="Book Antiqua" w:cs="Arial"/>
          <w:u w:val="single"/>
        </w:rPr>
        <w:t xml:space="preserve"> Robinson</w:t>
      </w:r>
      <w:r w:rsidRPr="00CB6984">
        <w:rPr>
          <w:rFonts w:ascii="Book Antiqua" w:hAnsi="Book Antiqua" w:cs="Arial"/>
        </w:rPr>
        <w:t xml:space="preserve"> [1998] Q.B. 929, referring to the obligation on a tribunal to consider an “obvious” point of refugee law not raised by an appellant.  At 946, Lord Woolf MR said, “[w]hen we refer to an obvious point we mean a point which has a strong prospect of success if it is argued.”</w:t>
      </w:r>
      <w:r>
        <w:rPr>
          <w:rFonts w:ascii="Book Antiqua" w:hAnsi="Book Antiqua" w:cs="Arial"/>
        </w:rPr>
        <w:t xml:space="preserve">  The doctrine is based on the need for the jurisdiction of the tribunal to be exercised in such a way to avoid the United Kingdom being placed inadvertent breach of its international obligations, namely the Refugee Convention.</w:t>
      </w:r>
    </w:p>
    <w:p w:rsidR="00FC49F5" w:rsidRDefault="00CB6984" w:rsidP="00D07253">
      <w:pPr>
        <w:numPr>
          <w:ilvl w:val="0"/>
          <w:numId w:val="1"/>
        </w:numPr>
        <w:tabs>
          <w:tab w:val="clear" w:pos="720"/>
        </w:tabs>
        <w:spacing w:before="240"/>
        <w:ind w:left="567" w:hanging="567"/>
        <w:jc w:val="both"/>
        <w:rPr>
          <w:rFonts w:ascii="Book Antiqua" w:hAnsi="Book Antiqua" w:cs="Arial"/>
        </w:rPr>
      </w:pPr>
      <w:bookmarkStart w:id="3" w:name="_Ref48570446"/>
      <w:r>
        <w:rPr>
          <w:rFonts w:ascii="Book Antiqua" w:hAnsi="Book Antiqua" w:cs="Arial"/>
        </w:rPr>
        <w:t xml:space="preserve">I have set out above the appellant’s explanation concerning the discrepancies between her July 2018 statement and the other aspects of her case.  </w:t>
      </w:r>
      <w:r w:rsidR="00D07253">
        <w:rPr>
          <w:rFonts w:ascii="Book Antiqua" w:hAnsi="Book Antiqua" w:cs="Arial"/>
        </w:rPr>
        <w:t xml:space="preserve">Her explanation should have been </w:t>
      </w:r>
      <w:r>
        <w:rPr>
          <w:rFonts w:ascii="Book Antiqua" w:hAnsi="Book Antiqua" w:cs="Arial"/>
        </w:rPr>
        <w:t>considered in the round, along with the remaining evidence in the case</w:t>
      </w:r>
      <w:r w:rsidR="00D07253">
        <w:rPr>
          <w:rFonts w:ascii="Book Antiqua" w:hAnsi="Book Antiqua" w:cs="Arial"/>
        </w:rPr>
        <w:t xml:space="preserve">, </w:t>
      </w:r>
      <w:proofErr w:type="gramStart"/>
      <w:r w:rsidR="00D07253">
        <w:rPr>
          <w:rFonts w:ascii="Book Antiqua" w:hAnsi="Book Antiqua" w:cs="Arial"/>
        </w:rPr>
        <w:t>in order for</w:t>
      </w:r>
      <w:proofErr w:type="gramEnd"/>
      <w:r w:rsidR="00D07253">
        <w:rPr>
          <w:rFonts w:ascii="Book Antiqua" w:hAnsi="Book Antiqua" w:cs="Arial"/>
        </w:rPr>
        <w:t xml:space="preserve"> the judge to reach a holistic assessment of the evidence.  Yet the judge took the contrary approach.  He considered </w:t>
      </w:r>
      <w:r w:rsidR="00994305">
        <w:rPr>
          <w:rFonts w:ascii="Book Antiqua" w:hAnsi="Book Antiqua" w:cs="Arial"/>
        </w:rPr>
        <w:t>the statement</w:t>
      </w:r>
      <w:r w:rsidR="00D07253">
        <w:rPr>
          <w:rFonts w:ascii="Book Antiqua" w:hAnsi="Book Antiqua" w:cs="Arial"/>
        </w:rPr>
        <w:t xml:space="preserve"> aspect of the case </w:t>
      </w:r>
      <w:r w:rsidR="00D07253" w:rsidRPr="00994305">
        <w:rPr>
          <w:rFonts w:ascii="Book Antiqua" w:hAnsi="Book Antiqua" w:cs="Arial"/>
          <w:i/>
          <w:iCs/>
        </w:rPr>
        <w:t>first</w:t>
      </w:r>
      <w:r w:rsidR="00D07253">
        <w:rPr>
          <w:rFonts w:ascii="Book Antiqua" w:hAnsi="Book Antiqua" w:cs="Arial"/>
        </w:rPr>
        <w:t>, in isolation, and rejected it.  Having done so, he then conducted the remaining aspects of his credibility analysis</w:t>
      </w:r>
      <w:r w:rsidR="00994305">
        <w:rPr>
          <w:rFonts w:ascii="Book Antiqua" w:hAnsi="Book Antiqua" w:cs="Arial"/>
        </w:rPr>
        <w:t xml:space="preserve"> starting from the premise that the appellant’s account concerning her statement was not true</w:t>
      </w:r>
      <w:r w:rsidR="00D07253">
        <w:rPr>
          <w:rFonts w:ascii="Book Antiqua" w:hAnsi="Book Antiqua" w:cs="Arial"/>
        </w:rPr>
        <w:t>.  So much is clear from [</w:t>
      </w:r>
      <w:r w:rsidR="00FC49F5">
        <w:rPr>
          <w:rFonts w:ascii="Book Antiqua" w:hAnsi="Book Antiqua" w:cs="Arial"/>
        </w:rPr>
        <w:t>48</w:t>
      </w:r>
      <w:r w:rsidR="00D07253">
        <w:rPr>
          <w:rFonts w:ascii="Book Antiqua" w:hAnsi="Book Antiqua" w:cs="Arial"/>
        </w:rPr>
        <w:t xml:space="preserve">], where the judge </w:t>
      </w:r>
      <w:r w:rsidR="00994305">
        <w:rPr>
          <w:rFonts w:ascii="Book Antiqua" w:hAnsi="Book Antiqua" w:cs="Arial"/>
        </w:rPr>
        <w:t>explains</w:t>
      </w:r>
      <w:r w:rsidR="00D07253">
        <w:rPr>
          <w:rFonts w:ascii="Book Antiqua" w:hAnsi="Book Antiqua" w:cs="Arial"/>
        </w:rPr>
        <w:t xml:space="preserve"> that “</w:t>
      </w:r>
      <w:r w:rsidR="00D07253" w:rsidRPr="00376EE3">
        <w:rPr>
          <w:rFonts w:ascii="Book Antiqua" w:hAnsi="Book Antiqua" w:cs="Arial"/>
          <w:i/>
          <w:iCs/>
        </w:rPr>
        <w:t xml:space="preserve">given </w:t>
      </w:r>
      <w:r w:rsidR="00FC49F5" w:rsidRPr="00376EE3">
        <w:rPr>
          <w:rFonts w:ascii="Book Antiqua" w:hAnsi="Book Antiqua" w:cs="Arial"/>
          <w:i/>
          <w:iCs/>
        </w:rPr>
        <w:t>that I have not accepted</w:t>
      </w:r>
      <w:r w:rsidR="00FC49F5" w:rsidRPr="00622C55">
        <w:rPr>
          <w:rFonts w:ascii="Book Antiqua" w:hAnsi="Book Antiqua" w:cs="Arial"/>
        </w:rPr>
        <w:t xml:space="preserve"> that it has been shown that the statement was not read back to the appellant before signing it</w:t>
      </w:r>
      <w:r w:rsidR="00D07253" w:rsidRPr="00622C55">
        <w:rPr>
          <w:rFonts w:ascii="Book Antiqua" w:hAnsi="Book Antiqua" w:cs="Arial"/>
        </w:rPr>
        <w:t>”</w:t>
      </w:r>
      <w:r w:rsidR="00FC49F5" w:rsidRPr="00622C55">
        <w:rPr>
          <w:rFonts w:ascii="Book Antiqua" w:hAnsi="Book Antiqua" w:cs="Arial"/>
        </w:rPr>
        <w:t>,</w:t>
      </w:r>
      <w:r w:rsidR="00FC49F5">
        <w:rPr>
          <w:rFonts w:ascii="Book Antiqua" w:hAnsi="Book Antiqua" w:cs="Arial"/>
        </w:rPr>
        <w:t xml:space="preserve"> </w:t>
      </w:r>
      <w:r w:rsidR="00994305">
        <w:rPr>
          <w:rFonts w:ascii="Book Antiqua" w:hAnsi="Book Antiqua" w:cs="Arial"/>
        </w:rPr>
        <w:t xml:space="preserve">he was to reject </w:t>
      </w:r>
      <w:r w:rsidR="00FC49F5">
        <w:rPr>
          <w:rFonts w:ascii="Book Antiqua" w:hAnsi="Book Antiqua" w:cs="Arial"/>
        </w:rPr>
        <w:t xml:space="preserve">the appellant’s explanation in </w:t>
      </w:r>
      <w:r w:rsidR="00FC49F5">
        <w:rPr>
          <w:rFonts w:ascii="Book Antiqua" w:hAnsi="Book Antiqua" w:cs="Arial"/>
        </w:rPr>
        <w:lastRenderedPageBreak/>
        <w:t>her substantive asylum interview for the inconsistencies arising from the July 2018 statement</w:t>
      </w:r>
      <w:r w:rsidR="00376EE3">
        <w:rPr>
          <w:rFonts w:ascii="Book Antiqua" w:hAnsi="Book Antiqua" w:cs="Arial"/>
        </w:rPr>
        <w:t xml:space="preserve"> (emphasis added)</w:t>
      </w:r>
      <w:r w:rsidR="00D07253">
        <w:rPr>
          <w:rFonts w:ascii="Book Antiqua" w:hAnsi="Book Antiqua" w:cs="Arial"/>
        </w:rPr>
        <w:t>.</w:t>
      </w:r>
      <w:bookmarkEnd w:id="3"/>
      <w:r w:rsidR="00D07253">
        <w:rPr>
          <w:rFonts w:ascii="Book Antiqua" w:hAnsi="Book Antiqua" w:cs="Arial"/>
        </w:rPr>
        <w:t xml:space="preserve">  </w:t>
      </w:r>
    </w:p>
    <w:p w:rsidR="00413491" w:rsidRDefault="00D07253" w:rsidP="00D07253">
      <w:pPr>
        <w:numPr>
          <w:ilvl w:val="0"/>
          <w:numId w:val="1"/>
        </w:numPr>
        <w:tabs>
          <w:tab w:val="clear" w:pos="720"/>
        </w:tabs>
        <w:spacing w:before="240"/>
        <w:ind w:left="567" w:hanging="567"/>
        <w:jc w:val="both"/>
        <w:rPr>
          <w:rFonts w:ascii="Book Antiqua" w:hAnsi="Book Antiqua" w:cs="Arial"/>
        </w:rPr>
      </w:pPr>
      <w:bookmarkStart w:id="4" w:name="_Hlk45724690"/>
      <w:proofErr w:type="gramStart"/>
      <w:r>
        <w:rPr>
          <w:rFonts w:ascii="Book Antiqua" w:hAnsi="Book Antiqua" w:cs="Arial"/>
        </w:rPr>
        <w:t>In essence, the</w:t>
      </w:r>
      <w:proofErr w:type="gramEnd"/>
      <w:r>
        <w:rPr>
          <w:rFonts w:ascii="Book Antiqua" w:hAnsi="Book Antiqua" w:cs="Arial"/>
        </w:rPr>
        <w:t xml:space="preserve"> judge </w:t>
      </w:r>
      <w:r w:rsidR="00646072" w:rsidRPr="00D07253">
        <w:rPr>
          <w:rFonts w:ascii="Book Antiqua" w:hAnsi="Book Antiqua" w:cs="Arial"/>
        </w:rPr>
        <w:t xml:space="preserve">rejected one limb of the appellant’s case before considering the remaining limbs of it, rejecting those subsequent aspects of the case on account of his initial rejection of the appellant’s account concerning </w:t>
      </w:r>
      <w:r>
        <w:rPr>
          <w:rFonts w:ascii="Book Antiqua" w:hAnsi="Book Antiqua" w:cs="Arial"/>
        </w:rPr>
        <w:t>the July 2018</w:t>
      </w:r>
      <w:r w:rsidR="00646072" w:rsidRPr="00D07253">
        <w:rPr>
          <w:rFonts w:ascii="Book Antiqua" w:hAnsi="Book Antiqua" w:cs="Arial"/>
        </w:rPr>
        <w:t xml:space="preserve"> statement.  This was the error in </w:t>
      </w:r>
      <w:proofErr w:type="spellStart"/>
      <w:r w:rsidR="00646072" w:rsidRPr="00D07253">
        <w:rPr>
          <w:rFonts w:ascii="Book Antiqua" w:hAnsi="Book Antiqua" w:cs="Arial"/>
          <w:u w:val="single"/>
        </w:rPr>
        <w:t>Mibanga</w:t>
      </w:r>
      <w:proofErr w:type="spellEnd"/>
      <w:r w:rsidR="00646072" w:rsidRPr="00D07253">
        <w:rPr>
          <w:rFonts w:ascii="Book Antiqua" w:hAnsi="Book Antiqua" w:cs="Arial"/>
          <w:u w:val="single"/>
        </w:rPr>
        <w:t xml:space="preserve"> v Secretary of State for the Home Department</w:t>
      </w:r>
      <w:r w:rsidR="00646072" w:rsidRPr="00D07253">
        <w:rPr>
          <w:rFonts w:ascii="Book Antiqua" w:hAnsi="Book Antiqua" w:cs="Arial"/>
        </w:rPr>
        <w:t xml:space="preserve"> [2005] EWCA </w:t>
      </w:r>
      <w:proofErr w:type="spellStart"/>
      <w:r w:rsidR="00646072" w:rsidRPr="00D07253">
        <w:rPr>
          <w:rFonts w:ascii="Book Antiqua" w:hAnsi="Book Antiqua" w:cs="Arial"/>
        </w:rPr>
        <w:t>Civ</w:t>
      </w:r>
      <w:proofErr w:type="spellEnd"/>
      <w:r w:rsidR="00646072" w:rsidRPr="00D07253">
        <w:rPr>
          <w:rFonts w:ascii="Book Antiqua" w:hAnsi="Book Antiqua" w:cs="Arial"/>
        </w:rPr>
        <w:t xml:space="preserve"> 367.</w:t>
      </w:r>
      <w:r>
        <w:rPr>
          <w:rFonts w:ascii="Book Antiqua" w:hAnsi="Book Antiqua" w:cs="Arial"/>
        </w:rPr>
        <w:t xml:space="preserve">  </w:t>
      </w:r>
      <w:r w:rsidR="00413491">
        <w:rPr>
          <w:rFonts w:ascii="Book Antiqua" w:hAnsi="Book Antiqua" w:cs="Arial"/>
        </w:rPr>
        <w:t xml:space="preserve">See, for example, [24]: </w:t>
      </w:r>
    </w:p>
    <w:p w:rsidR="00646072" w:rsidRPr="00413491" w:rsidRDefault="00413491" w:rsidP="00413491">
      <w:pPr>
        <w:spacing w:before="240"/>
        <w:ind w:left="1134"/>
        <w:jc w:val="both"/>
        <w:rPr>
          <w:rFonts w:ascii="Book Antiqua" w:hAnsi="Book Antiqua" w:cs="Arial"/>
          <w:sz w:val="22"/>
          <w:szCs w:val="22"/>
        </w:rPr>
      </w:pPr>
      <w:r w:rsidRPr="00413491">
        <w:rPr>
          <w:rFonts w:ascii="Book Antiqua" w:hAnsi="Book Antiqua" w:cs="Arial"/>
          <w:sz w:val="22"/>
          <w:szCs w:val="22"/>
        </w:rPr>
        <w:t>“It seems to me to be axiomatic that a fact-finder must not reach his or her conclusion before surveying all the evidence relevant thereto.”</w:t>
      </w:r>
    </w:p>
    <w:bookmarkEnd w:id="4"/>
    <w:p w:rsidR="00376EE3" w:rsidRDefault="00376EE3" w:rsidP="00D0725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Secretary of State submits that </w:t>
      </w:r>
      <w:proofErr w:type="spellStart"/>
      <w:r>
        <w:rPr>
          <w:rFonts w:ascii="Book Antiqua" w:hAnsi="Book Antiqua" w:cs="Arial"/>
          <w:u w:val="single"/>
        </w:rPr>
        <w:t>Mibanga</w:t>
      </w:r>
      <w:proofErr w:type="spellEnd"/>
      <w:r>
        <w:rPr>
          <w:rFonts w:ascii="Book Antiqua" w:hAnsi="Book Antiqua" w:cs="Arial"/>
        </w:rPr>
        <w:t xml:space="preserve"> concerned expert evidence, which is not the situation presently facing the tribunal.  That is true, but the Secretary of State submits no principled reason why the principle does not apply to other forms of evidence.  The underlying rationale upon which </w:t>
      </w:r>
      <w:proofErr w:type="spellStart"/>
      <w:r>
        <w:rPr>
          <w:rFonts w:ascii="Book Antiqua" w:hAnsi="Book Antiqua" w:cs="Arial"/>
          <w:u w:val="single"/>
        </w:rPr>
        <w:t>Mibanga</w:t>
      </w:r>
      <w:proofErr w:type="spellEnd"/>
      <w:r>
        <w:rPr>
          <w:rFonts w:ascii="Book Antiqua" w:hAnsi="Book Antiqua" w:cs="Arial"/>
        </w:rPr>
        <w:t xml:space="preserve"> is based is that a judge must consider all relevant evidence, in the round, without making individual findings on an isolated basis.  That rationale is of equal applicability to expert evidence as it is to other evidence.  I therefore reject the Secretary of State’s attempt to distinguish </w:t>
      </w:r>
      <w:proofErr w:type="spellStart"/>
      <w:r>
        <w:rPr>
          <w:rFonts w:ascii="Book Antiqua" w:hAnsi="Book Antiqua" w:cs="Arial"/>
          <w:u w:val="single"/>
        </w:rPr>
        <w:t>Mibanga</w:t>
      </w:r>
      <w:proofErr w:type="spellEnd"/>
      <w:r>
        <w:rPr>
          <w:rFonts w:ascii="Book Antiqua" w:hAnsi="Book Antiqua" w:cs="Arial"/>
        </w:rPr>
        <w:t>; it is axiomatic that a judge should reach evidential findings by considering the entirety of the evidence in a case in the round.</w:t>
      </w:r>
      <w:r w:rsidR="00464E2C">
        <w:rPr>
          <w:rFonts w:ascii="Book Antiqua" w:hAnsi="Book Antiqua" w:cs="Arial"/>
        </w:rPr>
        <w:t xml:space="preserve">  It is simply a facet of the judicial duty to consider all relevant factors and </w:t>
      </w:r>
      <w:proofErr w:type="gramStart"/>
      <w:r w:rsidR="00464E2C">
        <w:rPr>
          <w:rFonts w:ascii="Book Antiqua" w:hAnsi="Book Antiqua" w:cs="Arial"/>
        </w:rPr>
        <w:t>take into account</w:t>
      </w:r>
      <w:proofErr w:type="gramEnd"/>
      <w:r w:rsidR="00464E2C">
        <w:rPr>
          <w:rFonts w:ascii="Book Antiqua" w:hAnsi="Book Antiqua" w:cs="Arial"/>
        </w:rPr>
        <w:t xml:space="preserve"> all relevant considerations.</w:t>
      </w:r>
    </w:p>
    <w:p w:rsidR="00464E2C" w:rsidRDefault="00376EE3" w:rsidP="00464E2C">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Next the Secretary of State submits that the judge divided his analysis on a logical basis; the issue concerning the alleged misconduct on the part of her previous solicitors was distinct from the substantive credibility issues with which the First-tier Tribunal was concerned.  Further, Judge Lane (as he then was), cautioned against relying on </w:t>
      </w:r>
      <w:proofErr w:type="spellStart"/>
      <w:r>
        <w:rPr>
          <w:rFonts w:ascii="Book Antiqua" w:hAnsi="Book Antiqua" w:cs="Arial"/>
          <w:u w:val="single"/>
        </w:rPr>
        <w:t>Mibanga</w:t>
      </w:r>
      <w:proofErr w:type="spellEnd"/>
      <w:r>
        <w:rPr>
          <w:rFonts w:ascii="Book Antiqua" w:hAnsi="Book Antiqua" w:cs="Arial"/>
        </w:rPr>
        <w:t xml:space="preserve"> as some form of judicial straitjacket; a judge will necessarily have to deal with some parts of the analysis in a decision before others.  See </w:t>
      </w:r>
      <w:r w:rsidRPr="00376EE3">
        <w:rPr>
          <w:rFonts w:ascii="Book Antiqua" w:hAnsi="Book Antiqua" w:cs="Arial"/>
          <w:u w:val="single"/>
        </w:rPr>
        <w:t xml:space="preserve">HH (medical evidence; effect of </w:t>
      </w:r>
      <w:proofErr w:type="spellStart"/>
      <w:r w:rsidRPr="00376EE3">
        <w:rPr>
          <w:rFonts w:ascii="Book Antiqua" w:hAnsi="Book Antiqua" w:cs="Arial"/>
          <w:u w:val="single"/>
        </w:rPr>
        <w:t>Mibanga</w:t>
      </w:r>
      <w:proofErr w:type="spellEnd"/>
      <w:r w:rsidRPr="00376EE3">
        <w:rPr>
          <w:rFonts w:ascii="Book Antiqua" w:hAnsi="Book Antiqua" w:cs="Arial"/>
          <w:u w:val="single"/>
        </w:rPr>
        <w:t>) Ethiopia</w:t>
      </w:r>
      <w:r w:rsidRPr="00376EE3">
        <w:rPr>
          <w:rFonts w:ascii="Book Antiqua" w:hAnsi="Book Antiqua" w:cs="Arial"/>
        </w:rPr>
        <w:t xml:space="preserve"> [2005] UKAIT 00164 </w:t>
      </w:r>
      <w:r>
        <w:rPr>
          <w:rFonts w:ascii="Book Antiqua" w:hAnsi="Book Antiqua" w:cs="Arial"/>
        </w:rPr>
        <w:t>at [2</w:t>
      </w:r>
      <w:r w:rsidR="00464E2C">
        <w:rPr>
          <w:rFonts w:ascii="Book Antiqua" w:hAnsi="Book Antiqua" w:cs="Arial"/>
        </w:rPr>
        <w:t>1</w:t>
      </w:r>
      <w:r>
        <w:rPr>
          <w:rFonts w:ascii="Book Antiqua" w:hAnsi="Book Antiqua" w:cs="Arial"/>
        </w:rPr>
        <w:t>].  Just as all the ingredients in a cake cannot be thrown together simultaneously, so too is it necessary to address the “ingredients” of a judicial decision in order.</w:t>
      </w:r>
      <w:r w:rsidR="00464E2C">
        <w:rPr>
          <w:rFonts w:ascii="Book Antiqua" w:hAnsi="Book Antiqua" w:cs="Arial"/>
        </w:rPr>
        <w:t xml:space="preserve">  The cake analogy seems to have first been used by Wilson J (as he then was) in </w:t>
      </w:r>
      <w:proofErr w:type="spellStart"/>
      <w:r w:rsidR="00464E2C">
        <w:rPr>
          <w:rFonts w:ascii="Book Antiqua" w:hAnsi="Book Antiqua" w:cs="Arial"/>
          <w:u w:val="single"/>
        </w:rPr>
        <w:t>Mibanga</w:t>
      </w:r>
      <w:proofErr w:type="spellEnd"/>
      <w:r w:rsidR="00464E2C">
        <w:rPr>
          <w:rFonts w:ascii="Book Antiqua" w:hAnsi="Book Antiqua" w:cs="Arial"/>
        </w:rPr>
        <w:t xml:space="preserve"> itself, where he said at [24]:</w:t>
      </w:r>
    </w:p>
    <w:p w:rsidR="00464E2C" w:rsidRPr="00464E2C" w:rsidRDefault="00464E2C" w:rsidP="00464E2C">
      <w:pPr>
        <w:spacing w:before="240"/>
        <w:ind w:left="1134"/>
        <w:jc w:val="both"/>
        <w:rPr>
          <w:rFonts w:ascii="Book Antiqua" w:hAnsi="Book Antiqua" w:cs="Arial"/>
          <w:sz w:val="22"/>
          <w:szCs w:val="22"/>
        </w:rPr>
      </w:pPr>
      <w:r w:rsidRPr="00464E2C">
        <w:rPr>
          <w:rFonts w:ascii="Book Antiqua" w:hAnsi="Book Antiqua"/>
          <w:color w:val="000000"/>
          <w:sz w:val="22"/>
          <w:szCs w:val="22"/>
        </w:rPr>
        <w:t>"It seems to me to be axiomatic that a fact-finder must not reach his or her conclusion before surveying all the evidence relevant thereto. Just as, if I may take a banal if alliterative example, one cannot make a cake with only one ingredient, so also frequently one cannot make a case, in the sense of establishing its truth, otherwise than by combination of a number of pieces of evidence".</w:t>
      </w:r>
    </w:p>
    <w:p w:rsidR="00376EE3" w:rsidRDefault="00464E2C" w:rsidP="00D0725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difficulty with the Secretary of State’s approach is that the judge made discreet findings concerning the appellant’s former solicitors in isolation, and then used those findings as a basis to make his subsequent credibility findings against the appellant.  See the emphasised text at [</w:t>
      </w:r>
      <w:r>
        <w:rPr>
          <w:rFonts w:ascii="Book Antiqua" w:hAnsi="Book Antiqua" w:cs="Arial"/>
        </w:rPr>
        <w:fldChar w:fldCharType="begin"/>
      </w:r>
      <w:r>
        <w:rPr>
          <w:rFonts w:ascii="Book Antiqua" w:hAnsi="Book Antiqua" w:cs="Arial"/>
        </w:rPr>
        <w:instrText xml:space="preserve"> REF _Ref48570446 \r \h </w:instrText>
      </w:r>
      <w:r>
        <w:rPr>
          <w:rFonts w:ascii="Book Antiqua" w:hAnsi="Book Antiqua" w:cs="Arial"/>
        </w:rPr>
      </w:r>
      <w:r>
        <w:rPr>
          <w:rFonts w:ascii="Book Antiqua" w:hAnsi="Book Antiqua" w:cs="Arial"/>
        </w:rPr>
        <w:fldChar w:fldCharType="separate"/>
      </w:r>
      <w:r w:rsidR="007C5E4A">
        <w:rPr>
          <w:rFonts w:ascii="Book Antiqua" w:hAnsi="Book Antiqua" w:cs="Arial"/>
        </w:rPr>
        <w:t>24</w:t>
      </w:r>
      <w:r>
        <w:rPr>
          <w:rFonts w:ascii="Book Antiqua" w:hAnsi="Book Antiqua" w:cs="Arial"/>
        </w:rPr>
        <w:fldChar w:fldCharType="end"/>
      </w:r>
      <w:r>
        <w:rPr>
          <w:rFonts w:ascii="Book Antiqua" w:hAnsi="Book Antiqua" w:cs="Arial"/>
        </w:rPr>
        <w:t xml:space="preserve">], above, where the judge specifically anchored his global credibility findings to his pre-existing findings: “given that I have not accepted that it has been shown that the statement was not read back to the appellant…”  This is not a complaint of form over substance.  The judge’s operative findings were reached in two distinct phases, where the findings made during phase 1 (rejection of the account concerning the statement made with the assistance of the former solicitors) were taken </w:t>
      </w:r>
      <w:r>
        <w:rPr>
          <w:rFonts w:ascii="Book Antiqua" w:hAnsi="Book Antiqua" w:cs="Arial"/>
        </w:rPr>
        <w:lastRenderedPageBreak/>
        <w:t xml:space="preserve">as the operative reasons to reject the subsequent, global, findings under phase 2 (substantive credibility findings).   </w:t>
      </w:r>
    </w:p>
    <w:p w:rsidR="00413491" w:rsidRDefault="00D07253" w:rsidP="00F83CC4">
      <w:pPr>
        <w:numPr>
          <w:ilvl w:val="0"/>
          <w:numId w:val="1"/>
        </w:numPr>
        <w:tabs>
          <w:tab w:val="clear" w:pos="720"/>
        </w:tabs>
        <w:spacing w:before="240"/>
        <w:ind w:left="567" w:hanging="567"/>
        <w:jc w:val="both"/>
        <w:rPr>
          <w:rFonts w:ascii="Book Antiqua" w:hAnsi="Book Antiqua" w:cs="Arial"/>
        </w:rPr>
      </w:pPr>
      <w:r w:rsidRPr="00D07253">
        <w:rPr>
          <w:rFonts w:ascii="Book Antiqua" w:hAnsi="Book Antiqua" w:cs="Arial"/>
        </w:rPr>
        <w:t>Although the judge was entitled to highlight the fact the appellant had not sought to challenge her former solicitors, that was a concern that should have featured as part of a holistic credibility assessment.</w:t>
      </w:r>
      <w:r w:rsidR="00413491">
        <w:rPr>
          <w:rFonts w:ascii="Book Antiqua" w:hAnsi="Book Antiqua" w:cs="Arial"/>
        </w:rPr>
        <w:t xml:space="preserve">  The judge, of course, accepted that it was “possible” or “a possibility” that dialect difficulties could have infected the process.  The appellant herself did not recant the entirety of the statement before the judge (see [33]).  Interpreter problems, especially with dialects, are common.  The internal inconsistency of the dates in the statement itself, an easy error to make when working across different languages and dialect, tended to support the appellant’s view that there had been </w:t>
      </w:r>
      <w:r w:rsidR="00622C55">
        <w:rPr>
          <w:rFonts w:ascii="Book Antiqua" w:hAnsi="Book Antiqua" w:cs="Arial"/>
        </w:rPr>
        <w:t xml:space="preserve">inadvertent </w:t>
      </w:r>
      <w:r w:rsidR="00413491">
        <w:rPr>
          <w:rFonts w:ascii="Book Antiqua" w:hAnsi="Book Antiqua" w:cs="Arial"/>
        </w:rPr>
        <w:t>mistakes</w:t>
      </w:r>
      <w:r w:rsidR="00622C55">
        <w:rPr>
          <w:rFonts w:ascii="Book Antiqua" w:hAnsi="Book Antiqua" w:cs="Arial"/>
        </w:rPr>
        <w:t>, rather than an attempt to mislead</w:t>
      </w:r>
      <w:r w:rsidR="00413491">
        <w:rPr>
          <w:rFonts w:ascii="Book Antiqua" w:hAnsi="Book Antiqua" w:cs="Arial"/>
        </w:rPr>
        <w:t xml:space="preserve">. </w:t>
      </w:r>
      <w:r w:rsidR="00787413">
        <w:rPr>
          <w:rFonts w:ascii="Book Antiqua" w:hAnsi="Book Antiqua" w:cs="Arial"/>
        </w:rPr>
        <w:t xml:space="preserve"> Instead of taking these factors into account, the judge elevated his premature conclusions concerning the credibility of the appellant’s account of her former solicitors into determinative factors which clouded his subsequent credibility analysis.</w:t>
      </w:r>
    </w:p>
    <w:p w:rsidR="00D07253" w:rsidRDefault="00D07253"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There are other </w:t>
      </w:r>
      <w:r w:rsidR="00413491">
        <w:rPr>
          <w:rFonts w:ascii="Book Antiqua" w:hAnsi="Book Antiqua" w:cs="Arial"/>
          <w:i/>
          <w:iCs/>
        </w:rPr>
        <w:t xml:space="preserve">Robinson </w:t>
      </w:r>
      <w:r w:rsidR="00413491">
        <w:rPr>
          <w:rFonts w:ascii="Book Antiqua" w:hAnsi="Book Antiqua" w:cs="Arial"/>
        </w:rPr>
        <w:t xml:space="preserve">obvious </w:t>
      </w:r>
      <w:r>
        <w:rPr>
          <w:rFonts w:ascii="Book Antiqua" w:hAnsi="Book Antiqua" w:cs="Arial"/>
        </w:rPr>
        <w:t>flaws with the judge’s analysis.  At [5</w:t>
      </w:r>
      <w:r w:rsidR="00413491">
        <w:rPr>
          <w:rFonts w:ascii="Book Antiqua" w:hAnsi="Book Antiqua" w:cs="Arial"/>
        </w:rPr>
        <w:t>5</w:t>
      </w:r>
      <w:r>
        <w:rPr>
          <w:rFonts w:ascii="Book Antiqua" w:hAnsi="Book Antiqua" w:cs="Arial"/>
        </w:rPr>
        <w:t>] to [</w:t>
      </w:r>
      <w:r w:rsidR="0003725D">
        <w:rPr>
          <w:rFonts w:ascii="Book Antiqua" w:hAnsi="Book Antiqua" w:cs="Arial"/>
        </w:rPr>
        <w:t>58</w:t>
      </w:r>
      <w:r>
        <w:rPr>
          <w:rFonts w:ascii="Book Antiqua" w:hAnsi="Book Antiqua" w:cs="Arial"/>
        </w:rPr>
        <w:t xml:space="preserve">] the judge said that he had significant concerns with the plausibility of certain aspects of the appellant’s account.  Plausibility can play a part in a judge’s credibility assessment, but judges must be careful not to impose their own subjective expectations of what is reasonable on appellants who are from, on any analysis, very different cultures and backgrounds to members of the judiciary.  </w:t>
      </w:r>
      <w:r w:rsidR="00253F41">
        <w:rPr>
          <w:rFonts w:ascii="Book Antiqua" w:hAnsi="Book Antiqua" w:cs="Arial"/>
        </w:rPr>
        <w:t>Plausibility assessments should take place through the lens of the background materials about what is reasonably likely to take place in the country in question</w:t>
      </w:r>
      <w:r w:rsidR="00D9321B">
        <w:rPr>
          <w:rFonts w:ascii="Book Antiqua" w:hAnsi="Book Antiqua" w:cs="Arial"/>
        </w:rPr>
        <w:t>, albeit without the requirement to suspend judgement on matters of common sense</w:t>
      </w:r>
      <w:r w:rsidR="00253F41">
        <w:rPr>
          <w:rFonts w:ascii="Book Antiqua" w:hAnsi="Book Antiqua" w:cs="Arial"/>
        </w:rPr>
        <w:t xml:space="preserve">.  </w:t>
      </w:r>
    </w:p>
    <w:p w:rsidR="00253F41" w:rsidRDefault="00253F41"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Lord Justice Neuberger summarised the difficulties arising from plausibility assessments in these terms, in </w:t>
      </w:r>
      <w:bookmarkStart w:id="5" w:name="_Hlk45725077"/>
      <w:r w:rsidRPr="00253F41">
        <w:rPr>
          <w:rFonts w:ascii="Book Antiqua" w:hAnsi="Book Antiqua" w:cs="Arial"/>
          <w:u w:val="single"/>
        </w:rPr>
        <w:t>HK v Secretary of State for the Home Department</w:t>
      </w:r>
      <w:r>
        <w:rPr>
          <w:rFonts w:ascii="Book Antiqua" w:hAnsi="Book Antiqua" w:cs="Arial"/>
        </w:rPr>
        <w:t xml:space="preserve"> </w:t>
      </w:r>
      <w:r w:rsidRPr="00253F41">
        <w:rPr>
          <w:rFonts w:ascii="Book Antiqua" w:hAnsi="Book Antiqua" w:cs="Arial"/>
        </w:rPr>
        <w:t xml:space="preserve">[2006] EWCA </w:t>
      </w:r>
      <w:proofErr w:type="spellStart"/>
      <w:r w:rsidRPr="00253F41">
        <w:rPr>
          <w:rFonts w:ascii="Book Antiqua" w:hAnsi="Book Antiqua" w:cs="Arial"/>
        </w:rPr>
        <w:t>Civ</w:t>
      </w:r>
      <w:proofErr w:type="spellEnd"/>
      <w:r w:rsidRPr="00253F41">
        <w:rPr>
          <w:rFonts w:ascii="Book Antiqua" w:hAnsi="Book Antiqua" w:cs="Arial"/>
        </w:rPr>
        <w:t xml:space="preserve"> 1037</w:t>
      </w:r>
      <w:bookmarkEnd w:id="5"/>
      <w:r>
        <w:rPr>
          <w:rFonts w:ascii="Book Antiqua" w:hAnsi="Book Antiqua" w:cs="Arial"/>
        </w:rPr>
        <w:t>:</w:t>
      </w:r>
    </w:p>
    <w:p w:rsidR="00253F41" w:rsidRPr="00253F41" w:rsidRDefault="00622C55" w:rsidP="00253F41">
      <w:pPr>
        <w:spacing w:before="240"/>
        <w:ind w:left="1134"/>
        <w:jc w:val="both"/>
        <w:rPr>
          <w:rFonts w:ascii="Book Antiqua" w:hAnsi="Book Antiqua" w:cs="Arial"/>
          <w:sz w:val="22"/>
          <w:szCs w:val="22"/>
        </w:rPr>
      </w:pPr>
      <w:r>
        <w:rPr>
          <w:rFonts w:ascii="Book Antiqua" w:hAnsi="Book Antiqua" w:cs="Arial"/>
          <w:sz w:val="22"/>
          <w:szCs w:val="22"/>
        </w:rPr>
        <w:t>“</w:t>
      </w:r>
      <w:r w:rsidR="00253F41" w:rsidRPr="00253F41">
        <w:rPr>
          <w:rFonts w:ascii="Book Antiqua" w:hAnsi="Book Antiqua" w:cs="Arial"/>
          <w:sz w:val="22"/>
          <w:szCs w:val="22"/>
        </w:rPr>
        <w:t xml:space="preserve">29.  Inherent probability, which may be helpful in many domestic cases, can be a dangerous, even a wholly inappropriate, factor to rely on in some asylum cases. Much of the evidence will be </w:t>
      </w:r>
      <w:proofErr w:type="spellStart"/>
      <w:r w:rsidR="00253F41" w:rsidRPr="00253F41">
        <w:rPr>
          <w:rFonts w:ascii="Book Antiqua" w:hAnsi="Book Antiqua" w:cs="Arial"/>
          <w:sz w:val="22"/>
          <w:szCs w:val="22"/>
        </w:rPr>
        <w:t>referable</w:t>
      </w:r>
      <w:proofErr w:type="spellEnd"/>
      <w:r w:rsidR="00253F41" w:rsidRPr="00253F41">
        <w:rPr>
          <w:rFonts w:ascii="Book Antiqua" w:hAnsi="Book Antiqua" w:cs="Arial"/>
          <w:sz w:val="22"/>
          <w:szCs w:val="22"/>
        </w:rPr>
        <w:t xml:space="preserve"> to societies with customs and circumstances which are very different from those of which the members of the fact-finding tribunal have any (even second-hand) experience. Indeed, it is likely that the country which an asylum-seeker has left will be suffering from the sort of problems and dislocations with which </w:t>
      </w:r>
      <w:proofErr w:type="gramStart"/>
      <w:r w:rsidR="00253F41" w:rsidRPr="00253F41">
        <w:rPr>
          <w:rFonts w:ascii="Book Antiqua" w:hAnsi="Book Antiqua" w:cs="Arial"/>
          <w:sz w:val="22"/>
          <w:szCs w:val="22"/>
        </w:rPr>
        <w:t>the overwhelming majority of</w:t>
      </w:r>
      <w:proofErr w:type="gramEnd"/>
      <w:r w:rsidR="00253F41" w:rsidRPr="00253F41">
        <w:rPr>
          <w:rFonts w:ascii="Book Antiqua" w:hAnsi="Book Antiqua" w:cs="Arial"/>
          <w:sz w:val="22"/>
          <w:szCs w:val="22"/>
        </w:rPr>
        <w:t xml:space="preserve"> residents of this country will be wholly unfamiliar. The point is well made in Hathaway on</w:t>
      </w:r>
      <w:r w:rsidR="00253F41">
        <w:rPr>
          <w:rFonts w:ascii="Book Antiqua" w:hAnsi="Book Antiqua" w:cs="Arial"/>
          <w:sz w:val="22"/>
          <w:szCs w:val="22"/>
        </w:rPr>
        <w:t xml:space="preserve"> </w:t>
      </w:r>
      <w:r w:rsidR="00253F41" w:rsidRPr="00253F41">
        <w:rPr>
          <w:rFonts w:ascii="Book Antiqua" w:hAnsi="Book Antiqua" w:cs="Arial"/>
          <w:i/>
          <w:iCs/>
          <w:sz w:val="22"/>
          <w:szCs w:val="22"/>
        </w:rPr>
        <w:t>Law of Refugee Status</w:t>
      </w:r>
      <w:r w:rsidR="00253F41" w:rsidRPr="00253F41">
        <w:rPr>
          <w:rFonts w:ascii="Book Antiqua" w:hAnsi="Book Antiqua" w:cs="Arial"/>
          <w:sz w:val="22"/>
          <w:szCs w:val="22"/>
        </w:rPr>
        <w:t> (1991) at page 81:</w:t>
      </w:r>
    </w:p>
    <w:p w:rsidR="00253F41" w:rsidRPr="00253F41" w:rsidRDefault="00622C55" w:rsidP="00253F41">
      <w:pPr>
        <w:spacing w:before="240"/>
        <w:ind w:left="1701"/>
        <w:jc w:val="both"/>
        <w:rPr>
          <w:rFonts w:ascii="Book Antiqua" w:hAnsi="Book Antiqua" w:cs="Arial"/>
          <w:sz w:val="22"/>
          <w:szCs w:val="22"/>
        </w:rPr>
      </w:pPr>
      <w:r>
        <w:rPr>
          <w:rFonts w:ascii="Book Antiqua" w:hAnsi="Book Antiqua" w:cs="Arial"/>
          <w:sz w:val="22"/>
          <w:szCs w:val="22"/>
        </w:rPr>
        <w:t>‘</w:t>
      </w:r>
      <w:r w:rsidR="00253F41" w:rsidRPr="00253F41">
        <w:rPr>
          <w:rFonts w:ascii="Book Antiqua" w:hAnsi="Book Antiqua" w:cs="Arial"/>
          <w:sz w:val="22"/>
          <w:szCs w:val="22"/>
        </w:rPr>
        <w:t>In assessing the general human rights information, decision-makers must constantly be on guard to avoid implicitly recharacterizing the nature of the risk based on their own perceptions of reasonability.</w:t>
      </w:r>
      <w:r>
        <w:rPr>
          <w:rFonts w:ascii="Book Antiqua" w:hAnsi="Book Antiqua" w:cs="Arial"/>
          <w:sz w:val="22"/>
          <w:szCs w:val="22"/>
        </w:rPr>
        <w:t>’”</w:t>
      </w:r>
    </w:p>
    <w:p w:rsidR="00253F41" w:rsidRDefault="00253F41"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w:t>
      </w:r>
      <w:bookmarkStart w:id="6" w:name="_Hlk45725092"/>
      <w:r w:rsidRPr="00253F41">
        <w:rPr>
          <w:rFonts w:ascii="Book Antiqua" w:hAnsi="Book Antiqua" w:cs="Arial"/>
          <w:u w:val="single"/>
        </w:rPr>
        <w:t>Y v Secretary of State for the Home Department</w:t>
      </w:r>
      <w:r>
        <w:rPr>
          <w:rFonts w:ascii="Book Antiqua" w:hAnsi="Book Antiqua" w:cs="Arial"/>
        </w:rPr>
        <w:t xml:space="preserve"> [2006] EWCA </w:t>
      </w:r>
      <w:proofErr w:type="spellStart"/>
      <w:r>
        <w:rPr>
          <w:rFonts w:ascii="Book Antiqua" w:hAnsi="Book Antiqua" w:cs="Arial"/>
        </w:rPr>
        <w:t>Civ</w:t>
      </w:r>
      <w:proofErr w:type="spellEnd"/>
      <w:r>
        <w:rPr>
          <w:rFonts w:ascii="Book Antiqua" w:hAnsi="Book Antiqua" w:cs="Arial"/>
        </w:rPr>
        <w:t xml:space="preserve"> 1223</w:t>
      </w:r>
      <w:bookmarkEnd w:id="6"/>
      <w:r>
        <w:rPr>
          <w:rFonts w:ascii="Book Antiqua" w:hAnsi="Book Antiqua" w:cs="Arial"/>
        </w:rPr>
        <w:t>, Lord Justice Keene said:</w:t>
      </w:r>
    </w:p>
    <w:p w:rsidR="00253F41" w:rsidRPr="00253F41" w:rsidRDefault="00253F41" w:rsidP="00253F41">
      <w:pPr>
        <w:spacing w:before="240"/>
        <w:ind w:left="1134"/>
        <w:jc w:val="both"/>
        <w:rPr>
          <w:rFonts w:ascii="Book Antiqua" w:hAnsi="Book Antiqua" w:cs="Arial"/>
          <w:sz w:val="22"/>
          <w:szCs w:val="22"/>
        </w:rPr>
      </w:pPr>
      <w:r>
        <w:rPr>
          <w:rFonts w:ascii="Book Antiqua" w:hAnsi="Book Antiqua" w:cs="Arial"/>
          <w:sz w:val="22"/>
          <w:szCs w:val="22"/>
        </w:rPr>
        <w:t>“</w:t>
      </w:r>
      <w:r w:rsidRPr="00253F41">
        <w:rPr>
          <w:rFonts w:ascii="Book Antiqua" w:hAnsi="Book Antiqua" w:cs="Arial"/>
          <w:sz w:val="22"/>
          <w:szCs w:val="22"/>
        </w:rPr>
        <w:t>25.</w:t>
      </w:r>
      <w:r w:rsidRPr="00253F41">
        <w:rPr>
          <w:rFonts w:ascii="Book Antiqua" w:hAnsi="Book Antiqua" w:cs="Arial"/>
          <w:sz w:val="22"/>
          <w:szCs w:val="22"/>
        </w:rPr>
        <w:tab/>
        <w:t xml:space="preserve">There seems to me to be very little dispute between the parties as to the legal principles applicable to the approach which an adjudicator, now known as an immigration judge, should adopt towards issues of credibility. The fundamental one is that he should be cautious before finding an account to be inherently incredible, because there is a considerable risk that he will be over influenced by his own views on what is </w:t>
      </w:r>
      <w:r w:rsidRPr="00253F41">
        <w:rPr>
          <w:rFonts w:ascii="Book Antiqua" w:hAnsi="Book Antiqua" w:cs="Arial"/>
          <w:sz w:val="22"/>
          <w:szCs w:val="22"/>
        </w:rPr>
        <w:lastRenderedPageBreak/>
        <w:t xml:space="preserve">or is not plausible, and those views will have inevitably been influenced by his own background in this country and by the customs and ways of our own society. It is therefore important that he should seek to view an appellant's account of events, as Mr Singh rightly argues, in the context of conditions in the country from which the appellant comes. The dangers were well described in an article by Sir Thomas Bingham, as he then was, in 1985 in a passage quoted by the IAT in </w:t>
      </w:r>
      <w:proofErr w:type="spellStart"/>
      <w:r w:rsidRPr="0003725D">
        <w:rPr>
          <w:rFonts w:ascii="Book Antiqua" w:hAnsi="Book Antiqua" w:cs="Arial"/>
          <w:sz w:val="22"/>
          <w:szCs w:val="22"/>
          <w:u w:val="single"/>
        </w:rPr>
        <w:t>Kasolo</w:t>
      </w:r>
      <w:proofErr w:type="spellEnd"/>
      <w:r w:rsidRPr="0003725D">
        <w:rPr>
          <w:rFonts w:ascii="Book Antiqua" w:hAnsi="Book Antiqua" w:cs="Arial"/>
          <w:sz w:val="22"/>
          <w:szCs w:val="22"/>
          <w:u w:val="single"/>
        </w:rPr>
        <w:t xml:space="preserve"> v SSHD</w:t>
      </w:r>
      <w:r w:rsidRPr="00253F41">
        <w:rPr>
          <w:rFonts w:ascii="Book Antiqua" w:hAnsi="Book Antiqua" w:cs="Arial"/>
          <w:sz w:val="22"/>
          <w:szCs w:val="22"/>
        </w:rPr>
        <w:t xml:space="preserve"> 13190, the passage being taken from an article in </w:t>
      </w:r>
      <w:r w:rsidRPr="0003725D">
        <w:rPr>
          <w:rFonts w:ascii="Book Antiqua" w:hAnsi="Book Antiqua" w:cs="Arial"/>
          <w:i/>
          <w:iCs/>
          <w:sz w:val="22"/>
          <w:szCs w:val="22"/>
        </w:rPr>
        <w:t>Current Legal Problems</w:t>
      </w:r>
      <w:r w:rsidRPr="00253F41">
        <w:rPr>
          <w:rFonts w:ascii="Book Antiqua" w:hAnsi="Book Antiqua" w:cs="Arial"/>
          <w:sz w:val="22"/>
          <w:szCs w:val="22"/>
        </w:rPr>
        <w:t>. Sir Thomas Bingham said this:</w:t>
      </w:r>
    </w:p>
    <w:p w:rsidR="00253F41" w:rsidRPr="00253F41" w:rsidRDefault="00253F41" w:rsidP="00253F41">
      <w:pPr>
        <w:spacing w:before="240"/>
        <w:ind w:left="1701"/>
        <w:jc w:val="both"/>
        <w:rPr>
          <w:rFonts w:ascii="Book Antiqua" w:hAnsi="Book Antiqua" w:cs="Arial"/>
          <w:sz w:val="22"/>
          <w:szCs w:val="22"/>
        </w:rPr>
      </w:pPr>
      <w:r w:rsidRPr="00253F41">
        <w:rPr>
          <w:rFonts w:ascii="Book Antiqua" w:hAnsi="Book Antiqua" w:cs="Arial"/>
          <w:sz w:val="22"/>
          <w:szCs w:val="22"/>
        </w:rPr>
        <w:t xml:space="preserve">"'An English judge may have, or think that he has, a shrewd idea of how a Lloyds Broker or a Bristol wholesaler, or a Norfolk farmer, might react in some situation which is canvassed in the course of a case but he may, and I think should, feel very much more uncertain about the reactions of a Nigerian merchant, or an Indian ships' engineer, or a Yugoslav banker. Or even, to take a more homely example, a Sikh shopkeeper trading in Bradford. No judge worth his salt could </w:t>
      </w:r>
      <w:proofErr w:type="spellStart"/>
      <w:r w:rsidRPr="00253F41">
        <w:rPr>
          <w:rFonts w:ascii="Book Antiqua" w:hAnsi="Book Antiqua" w:cs="Arial"/>
          <w:sz w:val="22"/>
          <w:szCs w:val="22"/>
        </w:rPr>
        <w:t>possibl</w:t>
      </w:r>
      <w:proofErr w:type="spellEnd"/>
      <w:r w:rsidRPr="00253F41">
        <w:rPr>
          <w:rFonts w:ascii="Book Antiqua" w:hAnsi="Book Antiqua" w:cs="Arial"/>
          <w:sz w:val="22"/>
          <w:szCs w:val="22"/>
        </w:rPr>
        <w:t>[y] assume that men of different nationalities, educations, trades, experience, creeds and temperaments would act as he might think he would have done or even - which may be quite different - in accordance with his concept of what a reasonable man would have done."</w:t>
      </w:r>
    </w:p>
    <w:p w:rsidR="00622C55" w:rsidRPr="00622C55" w:rsidRDefault="00622C55" w:rsidP="00253F41">
      <w:pPr>
        <w:spacing w:before="240"/>
        <w:ind w:left="1134"/>
        <w:jc w:val="both"/>
        <w:rPr>
          <w:rFonts w:ascii="Book Antiqua" w:hAnsi="Book Antiqua" w:cs="Arial"/>
          <w:sz w:val="22"/>
          <w:szCs w:val="22"/>
        </w:rPr>
      </w:pPr>
      <w:r w:rsidRPr="00622C55">
        <w:rPr>
          <w:rFonts w:ascii="Book Antiqua" w:hAnsi="Book Antiqua" w:cs="Arial"/>
          <w:sz w:val="22"/>
          <w:szCs w:val="22"/>
        </w:rPr>
        <w:t>[…]</w:t>
      </w:r>
    </w:p>
    <w:p w:rsidR="00253F41" w:rsidRPr="00253F41" w:rsidRDefault="00622C55" w:rsidP="00253F41">
      <w:pPr>
        <w:spacing w:before="240"/>
        <w:ind w:left="1134"/>
        <w:jc w:val="both"/>
        <w:rPr>
          <w:rFonts w:ascii="Book Antiqua" w:hAnsi="Book Antiqua" w:cs="Arial"/>
          <w:sz w:val="22"/>
          <w:szCs w:val="22"/>
        </w:rPr>
      </w:pPr>
      <w:r w:rsidRPr="00622C55">
        <w:rPr>
          <w:rFonts w:ascii="Book Antiqua" w:hAnsi="Book Antiqua" w:cs="Arial"/>
          <w:sz w:val="22"/>
          <w:szCs w:val="22"/>
        </w:rPr>
        <w:t>27…</w:t>
      </w:r>
      <w:r>
        <w:rPr>
          <w:rFonts w:ascii="Book Antiqua" w:hAnsi="Book Antiqua" w:cs="Arial"/>
          <w:b/>
          <w:bCs/>
          <w:sz w:val="22"/>
          <w:szCs w:val="22"/>
        </w:rPr>
        <w:t xml:space="preserve"> </w:t>
      </w:r>
      <w:proofErr w:type="gramStart"/>
      <w:r w:rsidR="00253F41" w:rsidRPr="00253F41">
        <w:rPr>
          <w:rFonts w:ascii="Book Antiqua" w:hAnsi="Book Antiqua" w:cs="Arial"/>
          <w:b/>
          <w:bCs/>
          <w:sz w:val="22"/>
          <w:szCs w:val="22"/>
        </w:rPr>
        <w:t>In essence, he</w:t>
      </w:r>
      <w:proofErr w:type="gramEnd"/>
      <w:r w:rsidR="00253F41" w:rsidRPr="00253F41">
        <w:rPr>
          <w:rFonts w:ascii="Book Antiqua" w:hAnsi="Book Antiqua" w:cs="Arial"/>
          <w:b/>
          <w:bCs/>
          <w:sz w:val="22"/>
          <w:szCs w:val="22"/>
        </w:rPr>
        <w:t xml:space="preserve"> must look through the spectacles provided by the information he has about conditions in the country in question</w:t>
      </w:r>
      <w:r w:rsidR="00253F41" w:rsidRPr="00253F41">
        <w:rPr>
          <w:rFonts w:ascii="Book Antiqua" w:hAnsi="Book Antiqua" w:cs="Arial"/>
          <w:sz w:val="22"/>
          <w:szCs w:val="22"/>
        </w:rPr>
        <w:t>…</w:t>
      </w:r>
      <w:r w:rsidR="00253F41">
        <w:rPr>
          <w:rFonts w:ascii="Book Antiqua" w:hAnsi="Book Antiqua" w:cs="Arial"/>
          <w:sz w:val="22"/>
          <w:szCs w:val="22"/>
        </w:rPr>
        <w:t>” (emphasis added)</w:t>
      </w:r>
    </w:p>
    <w:p w:rsidR="00787413" w:rsidRDefault="00787413"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her submissions dated 30 July 2020, the Secretary of State highlights an additional extract from </w:t>
      </w:r>
      <w:r>
        <w:rPr>
          <w:rFonts w:ascii="Book Antiqua" w:hAnsi="Book Antiqua" w:cs="Arial"/>
          <w:u w:val="single"/>
        </w:rPr>
        <w:t>Y</w:t>
      </w:r>
      <w:r>
        <w:rPr>
          <w:rFonts w:ascii="Book Antiqua" w:hAnsi="Book Antiqua" w:cs="Arial"/>
        </w:rPr>
        <w:t xml:space="preserve"> in which Lord Justice Keene said, at [26],</w:t>
      </w:r>
    </w:p>
    <w:p w:rsidR="00787413" w:rsidRDefault="00787413" w:rsidP="00787413">
      <w:pPr>
        <w:spacing w:before="240"/>
        <w:ind w:left="1134"/>
        <w:jc w:val="both"/>
        <w:rPr>
          <w:rFonts w:ascii="Book Antiqua" w:hAnsi="Book Antiqua" w:cs="Arial"/>
        </w:rPr>
      </w:pPr>
      <w:r w:rsidRPr="00787413">
        <w:rPr>
          <w:rFonts w:ascii="Book Antiqua" w:hAnsi="Book Antiqua" w:cs="Arial"/>
          <w:sz w:val="22"/>
          <w:szCs w:val="22"/>
        </w:rPr>
        <w:t xml:space="preserve">“The decision maker is not expected to suspend his own judgment, nor does </w:t>
      </w:r>
      <w:r>
        <w:rPr>
          <w:rFonts w:ascii="Book Antiqua" w:hAnsi="Book Antiqua" w:cs="Arial"/>
          <w:sz w:val="22"/>
          <w:szCs w:val="22"/>
        </w:rPr>
        <w:t xml:space="preserve">[counsel for the appellant] </w:t>
      </w:r>
      <w:r w:rsidRPr="00787413">
        <w:rPr>
          <w:rFonts w:ascii="Book Antiqua" w:hAnsi="Book Antiqua" w:cs="Arial"/>
          <w:sz w:val="22"/>
          <w:szCs w:val="22"/>
        </w:rPr>
        <w:t>contend that he should. In appropriate cases, he is entitled to find that an account of events is so far-fetched and contrary to reason as to be incapable of belief…”</w:t>
      </w:r>
    </w:p>
    <w:p w:rsidR="00461D73" w:rsidRDefault="00461D73" w:rsidP="00461D73">
      <w:pPr>
        <w:spacing w:before="240"/>
        <w:ind w:left="567"/>
        <w:jc w:val="both"/>
        <w:rPr>
          <w:rFonts w:ascii="Book Antiqua" w:hAnsi="Book Antiqua" w:cs="Arial"/>
        </w:rPr>
      </w:pPr>
      <w:r>
        <w:rPr>
          <w:rFonts w:ascii="Book Antiqua" w:hAnsi="Book Antiqua" w:cs="Arial"/>
        </w:rPr>
        <w:t>In her reliance on this extract, the Secretary of State submits that the judge was doing no more than placing permissible reliance on his common sense, rather than suspending judgment.</w:t>
      </w:r>
    </w:p>
    <w:p w:rsidR="006544D2" w:rsidRDefault="00FE247C"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reject the Secretary of State’s submissions that the judge would have had to have suspended his judgment in order to accept this account, especially given the broad consistency of the appellant’s case with the background materials.  </w:t>
      </w:r>
      <w:r w:rsidR="0003725D">
        <w:rPr>
          <w:rFonts w:ascii="Book Antiqua" w:hAnsi="Book Antiqua" w:cs="Arial"/>
        </w:rPr>
        <w:t>The judge had</w:t>
      </w:r>
      <w:r w:rsidR="008A7FF5">
        <w:rPr>
          <w:rFonts w:ascii="Book Antiqua" w:hAnsi="Book Antiqua" w:cs="Arial"/>
        </w:rPr>
        <w:t xml:space="preserve"> </w:t>
      </w:r>
      <w:r w:rsidR="0003725D">
        <w:rPr>
          <w:rFonts w:ascii="Book Antiqua" w:hAnsi="Book Antiqua" w:cs="Arial"/>
        </w:rPr>
        <w:t xml:space="preserve">viewed the appellant’s case through the lens of the background materials, finding that it was consistent and plausible from that perspective: see [24] and [25].  By contrast, there were no background materials concerning the likely knowledge of Kurdish women fleeing honour crimes at the point of departure, or the </w:t>
      </w:r>
      <w:r w:rsidR="0003725D" w:rsidRPr="0003725D">
        <w:rPr>
          <w:rFonts w:ascii="Book Antiqua" w:hAnsi="Book Antiqua" w:cs="Arial"/>
          <w:i/>
          <w:iCs/>
        </w:rPr>
        <w:t>modus operandi</w:t>
      </w:r>
      <w:r w:rsidR="0003725D">
        <w:rPr>
          <w:rFonts w:ascii="Book Antiqua" w:hAnsi="Book Antiqua" w:cs="Arial"/>
        </w:rPr>
        <w:t xml:space="preserve"> of the network of agents and criminals who facilitate illicit international travel</w:t>
      </w:r>
      <w:r w:rsidR="00622C55">
        <w:rPr>
          <w:rFonts w:ascii="Book Antiqua" w:hAnsi="Book Antiqua" w:cs="Arial"/>
        </w:rPr>
        <w:t>, for example, concerning whether migrants are told at the outset of their journey what the destination is</w:t>
      </w:r>
      <w:r w:rsidR="0003725D">
        <w:rPr>
          <w:rFonts w:ascii="Book Antiqua" w:hAnsi="Book Antiqua" w:cs="Arial"/>
        </w:rPr>
        <w:t xml:space="preserve">.  Yet at [55] the judge purported to be able to place himself in the shoes of this appellant, at the point of departure, finding that she must have known where she was going.  That was the judge’s own subjective impression of what would take </w:t>
      </w:r>
      <w:r w:rsidR="00622C55">
        <w:rPr>
          <w:rFonts w:ascii="Book Antiqua" w:hAnsi="Book Antiqua" w:cs="Arial"/>
        </w:rPr>
        <w:t>place and</w:t>
      </w:r>
      <w:r w:rsidR="0003725D">
        <w:rPr>
          <w:rFonts w:ascii="Book Antiqua" w:hAnsi="Book Antiqua" w:cs="Arial"/>
        </w:rPr>
        <w:t xml:space="preserve"> was an impermissible projection of his own concept of reasonableness onto this appellant.  The judge made similar plausibility-based findings at [56] concerning the fact that the appellant is now staying with the sister of the woman she initially </w:t>
      </w:r>
      <w:r w:rsidR="0003725D">
        <w:rPr>
          <w:rFonts w:ascii="Book Antiqua" w:hAnsi="Book Antiqua" w:cs="Arial"/>
        </w:rPr>
        <w:lastRenderedPageBreak/>
        <w:t>contacted to arrange her departure from the country.  Again, it is not clear how a judge sitting in North Shields would know what the likely actions and attitudes of a young wom</w:t>
      </w:r>
      <w:r w:rsidR="00622C55">
        <w:rPr>
          <w:rFonts w:ascii="Book Antiqua" w:hAnsi="Book Antiqua" w:cs="Arial"/>
        </w:rPr>
        <w:t>a</w:t>
      </w:r>
      <w:r w:rsidR="0003725D">
        <w:rPr>
          <w:rFonts w:ascii="Book Antiqua" w:hAnsi="Book Antiqua" w:cs="Arial"/>
        </w:rPr>
        <w:t xml:space="preserve">n fleeing honour crime in Kurdistan would be.  </w:t>
      </w:r>
    </w:p>
    <w:p w:rsidR="00D9321B" w:rsidRPr="009162CC" w:rsidRDefault="00D9321B" w:rsidP="00D9321B">
      <w:pPr>
        <w:spacing w:before="240"/>
        <w:jc w:val="both"/>
        <w:rPr>
          <w:rFonts w:ascii="Book Antiqua" w:hAnsi="Book Antiqua" w:cs="Arial"/>
        </w:rPr>
      </w:pPr>
      <w:r w:rsidRPr="009162CC">
        <w:rPr>
          <w:rFonts w:ascii="Book Antiqua" w:hAnsi="Book Antiqua" w:cs="Arial"/>
          <w:i/>
        </w:rPr>
        <w:t>Conclusion</w:t>
      </w:r>
      <w:r w:rsidRPr="009162CC">
        <w:rPr>
          <w:rFonts w:ascii="Book Antiqua" w:hAnsi="Book Antiqua" w:cs="Arial"/>
        </w:rPr>
        <w:t xml:space="preserve"> </w:t>
      </w:r>
    </w:p>
    <w:p w:rsidR="006544D2" w:rsidRPr="00461D73" w:rsidRDefault="006544D2" w:rsidP="00461D7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While this tribunal will be slow to interfere with findings of fact reached by the First-tier Tribunal, on this occasion (i) </w:t>
      </w:r>
      <w:r w:rsidR="008A7FF5">
        <w:rPr>
          <w:rFonts w:ascii="Book Antiqua" w:hAnsi="Book Antiqua" w:cs="Arial"/>
        </w:rPr>
        <w:t xml:space="preserve">the judge made insufficient findings concerning B, (ii) </w:t>
      </w:r>
      <w:r>
        <w:rPr>
          <w:rFonts w:ascii="Book Antiqua" w:hAnsi="Book Antiqua" w:cs="Arial"/>
        </w:rPr>
        <w:t xml:space="preserve">the findings as a whole were infected by the </w:t>
      </w:r>
      <w:proofErr w:type="spellStart"/>
      <w:r>
        <w:rPr>
          <w:rFonts w:ascii="Book Antiqua" w:hAnsi="Book Antiqua" w:cs="Arial"/>
          <w:u w:val="single"/>
        </w:rPr>
        <w:t>Mibanga</w:t>
      </w:r>
      <w:proofErr w:type="spellEnd"/>
      <w:r>
        <w:rPr>
          <w:rFonts w:ascii="Book Antiqua" w:hAnsi="Book Antiqua" w:cs="Arial"/>
        </w:rPr>
        <w:t xml:space="preserve"> error, and (ii</w:t>
      </w:r>
      <w:r w:rsidR="008A7FF5">
        <w:rPr>
          <w:rFonts w:ascii="Book Antiqua" w:hAnsi="Book Antiqua" w:cs="Arial"/>
        </w:rPr>
        <w:t>i</w:t>
      </w:r>
      <w:r>
        <w:rPr>
          <w:rFonts w:ascii="Book Antiqua" w:hAnsi="Book Antiqua" w:cs="Arial"/>
        </w:rPr>
        <w:t>) the plausibility-based findings overlooked the judge’s own analysis that the appellant’s account was consistent with the background materials, instead elevating the judge’s own subjective re</w:t>
      </w:r>
      <w:r w:rsidR="00461D73">
        <w:rPr>
          <w:rFonts w:ascii="Book Antiqua" w:hAnsi="Book Antiqua" w:cs="Arial"/>
        </w:rPr>
        <w:t>-</w:t>
      </w:r>
      <w:r w:rsidRPr="00461D73">
        <w:rPr>
          <w:rFonts w:ascii="Book Antiqua" w:hAnsi="Book Antiqua" w:cs="Arial"/>
        </w:rPr>
        <w:t>characteri</w:t>
      </w:r>
      <w:r w:rsidR="00FE247C" w:rsidRPr="00461D73">
        <w:rPr>
          <w:rFonts w:ascii="Book Antiqua" w:hAnsi="Book Antiqua" w:cs="Arial"/>
        </w:rPr>
        <w:t>s</w:t>
      </w:r>
      <w:r w:rsidRPr="00461D73">
        <w:rPr>
          <w:rFonts w:ascii="Book Antiqua" w:hAnsi="Book Antiqua" w:cs="Arial"/>
        </w:rPr>
        <w:t>ation of reasonableness over those considerations.</w:t>
      </w:r>
    </w:p>
    <w:p w:rsidR="005A6722" w:rsidRDefault="0003725D" w:rsidP="00F83CC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For the above reasons, the decision of Judge Cope involved the making of an error of law</w:t>
      </w:r>
      <w:r w:rsidR="00FE247C">
        <w:rPr>
          <w:rFonts w:ascii="Book Antiqua" w:hAnsi="Book Antiqua" w:cs="Arial"/>
        </w:rPr>
        <w:t xml:space="preserve"> such that it must be set aside</w:t>
      </w:r>
      <w:r>
        <w:rPr>
          <w:rFonts w:ascii="Book Antiqua" w:hAnsi="Book Antiqua" w:cs="Arial"/>
        </w:rPr>
        <w:t xml:space="preserve"> in its entirety with no findings of fact preserved.</w:t>
      </w:r>
    </w:p>
    <w:p w:rsidR="0003725D" w:rsidRDefault="0003725D" w:rsidP="00F83CC4">
      <w:pPr>
        <w:numPr>
          <w:ilvl w:val="0"/>
          <w:numId w:val="1"/>
        </w:numPr>
        <w:tabs>
          <w:tab w:val="clear" w:pos="720"/>
        </w:tabs>
        <w:spacing w:before="240"/>
        <w:ind w:left="567" w:hanging="567"/>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extensive findings of fact that are now necessary, I direct that the matter be remitted to the First-tier Tribunal for a hearing before a judge other than Judge Cope.</w:t>
      </w:r>
    </w:p>
    <w:p w:rsidR="008A7FF5" w:rsidRDefault="008A7FF5" w:rsidP="00D6134E">
      <w:pPr>
        <w:jc w:val="both"/>
        <w:rPr>
          <w:rFonts w:ascii="Book Antiqua" w:hAnsi="Book Antiqua" w:cs="Arial"/>
          <w:b/>
          <w:u w:val="single"/>
        </w:rPr>
      </w:pPr>
    </w:p>
    <w:p w:rsidR="00D6134E" w:rsidRPr="009162CC" w:rsidRDefault="00D6134E" w:rsidP="00D6134E">
      <w:pPr>
        <w:jc w:val="both"/>
        <w:rPr>
          <w:rFonts w:ascii="Book Antiqua" w:hAnsi="Book Antiqua" w:cs="Arial"/>
          <w:b/>
          <w:u w:val="single"/>
        </w:rPr>
      </w:pPr>
      <w:r w:rsidRPr="009162CC">
        <w:rPr>
          <w:rFonts w:ascii="Book Antiqua" w:hAnsi="Book Antiqua" w:cs="Arial"/>
          <w:b/>
          <w:u w:val="single"/>
        </w:rPr>
        <w:t>Notice of Decision</w:t>
      </w:r>
    </w:p>
    <w:p w:rsidR="00D6134E" w:rsidRPr="009162CC" w:rsidRDefault="00D6134E" w:rsidP="00D6134E">
      <w:pPr>
        <w:jc w:val="both"/>
        <w:rPr>
          <w:rFonts w:ascii="Book Antiqua" w:hAnsi="Book Antiqua" w:cs="Arial"/>
        </w:rPr>
      </w:pPr>
    </w:p>
    <w:p w:rsidR="00D6134E" w:rsidRDefault="00FD06EB" w:rsidP="00D6134E">
      <w:pPr>
        <w:jc w:val="both"/>
        <w:rPr>
          <w:rFonts w:ascii="Book Antiqua" w:hAnsi="Book Antiqua" w:cs="Arial"/>
        </w:rPr>
      </w:pPr>
      <w:r>
        <w:rPr>
          <w:rFonts w:ascii="Book Antiqua" w:hAnsi="Book Antiqua" w:cs="Arial"/>
        </w:rPr>
        <w:t>The decision of Judge Cope involved the making of an error of law and is set aside with no findings preserved.</w:t>
      </w:r>
    </w:p>
    <w:p w:rsidR="00FD06EB" w:rsidRDefault="00FD06EB" w:rsidP="00D6134E">
      <w:pPr>
        <w:jc w:val="both"/>
        <w:rPr>
          <w:rFonts w:ascii="Book Antiqua" w:hAnsi="Book Antiqua" w:cs="Arial"/>
        </w:rPr>
      </w:pPr>
    </w:p>
    <w:p w:rsidR="00FD06EB" w:rsidRPr="009162CC" w:rsidRDefault="00FD06EB" w:rsidP="00D6134E">
      <w:pPr>
        <w:jc w:val="both"/>
        <w:rPr>
          <w:rFonts w:ascii="Book Antiqua" w:hAnsi="Book Antiqua" w:cs="Arial"/>
        </w:rPr>
      </w:pPr>
      <w:r>
        <w:rPr>
          <w:rFonts w:ascii="Book Antiqua" w:hAnsi="Book Antiqua" w:cs="Arial"/>
        </w:rPr>
        <w:t>The matter is remitted to the First-tier Tribunal to be heard by a judge other than Judge Cope.</w:t>
      </w:r>
    </w:p>
    <w:p w:rsidR="00D6134E" w:rsidRPr="009162CC" w:rsidRDefault="00D6134E" w:rsidP="00D6134E">
      <w:pPr>
        <w:jc w:val="both"/>
        <w:rPr>
          <w:rFonts w:ascii="Book Antiqua" w:hAnsi="Book Antiqua" w:cs="Arial"/>
        </w:rPr>
      </w:pPr>
    </w:p>
    <w:p w:rsidR="00D6134E" w:rsidRPr="009162CC" w:rsidRDefault="00D6134E" w:rsidP="00D6134E">
      <w:pPr>
        <w:jc w:val="both"/>
        <w:rPr>
          <w:rFonts w:ascii="Book Antiqua" w:hAnsi="Book Antiqua" w:cs="Arial"/>
        </w:rPr>
      </w:pPr>
      <w:r w:rsidRPr="009162CC">
        <w:rPr>
          <w:rFonts w:ascii="Book Antiqua" w:hAnsi="Book Antiqua" w:cs="Arial"/>
          <w:b/>
          <w:u w:val="single"/>
        </w:rPr>
        <w:t>Direction Regarding Anonymity – Rule 14 of the Tribunal Procedure (Upper Tribunal) Rules 2008</w:t>
      </w:r>
    </w:p>
    <w:p w:rsidR="00D6134E" w:rsidRPr="009162CC" w:rsidRDefault="00D6134E" w:rsidP="00D6134E">
      <w:pPr>
        <w:jc w:val="both"/>
        <w:rPr>
          <w:rFonts w:ascii="Book Antiqua" w:hAnsi="Book Antiqua" w:cs="Arial"/>
        </w:rPr>
      </w:pPr>
    </w:p>
    <w:p w:rsidR="00D6134E" w:rsidRPr="009162CC" w:rsidRDefault="00D6134E" w:rsidP="00D6134E">
      <w:pPr>
        <w:jc w:val="both"/>
        <w:rPr>
          <w:rFonts w:ascii="Book Antiqua" w:hAnsi="Book Antiqua" w:cs="Arial"/>
        </w:rPr>
      </w:pPr>
      <w:r w:rsidRPr="009162CC">
        <w:rPr>
          <w:rFonts w:ascii="Book Antiqua" w:hAnsi="Book Antiqua" w:cs="Arial"/>
        </w:rPr>
        <w:t xml:space="preserve">Unless and </w:t>
      </w:r>
      <w:r w:rsidRPr="009162CC">
        <w:rPr>
          <w:rFonts w:ascii="Book Antiqua" w:hAnsi="Book Antiqua"/>
        </w:rPr>
        <w:t>until a Tribunal o</w:t>
      </w:r>
      <w:r w:rsidR="00B14834" w:rsidRPr="009162CC">
        <w:rPr>
          <w:rFonts w:ascii="Book Antiqua" w:hAnsi="Book Antiqua"/>
        </w:rPr>
        <w:t>r court directs otherwise, the a</w:t>
      </w:r>
      <w:r w:rsidRPr="009162CC">
        <w:rPr>
          <w:rFonts w:ascii="Book Antiqua" w:hAnsi="Book Antiqua"/>
        </w:rPr>
        <w:t>ppellant is granted anonymity.  No report of these proceedings shall directly or indirectly identify him or any member of their family.  This</w:t>
      </w:r>
      <w:r w:rsidR="00B14834" w:rsidRPr="009162CC">
        <w:rPr>
          <w:rFonts w:ascii="Book Antiqua" w:hAnsi="Book Antiqua"/>
        </w:rPr>
        <w:t xml:space="preserve"> direction applies both to the appellant and to the r</w:t>
      </w:r>
      <w:r w:rsidRPr="009162CC">
        <w:rPr>
          <w:rFonts w:ascii="Book Antiqua" w:hAnsi="Book Antiqua"/>
        </w:rPr>
        <w:t>espondent.  Failure to comply with this direction could lead to contempt of court proceedings.</w:t>
      </w:r>
    </w:p>
    <w:p w:rsidR="009F5220" w:rsidRPr="009162CC" w:rsidRDefault="009F5220" w:rsidP="00780F86">
      <w:pPr>
        <w:ind w:left="540" w:hanging="540"/>
        <w:jc w:val="both"/>
        <w:rPr>
          <w:rFonts w:ascii="Book Antiqua" w:hAnsi="Book Antiqua" w:cs="Arial"/>
        </w:rPr>
      </w:pPr>
    </w:p>
    <w:p w:rsidR="00D6134E" w:rsidRDefault="00D6134E" w:rsidP="00780F86">
      <w:pPr>
        <w:ind w:left="540" w:hanging="540"/>
        <w:jc w:val="both"/>
        <w:rPr>
          <w:rFonts w:ascii="Book Antiqua" w:hAnsi="Book Antiqua" w:cs="Arial"/>
        </w:rPr>
      </w:pPr>
    </w:p>
    <w:p w:rsidR="008A7FF5" w:rsidRDefault="008A7FF5" w:rsidP="00780F86">
      <w:pPr>
        <w:ind w:left="540" w:hanging="540"/>
        <w:jc w:val="both"/>
        <w:rPr>
          <w:rFonts w:ascii="Book Antiqua" w:hAnsi="Book Antiqua" w:cs="Arial"/>
        </w:rPr>
      </w:pPr>
    </w:p>
    <w:p w:rsidR="008A7FF5" w:rsidRDefault="008A7FF5" w:rsidP="00780F86">
      <w:pPr>
        <w:ind w:left="540" w:hanging="540"/>
        <w:jc w:val="both"/>
        <w:rPr>
          <w:rFonts w:ascii="Book Antiqua" w:hAnsi="Book Antiqua" w:cs="Arial"/>
        </w:rPr>
      </w:pPr>
    </w:p>
    <w:p w:rsidR="008A7FF5" w:rsidRPr="009162CC" w:rsidRDefault="008A7FF5" w:rsidP="00780F86">
      <w:pPr>
        <w:ind w:left="540" w:hanging="540"/>
        <w:jc w:val="both"/>
        <w:rPr>
          <w:rFonts w:ascii="Book Antiqua" w:hAnsi="Book Antiqua" w:cs="Arial"/>
        </w:rPr>
      </w:pPr>
    </w:p>
    <w:p w:rsidR="001F2716" w:rsidRPr="009162CC" w:rsidRDefault="00780F86" w:rsidP="00780F86">
      <w:pPr>
        <w:ind w:left="540" w:hanging="540"/>
        <w:jc w:val="both"/>
        <w:rPr>
          <w:rFonts w:ascii="Book Antiqua" w:hAnsi="Book Antiqua" w:cs="Arial"/>
        </w:rPr>
      </w:pPr>
      <w:r w:rsidRPr="009162CC">
        <w:rPr>
          <w:rFonts w:ascii="Book Antiqua" w:hAnsi="Book Antiqua" w:cs="Arial"/>
        </w:rPr>
        <w:t>Signed</w:t>
      </w:r>
      <w:r w:rsidRPr="009162CC">
        <w:rPr>
          <w:rFonts w:ascii="Book Antiqua" w:hAnsi="Book Antiqua" w:cs="Arial"/>
        </w:rPr>
        <w:tab/>
      </w:r>
      <w:r w:rsidR="00401742" w:rsidRPr="00401742">
        <w:rPr>
          <w:rFonts w:ascii="Century Schoolbook" w:hAnsi="Century Schoolbook" w:cs="Arial"/>
          <w:i/>
          <w:iCs/>
        </w:rPr>
        <w:t>Stephen H Smith</w:t>
      </w:r>
      <w:r w:rsidRPr="009162CC">
        <w:rPr>
          <w:rFonts w:ascii="Book Antiqua" w:hAnsi="Book Antiqua" w:cs="Arial"/>
        </w:rPr>
        <w:tab/>
      </w:r>
      <w:r w:rsidRPr="009162CC">
        <w:rPr>
          <w:rFonts w:ascii="Book Antiqua" w:hAnsi="Book Antiqua" w:cs="Arial"/>
        </w:rPr>
        <w:tab/>
      </w:r>
      <w:r w:rsidRPr="009162CC">
        <w:rPr>
          <w:rFonts w:ascii="Book Antiqua" w:hAnsi="Book Antiqua" w:cs="Arial"/>
        </w:rPr>
        <w:tab/>
      </w:r>
      <w:r w:rsidRPr="009162CC">
        <w:rPr>
          <w:rFonts w:ascii="Book Antiqua" w:hAnsi="Book Antiqua" w:cs="Arial"/>
        </w:rPr>
        <w:tab/>
      </w:r>
      <w:r w:rsidRPr="009162CC">
        <w:rPr>
          <w:rFonts w:ascii="Book Antiqua" w:hAnsi="Book Antiqua" w:cs="Arial"/>
        </w:rPr>
        <w:tab/>
      </w:r>
      <w:r w:rsidRPr="009162CC">
        <w:rPr>
          <w:rFonts w:ascii="Book Antiqua" w:hAnsi="Book Antiqua" w:cs="Arial"/>
        </w:rPr>
        <w:tab/>
      </w:r>
      <w:r w:rsidRPr="009162CC">
        <w:rPr>
          <w:rFonts w:ascii="Book Antiqua" w:hAnsi="Book Antiqua" w:cs="Arial"/>
        </w:rPr>
        <w:tab/>
      </w:r>
      <w:r w:rsidR="001F2716" w:rsidRPr="009162CC">
        <w:rPr>
          <w:rFonts w:ascii="Book Antiqua" w:hAnsi="Book Antiqua" w:cs="Arial"/>
        </w:rPr>
        <w:t>Date</w:t>
      </w:r>
      <w:r w:rsidR="00401742">
        <w:rPr>
          <w:rFonts w:ascii="Book Antiqua" w:hAnsi="Book Antiqua" w:cs="Arial"/>
        </w:rPr>
        <w:t xml:space="preserve"> </w:t>
      </w:r>
      <w:r w:rsidR="00FE247C">
        <w:rPr>
          <w:rFonts w:ascii="Book Antiqua" w:hAnsi="Book Antiqua" w:cs="Arial"/>
        </w:rPr>
        <w:t>1</w:t>
      </w:r>
      <w:r w:rsidR="00EA0E89">
        <w:rPr>
          <w:rFonts w:ascii="Book Antiqua" w:hAnsi="Book Antiqua" w:cs="Arial"/>
        </w:rPr>
        <w:t>8</w:t>
      </w:r>
      <w:r w:rsidR="00FE247C">
        <w:rPr>
          <w:rFonts w:ascii="Book Antiqua" w:hAnsi="Book Antiqua" w:cs="Arial"/>
        </w:rPr>
        <w:t xml:space="preserve"> August 2020</w:t>
      </w:r>
    </w:p>
    <w:p w:rsidR="00AD4CB1" w:rsidRPr="009162CC" w:rsidRDefault="00AD4CB1" w:rsidP="00AD4CB1">
      <w:pPr>
        <w:tabs>
          <w:tab w:val="left" w:pos="2520"/>
        </w:tabs>
        <w:ind w:left="540" w:hanging="540"/>
        <w:jc w:val="both"/>
        <w:rPr>
          <w:rFonts w:ascii="Book Antiqua" w:hAnsi="Book Antiqua" w:cs="Arial"/>
        </w:rPr>
      </w:pPr>
    </w:p>
    <w:p w:rsidR="008E4966" w:rsidRDefault="007C5E4A" w:rsidP="00AD4CB1">
      <w:pPr>
        <w:tabs>
          <w:tab w:val="left" w:pos="2520"/>
        </w:tabs>
        <w:ind w:left="540" w:hanging="540"/>
        <w:rPr>
          <w:rFonts w:ascii="Book Antiqua" w:hAnsi="Book Antiqua" w:cs="Arial"/>
          <w:color w:val="000000"/>
        </w:rPr>
        <w:sectPr w:rsidR="008E4966" w:rsidSect="00B35F7D">
          <w:headerReference w:type="default" r:id="rId9"/>
          <w:footerReference w:type="default" r:id="rId10"/>
          <w:headerReference w:type="first" r:id="rId11"/>
          <w:footerReference w:type="first" r:id="rId12"/>
          <w:pgSz w:w="11906" w:h="16838"/>
          <w:pgMar w:top="993" w:right="1134" w:bottom="1440" w:left="1134" w:header="709" w:footer="709" w:gutter="0"/>
          <w:cols w:space="708"/>
          <w:titlePg/>
          <w:docGrid w:linePitch="360"/>
        </w:sectPr>
      </w:pPr>
      <w:r>
        <w:rPr>
          <w:noProof/>
        </w:rPr>
        <w:drawing>
          <wp:anchor distT="0" distB="0" distL="114300" distR="114300" simplePos="0" relativeHeight="251659264" behindDoc="1" locked="0" layoutInCell="1" allowOverlap="1">
            <wp:simplePos x="0" y="0"/>
            <wp:positionH relativeFrom="column">
              <wp:posOffset>2813050</wp:posOffset>
            </wp:positionH>
            <wp:positionV relativeFrom="paragraph">
              <wp:posOffset>273685</wp:posOffset>
            </wp:positionV>
            <wp:extent cx="1520190" cy="1508125"/>
            <wp:effectExtent l="0" t="0" r="0" b="0"/>
            <wp:wrapNone/>
            <wp:docPr id="3"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457" w:rsidRPr="009162CC">
        <w:rPr>
          <w:rFonts w:ascii="Book Antiqua" w:hAnsi="Book Antiqua" w:cs="Arial"/>
          <w:color w:val="000000"/>
        </w:rPr>
        <w:t>Upper Tribunal Judge Stephen Smith</w:t>
      </w:r>
    </w:p>
    <w:p w:rsidR="00B76E88" w:rsidRPr="009162CC" w:rsidRDefault="00B76E88" w:rsidP="00AD4CB1">
      <w:pPr>
        <w:tabs>
          <w:tab w:val="left" w:pos="2520"/>
        </w:tabs>
        <w:ind w:left="540" w:hanging="540"/>
        <w:rPr>
          <w:rFonts w:ascii="Book Antiqua" w:hAnsi="Book Antiqua" w:cs="Arial"/>
          <w:color w:val="000000"/>
        </w:rPr>
      </w:pPr>
    </w:p>
    <w:p w:rsidR="008E4966" w:rsidRDefault="008E4966" w:rsidP="008E4966">
      <w:pPr>
        <w:jc w:val="center"/>
        <w:rPr>
          <w:rFonts w:ascii="Book Antiqua" w:hAnsi="Book Antiqua" w:cs="Arial"/>
        </w:rPr>
      </w:pPr>
    </w:p>
    <w:p w:rsidR="008E4966" w:rsidRPr="00FB18CB" w:rsidRDefault="007C5E4A" w:rsidP="008E4966">
      <w:pPr>
        <w:jc w:val="center"/>
        <w:rPr>
          <w:rFonts w:ascii="Book Antiqua" w:hAnsi="Book Antiqua" w:cs="Arial"/>
          <w:caps/>
          <w:color w:val="000000"/>
          <w:sz w:val="16"/>
          <w:szCs w:val="16"/>
        </w:rPr>
      </w:pPr>
      <w:r w:rsidRPr="00FB18CB">
        <w:rPr>
          <w:rFonts w:ascii="Book Antiqua" w:hAnsi="Book Antiqua"/>
          <w:noProof/>
        </w:rPr>
        <w:drawing>
          <wp:inline distT="0" distB="0" distL="0" distR="0">
            <wp:extent cx="1043940" cy="9067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bookmarkStart w:id="7" w:name="_GoBack"/>
      <w:bookmarkEnd w:id="7"/>
    </w:p>
    <w:p w:rsidR="008E4966" w:rsidRPr="00FB18CB" w:rsidRDefault="008E4966" w:rsidP="008E4966">
      <w:pPr>
        <w:tabs>
          <w:tab w:val="right" w:pos="9720"/>
        </w:tabs>
        <w:ind w:right="-82"/>
        <w:rPr>
          <w:rFonts w:ascii="Book Antiqua" w:hAnsi="Book Antiqua" w:cs="Arial"/>
          <w:b/>
          <w:color w:val="000000"/>
        </w:rPr>
      </w:pPr>
      <w:r w:rsidRPr="00FB18CB">
        <w:rPr>
          <w:rFonts w:ascii="Book Antiqua" w:hAnsi="Book Antiqua" w:cs="Arial"/>
          <w:b/>
          <w:color w:val="000000"/>
        </w:rPr>
        <w:t>Upper Tribunal</w:t>
      </w:r>
    </w:p>
    <w:p w:rsidR="008E4966" w:rsidRPr="00B35F7D" w:rsidRDefault="008E4966" w:rsidP="008E4966">
      <w:pPr>
        <w:tabs>
          <w:tab w:val="right" w:pos="9720"/>
        </w:tabs>
        <w:ind w:right="-82"/>
        <w:rPr>
          <w:rFonts w:ascii="Book Antiqua" w:hAnsi="Book Antiqua" w:cs="Arial"/>
          <w:b/>
          <w:color w:val="000000"/>
        </w:rPr>
      </w:pPr>
      <w:r w:rsidRPr="00FB18CB">
        <w:rPr>
          <w:rFonts w:ascii="Book Antiqua" w:hAnsi="Book Antiqua" w:cs="Arial"/>
          <w:b/>
          <w:color w:val="000000"/>
        </w:rPr>
        <w:t xml:space="preserve">(Immigration and Asylum </w:t>
      </w:r>
      <w:proofErr w:type="gramStart"/>
      <w:r w:rsidRPr="00FB18CB">
        <w:rPr>
          <w:rFonts w:ascii="Book Antiqua" w:hAnsi="Book Antiqua" w:cs="Arial"/>
          <w:b/>
          <w:color w:val="000000"/>
        </w:rPr>
        <w:t>Chamber)</w:t>
      </w:r>
      <w:r w:rsidR="00B35F7D">
        <w:rPr>
          <w:rFonts w:ascii="Book Antiqua" w:hAnsi="Book Antiqua" w:cs="Arial"/>
          <w:b/>
          <w:color w:val="000000"/>
        </w:rPr>
        <w:t xml:space="preserve">   </w:t>
      </w:r>
      <w:proofErr w:type="gramEnd"/>
      <w:r w:rsidR="00B35F7D">
        <w:rPr>
          <w:rFonts w:ascii="Book Antiqua" w:hAnsi="Book Antiqua" w:cs="Arial"/>
          <w:b/>
          <w:color w:val="000000"/>
        </w:rPr>
        <w:t xml:space="preserve">                   </w:t>
      </w:r>
      <w:r w:rsidRPr="00B35F7D">
        <w:rPr>
          <w:rFonts w:ascii="Book Antiqua" w:hAnsi="Book Antiqua" w:cs="Arial"/>
          <w:b/>
          <w:color w:val="000000"/>
        </w:rPr>
        <w:t xml:space="preserve">Appeal Number: </w:t>
      </w:r>
      <w:r w:rsidRPr="00B35F7D">
        <w:rPr>
          <w:rFonts w:ascii="Book Antiqua" w:hAnsi="Book Antiqua" w:cs="Arial"/>
          <w:b/>
          <w:caps/>
          <w:color w:val="000000"/>
        </w:rPr>
        <w:t>PA/04840/2019</w:t>
      </w:r>
    </w:p>
    <w:p w:rsidR="008E4966" w:rsidRPr="00FB18CB" w:rsidRDefault="008E4966" w:rsidP="008E4966">
      <w:pPr>
        <w:jc w:val="center"/>
        <w:rPr>
          <w:rFonts w:ascii="Book Antiqua" w:hAnsi="Book Antiqua" w:cs="Arial"/>
          <w:color w:val="000000"/>
        </w:rPr>
      </w:pPr>
    </w:p>
    <w:p w:rsidR="008E4966" w:rsidRPr="00FB18CB" w:rsidRDefault="008E4966" w:rsidP="008E4966">
      <w:pPr>
        <w:jc w:val="center"/>
        <w:rPr>
          <w:rFonts w:ascii="Book Antiqua" w:hAnsi="Book Antiqua" w:cs="Arial"/>
          <w:b/>
          <w:color w:val="000000"/>
          <w:u w:val="single"/>
        </w:rPr>
      </w:pPr>
      <w:r w:rsidRPr="00FB18CB">
        <w:rPr>
          <w:rFonts w:ascii="Book Antiqua" w:hAnsi="Book Antiqua" w:cs="Arial"/>
          <w:b/>
          <w:color w:val="000000"/>
          <w:u w:val="single"/>
        </w:rPr>
        <w:t>THE IMMIGRATION ACTS</w:t>
      </w:r>
    </w:p>
    <w:tbl>
      <w:tblPr>
        <w:tblW w:w="10008" w:type="dxa"/>
        <w:tblLook w:val="01E0" w:firstRow="1" w:lastRow="1" w:firstColumn="1" w:lastColumn="1" w:noHBand="0" w:noVBand="0"/>
      </w:tblPr>
      <w:tblGrid>
        <w:gridCol w:w="6048"/>
        <w:gridCol w:w="3960"/>
      </w:tblGrid>
      <w:tr w:rsidR="008E4966" w:rsidRPr="00FB18CB" w:rsidTr="00FE4639">
        <w:tc>
          <w:tcPr>
            <w:tcW w:w="6048" w:type="dxa"/>
            <w:shd w:val="clear" w:color="auto" w:fill="auto"/>
          </w:tcPr>
          <w:p w:rsidR="008E4966" w:rsidRPr="00FB18CB" w:rsidRDefault="008E4966" w:rsidP="00FE4639">
            <w:pPr>
              <w:jc w:val="both"/>
              <w:rPr>
                <w:rFonts w:ascii="Book Antiqua" w:hAnsi="Book Antiqua" w:cs="Arial"/>
                <w:b/>
              </w:rPr>
            </w:pPr>
          </w:p>
        </w:tc>
        <w:tc>
          <w:tcPr>
            <w:tcW w:w="3960" w:type="dxa"/>
            <w:shd w:val="clear" w:color="auto" w:fill="auto"/>
          </w:tcPr>
          <w:p w:rsidR="008E4966" w:rsidRPr="00FB18CB" w:rsidRDefault="008E4966" w:rsidP="00FE4639">
            <w:pPr>
              <w:jc w:val="both"/>
              <w:rPr>
                <w:rFonts w:ascii="Book Antiqua" w:hAnsi="Book Antiqua" w:cs="Arial"/>
                <w:b/>
                <w:color w:val="000000"/>
              </w:rPr>
            </w:pPr>
          </w:p>
        </w:tc>
      </w:tr>
      <w:tr w:rsidR="008E4966" w:rsidRPr="00FB18CB" w:rsidTr="00B35F7D">
        <w:trPr>
          <w:trHeight w:val="489"/>
        </w:trPr>
        <w:tc>
          <w:tcPr>
            <w:tcW w:w="6048" w:type="dxa"/>
            <w:shd w:val="clear" w:color="auto" w:fill="auto"/>
          </w:tcPr>
          <w:p w:rsidR="008E4966" w:rsidRPr="00FB18CB" w:rsidRDefault="008E4966" w:rsidP="00FE4639">
            <w:pPr>
              <w:jc w:val="both"/>
              <w:rPr>
                <w:rFonts w:ascii="Book Antiqua" w:hAnsi="Book Antiqua" w:cs="Arial"/>
                <w:b/>
              </w:rPr>
            </w:pPr>
          </w:p>
        </w:tc>
        <w:tc>
          <w:tcPr>
            <w:tcW w:w="3960" w:type="dxa"/>
            <w:shd w:val="clear" w:color="auto" w:fill="auto"/>
          </w:tcPr>
          <w:p w:rsidR="008E4966" w:rsidRPr="00FB18CB" w:rsidRDefault="008E4966" w:rsidP="00FE4639">
            <w:pPr>
              <w:jc w:val="both"/>
              <w:rPr>
                <w:rFonts w:ascii="Book Antiqua" w:hAnsi="Book Antiqua" w:cs="Arial"/>
                <w:b/>
              </w:rPr>
            </w:pPr>
          </w:p>
        </w:tc>
      </w:tr>
      <w:tr w:rsidR="008E4966" w:rsidRPr="00FB18CB" w:rsidTr="00FE4639">
        <w:tc>
          <w:tcPr>
            <w:tcW w:w="6048" w:type="dxa"/>
            <w:shd w:val="clear" w:color="auto" w:fill="auto"/>
          </w:tcPr>
          <w:p w:rsidR="008E4966" w:rsidRPr="00FB18CB" w:rsidRDefault="008E4966" w:rsidP="00FE4639">
            <w:pPr>
              <w:jc w:val="both"/>
              <w:rPr>
                <w:rFonts w:ascii="Book Antiqua" w:hAnsi="Book Antiqua" w:cs="Arial"/>
                <w:b/>
              </w:rPr>
            </w:pPr>
          </w:p>
        </w:tc>
        <w:tc>
          <w:tcPr>
            <w:tcW w:w="3960" w:type="dxa"/>
            <w:shd w:val="clear" w:color="auto" w:fill="auto"/>
          </w:tcPr>
          <w:p w:rsidR="008E4966" w:rsidRPr="00FB18CB" w:rsidRDefault="008E4966" w:rsidP="00FE4639">
            <w:pPr>
              <w:jc w:val="both"/>
              <w:rPr>
                <w:rFonts w:ascii="Book Antiqua" w:hAnsi="Book Antiqua" w:cs="Arial"/>
                <w:b/>
              </w:rPr>
            </w:pPr>
          </w:p>
        </w:tc>
      </w:tr>
    </w:tbl>
    <w:p w:rsidR="008E4966" w:rsidRPr="00FB18CB" w:rsidRDefault="008E4966" w:rsidP="008E4966">
      <w:pPr>
        <w:jc w:val="center"/>
        <w:rPr>
          <w:rFonts w:ascii="Book Antiqua" w:hAnsi="Book Antiqua" w:cs="Arial"/>
          <w:b/>
        </w:rPr>
      </w:pPr>
      <w:r w:rsidRPr="00FB18CB">
        <w:rPr>
          <w:rFonts w:ascii="Book Antiqua" w:hAnsi="Book Antiqua" w:cs="Arial"/>
          <w:b/>
        </w:rPr>
        <w:t>Before</w:t>
      </w:r>
    </w:p>
    <w:p w:rsidR="008E4966" w:rsidRPr="00FB18CB" w:rsidRDefault="008E4966" w:rsidP="008E4966">
      <w:pPr>
        <w:jc w:val="center"/>
        <w:rPr>
          <w:rFonts w:ascii="Book Antiqua" w:hAnsi="Book Antiqua" w:cs="Arial"/>
          <w:b/>
        </w:rPr>
      </w:pPr>
    </w:p>
    <w:p w:rsidR="008E4966" w:rsidRPr="00FB18CB" w:rsidRDefault="008E4966" w:rsidP="008E4966">
      <w:pPr>
        <w:jc w:val="center"/>
        <w:rPr>
          <w:rFonts w:ascii="Book Antiqua" w:hAnsi="Book Antiqua" w:cs="Arial"/>
          <w:b/>
          <w:color w:val="000000"/>
        </w:rPr>
      </w:pPr>
      <w:r w:rsidRPr="00FB18CB">
        <w:rPr>
          <w:rFonts w:ascii="Book Antiqua" w:hAnsi="Book Antiqua" w:cs="Arial"/>
          <w:b/>
          <w:color w:val="000000"/>
        </w:rPr>
        <w:t>UPPER TRIBUNAL JUDGE STEPHEN SMITH</w:t>
      </w:r>
    </w:p>
    <w:p w:rsidR="008E4966" w:rsidRPr="00FB18CB" w:rsidRDefault="008E4966" w:rsidP="008E4966">
      <w:pPr>
        <w:jc w:val="center"/>
        <w:rPr>
          <w:rFonts w:ascii="Book Antiqua" w:hAnsi="Book Antiqua" w:cs="Arial"/>
          <w:b/>
        </w:rPr>
      </w:pPr>
    </w:p>
    <w:p w:rsidR="008E4966" w:rsidRPr="00FB18CB" w:rsidRDefault="008E4966" w:rsidP="008E4966">
      <w:pPr>
        <w:jc w:val="center"/>
        <w:rPr>
          <w:rFonts w:ascii="Book Antiqua" w:hAnsi="Book Antiqua" w:cs="Arial"/>
          <w:b/>
        </w:rPr>
      </w:pPr>
      <w:r w:rsidRPr="00FB18CB">
        <w:rPr>
          <w:rFonts w:ascii="Book Antiqua" w:hAnsi="Book Antiqua" w:cs="Arial"/>
          <w:b/>
        </w:rPr>
        <w:t>Between</w:t>
      </w:r>
    </w:p>
    <w:p w:rsidR="008E4966" w:rsidRPr="00FB18CB" w:rsidRDefault="008E4966" w:rsidP="008E4966">
      <w:pPr>
        <w:jc w:val="center"/>
        <w:rPr>
          <w:rFonts w:ascii="Book Antiqua" w:hAnsi="Book Antiqua" w:cs="Arial"/>
          <w:b/>
        </w:rPr>
      </w:pPr>
    </w:p>
    <w:p w:rsidR="008E4966" w:rsidRPr="00FB18CB" w:rsidRDefault="008E4966" w:rsidP="008E4966">
      <w:pPr>
        <w:jc w:val="center"/>
        <w:rPr>
          <w:rFonts w:ascii="Book Antiqua" w:hAnsi="Book Antiqua" w:cs="Arial"/>
          <w:b/>
          <w:caps/>
        </w:rPr>
      </w:pPr>
      <w:r w:rsidRPr="00FB18CB">
        <w:rPr>
          <w:rFonts w:ascii="Book Antiqua" w:hAnsi="Book Antiqua" w:cs="Arial"/>
          <w:b/>
          <w:caps/>
        </w:rPr>
        <w:t>SA</w:t>
      </w:r>
    </w:p>
    <w:p w:rsidR="008E4966" w:rsidRPr="00B35F7D" w:rsidRDefault="008E4966" w:rsidP="008E4966">
      <w:pPr>
        <w:jc w:val="center"/>
        <w:rPr>
          <w:rFonts w:ascii="Book Antiqua" w:hAnsi="Book Antiqua" w:cs="Arial"/>
          <w:caps/>
        </w:rPr>
      </w:pPr>
      <w:r w:rsidRPr="00B35F7D">
        <w:rPr>
          <w:rFonts w:ascii="Book Antiqua" w:hAnsi="Book Antiqua" w:cs="Arial"/>
          <w:caps/>
        </w:rPr>
        <w:t>(ANONYMITY DIRECTION</w:t>
      </w:r>
      <w:r w:rsidR="00B35F7D" w:rsidRPr="00B35F7D">
        <w:rPr>
          <w:rFonts w:ascii="Book Antiqua" w:hAnsi="Book Antiqua" w:cs="Arial"/>
          <w:caps/>
        </w:rPr>
        <w:t xml:space="preserve"> MADE</w:t>
      </w:r>
      <w:r w:rsidRPr="00B35F7D">
        <w:rPr>
          <w:rFonts w:ascii="Book Antiqua" w:hAnsi="Book Antiqua" w:cs="Arial"/>
          <w:caps/>
        </w:rPr>
        <w:t>)</w:t>
      </w:r>
    </w:p>
    <w:p w:rsidR="008E4966" w:rsidRPr="00FB18CB" w:rsidRDefault="008E4966" w:rsidP="008E4966">
      <w:pPr>
        <w:jc w:val="right"/>
        <w:rPr>
          <w:rFonts w:ascii="Book Antiqua" w:hAnsi="Book Antiqua" w:cs="Arial"/>
          <w:u w:val="single"/>
        </w:rPr>
      </w:pPr>
      <w:r w:rsidRPr="00FB18CB">
        <w:rPr>
          <w:rFonts w:ascii="Book Antiqua" w:hAnsi="Book Antiqua" w:cs="Arial"/>
          <w:u w:val="single"/>
        </w:rPr>
        <w:t>Appellant</w:t>
      </w:r>
    </w:p>
    <w:p w:rsidR="008E4966" w:rsidRPr="00FB18CB" w:rsidRDefault="008E4966" w:rsidP="008E4966">
      <w:pPr>
        <w:jc w:val="center"/>
        <w:rPr>
          <w:rFonts w:ascii="Book Antiqua" w:hAnsi="Book Antiqua" w:cs="Arial"/>
          <w:b/>
        </w:rPr>
      </w:pPr>
      <w:r w:rsidRPr="00FB18CB">
        <w:rPr>
          <w:rFonts w:ascii="Book Antiqua" w:hAnsi="Book Antiqua" w:cs="Arial"/>
          <w:b/>
        </w:rPr>
        <w:t>and</w:t>
      </w:r>
    </w:p>
    <w:p w:rsidR="008E4966" w:rsidRPr="00FB18CB" w:rsidRDefault="008E4966" w:rsidP="008E4966">
      <w:pPr>
        <w:jc w:val="center"/>
        <w:rPr>
          <w:rFonts w:ascii="Book Antiqua" w:hAnsi="Book Antiqua" w:cs="Arial"/>
          <w:b/>
        </w:rPr>
      </w:pPr>
    </w:p>
    <w:p w:rsidR="008E4966" w:rsidRPr="00FB18CB" w:rsidRDefault="008E4966" w:rsidP="008E4966">
      <w:pPr>
        <w:jc w:val="center"/>
        <w:rPr>
          <w:rFonts w:ascii="Book Antiqua" w:hAnsi="Book Antiqua" w:cs="Arial"/>
          <w:b/>
        </w:rPr>
      </w:pPr>
      <w:r w:rsidRPr="00FB18CB">
        <w:rPr>
          <w:rFonts w:ascii="Book Antiqua" w:hAnsi="Book Antiqua" w:cs="Arial"/>
          <w:b/>
        </w:rPr>
        <w:t>THE SECRETARY OF STATE FOR THE HOME DEPARTMENT</w:t>
      </w:r>
    </w:p>
    <w:p w:rsidR="008E4966" w:rsidRPr="00FB18CB" w:rsidRDefault="008E4966" w:rsidP="008E4966">
      <w:pPr>
        <w:jc w:val="right"/>
        <w:rPr>
          <w:rFonts w:ascii="Book Antiqua" w:hAnsi="Book Antiqua" w:cs="Arial"/>
          <w:u w:val="single"/>
        </w:rPr>
      </w:pPr>
    </w:p>
    <w:p w:rsidR="008E4966" w:rsidRPr="00FB18CB" w:rsidRDefault="008E4966" w:rsidP="008E4966">
      <w:pPr>
        <w:jc w:val="right"/>
        <w:rPr>
          <w:rFonts w:ascii="Book Antiqua" w:hAnsi="Book Antiqua" w:cs="Arial"/>
          <w:u w:val="single"/>
        </w:rPr>
      </w:pPr>
      <w:r w:rsidRPr="00FB18CB">
        <w:rPr>
          <w:rFonts w:ascii="Book Antiqua" w:hAnsi="Book Antiqua" w:cs="Arial"/>
          <w:u w:val="single"/>
        </w:rPr>
        <w:t>Respondent</w:t>
      </w:r>
    </w:p>
    <w:p w:rsidR="008E4966" w:rsidRPr="00FB18CB" w:rsidRDefault="008E4966" w:rsidP="008E4966">
      <w:pPr>
        <w:rPr>
          <w:rFonts w:ascii="Book Antiqua" w:hAnsi="Book Antiqua" w:cs="Arial"/>
          <w:u w:val="single"/>
        </w:rPr>
      </w:pPr>
    </w:p>
    <w:p w:rsidR="008E4966" w:rsidRPr="00FB18CB" w:rsidRDefault="008E4966" w:rsidP="008E4966">
      <w:pPr>
        <w:tabs>
          <w:tab w:val="left" w:pos="2520"/>
        </w:tabs>
        <w:jc w:val="center"/>
        <w:rPr>
          <w:rFonts w:ascii="Book Antiqua" w:hAnsi="Book Antiqua" w:cs="Arial"/>
        </w:rPr>
      </w:pPr>
    </w:p>
    <w:p w:rsidR="008E4966" w:rsidRPr="00FB18CB" w:rsidRDefault="008E4966" w:rsidP="008E4966">
      <w:pPr>
        <w:tabs>
          <w:tab w:val="left" w:pos="2520"/>
        </w:tabs>
        <w:jc w:val="center"/>
        <w:rPr>
          <w:rFonts w:ascii="Book Antiqua" w:hAnsi="Book Antiqua" w:cs="Arial"/>
          <w:b/>
          <w:u w:val="single"/>
        </w:rPr>
      </w:pPr>
      <w:r w:rsidRPr="00FB18CB">
        <w:rPr>
          <w:rFonts w:ascii="Book Antiqua" w:hAnsi="Book Antiqua" w:cs="Arial"/>
          <w:b/>
          <w:u w:val="single"/>
        </w:rPr>
        <w:t>NOTE AND DIRECTIONS</w:t>
      </w:r>
    </w:p>
    <w:p w:rsidR="008E4966" w:rsidRPr="00FB18CB" w:rsidRDefault="008E4966" w:rsidP="008E4966">
      <w:pPr>
        <w:tabs>
          <w:tab w:val="left" w:pos="2520"/>
        </w:tabs>
        <w:jc w:val="center"/>
        <w:rPr>
          <w:rFonts w:ascii="Book Antiqua" w:hAnsi="Book Antiqua" w:cs="Arial"/>
          <w:b/>
          <w:u w:val="single"/>
        </w:rPr>
      </w:pPr>
    </w:p>
    <w:p w:rsidR="008E4966" w:rsidRPr="00FB18CB" w:rsidRDefault="008E4966" w:rsidP="008A7FF5">
      <w:pPr>
        <w:numPr>
          <w:ilvl w:val="0"/>
          <w:numId w:val="2"/>
        </w:numPr>
        <w:spacing w:before="240"/>
        <w:jc w:val="both"/>
        <w:rPr>
          <w:rFonts w:ascii="Book Antiqua" w:hAnsi="Book Antiqua" w:cs="Arial"/>
        </w:rPr>
      </w:pPr>
      <w:r w:rsidRPr="00FB18CB">
        <w:rPr>
          <w:rFonts w:ascii="Book Antiqua" w:hAnsi="Book Antiqua" w:cs="Arial"/>
        </w:rPr>
        <w:t xml:space="preserve">On 19 September 2019, First-tier Tribunal Judge Cope dismissed an appeal by the appellant brought against a decision of the respondent dated 8 May 2019 to refuse her asylum and humanitarian protection claim. On 29 January 2020, Designated Judge Shaerf of the First-tier Tribunal granted the appellant permission to appeal against that decision.  </w:t>
      </w:r>
    </w:p>
    <w:p w:rsidR="008E4966" w:rsidRPr="00FB18CB" w:rsidRDefault="008E4966" w:rsidP="008E4966">
      <w:pPr>
        <w:spacing w:before="240"/>
        <w:jc w:val="both"/>
        <w:rPr>
          <w:rFonts w:ascii="Book Antiqua" w:hAnsi="Book Antiqua" w:cs="Arial"/>
          <w:i/>
          <w:iCs/>
        </w:rPr>
      </w:pPr>
      <w:r w:rsidRPr="00FB18CB">
        <w:rPr>
          <w:rFonts w:ascii="Book Antiqua" w:hAnsi="Book Antiqua" w:cs="Arial"/>
          <w:i/>
          <w:iCs/>
        </w:rPr>
        <w:t>Procedural background</w:t>
      </w:r>
    </w:p>
    <w:p w:rsidR="008E4966" w:rsidRPr="00FB18CB" w:rsidRDefault="008E4966" w:rsidP="008A7FF5">
      <w:pPr>
        <w:numPr>
          <w:ilvl w:val="0"/>
          <w:numId w:val="2"/>
        </w:numPr>
        <w:spacing w:before="240"/>
        <w:ind w:left="567" w:hanging="567"/>
        <w:jc w:val="both"/>
        <w:rPr>
          <w:rFonts w:ascii="Book Antiqua" w:hAnsi="Book Antiqua" w:cs="Arial"/>
        </w:rPr>
      </w:pPr>
      <w:r w:rsidRPr="00FB18CB">
        <w:rPr>
          <w:rFonts w:ascii="Book Antiqua" w:hAnsi="Book Antiqua" w:cs="Arial"/>
        </w:rPr>
        <w:t xml:space="preserve">On 7 May 2020, Upper Tribunal Judge Blum directed that his provisional view was that it would be possible to determine whether the decision of Judge Cope involved the making of an error of law and, if so, whether it should be set aside, without holding a hearing. Judge Blum issued directions for an exchange of submissions concerning those issues, and the parties’ substantive position in relation to the submissions, the time limit for compliance with which has now passed. The respondent, in a notice </w:t>
      </w:r>
      <w:r w:rsidRPr="00FB18CB">
        <w:rPr>
          <w:rFonts w:ascii="Book Antiqua" w:hAnsi="Book Antiqua" w:cs="Arial"/>
        </w:rPr>
        <w:lastRenderedPageBreak/>
        <w:t>dated 1 June 2020, set out her reasons for resisting this appeal, to which I will turn shortly. The appellant, who is now a litigant in person, did not respond.</w:t>
      </w:r>
    </w:p>
    <w:p w:rsidR="008E4966" w:rsidRPr="00FB18CB" w:rsidRDefault="008E4966" w:rsidP="008A7FF5">
      <w:pPr>
        <w:numPr>
          <w:ilvl w:val="0"/>
          <w:numId w:val="2"/>
        </w:numPr>
        <w:spacing w:before="240"/>
        <w:ind w:left="567" w:hanging="567"/>
        <w:jc w:val="both"/>
        <w:rPr>
          <w:rFonts w:ascii="Book Antiqua" w:hAnsi="Book Antiqua" w:cs="Arial"/>
        </w:rPr>
      </w:pPr>
      <w:r w:rsidRPr="00FB18CB">
        <w:rPr>
          <w:rFonts w:ascii="Book Antiqua" w:hAnsi="Book Antiqua" w:cs="Arial"/>
        </w:rPr>
        <w:t>The matter has been placed before me to consider the responses to Judge Blum’s directions, with a view to either determining the appeal, or giving further directions to aid its subsequent determination.</w:t>
      </w:r>
    </w:p>
    <w:p w:rsidR="008E4966" w:rsidRPr="00FB18CB" w:rsidRDefault="008E4966" w:rsidP="008A7FF5">
      <w:pPr>
        <w:numPr>
          <w:ilvl w:val="0"/>
          <w:numId w:val="2"/>
        </w:numPr>
        <w:spacing w:before="240"/>
        <w:ind w:left="567" w:hanging="567"/>
        <w:jc w:val="both"/>
        <w:rPr>
          <w:rFonts w:ascii="Book Antiqua" w:hAnsi="Book Antiqua" w:cs="Arial"/>
        </w:rPr>
      </w:pPr>
      <w:r w:rsidRPr="00FB18CB">
        <w:rPr>
          <w:rFonts w:ascii="Book Antiqua" w:hAnsi="Book Antiqua" w:cs="Arial"/>
        </w:rPr>
        <w:t xml:space="preserve">My provisional view is that the decision of Judge Cope may feature some </w:t>
      </w:r>
      <w:r w:rsidRPr="00FB18CB">
        <w:rPr>
          <w:rFonts w:ascii="Book Antiqua" w:hAnsi="Book Antiqua" w:cs="Arial"/>
          <w:i/>
          <w:iCs/>
        </w:rPr>
        <w:t>Robinson</w:t>
      </w:r>
      <w:r w:rsidRPr="00FB18CB">
        <w:rPr>
          <w:rFonts w:ascii="Book Antiqua" w:hAnsi="Book Antiqua" w:cs="Arial"/>
        </w:rPr>
        <w:t xml:space="preserve"> obvious errors which, had the matter been listed for a hearing, I would have raised with the parties directly.  As the appellant is a litigant in person who does not speak English, I do not consider that it would be appropriate to list the matter for a remote hearing.  Although some face to face hearings are possible in the Upper Tribunal, they are taking a considerable time to list, and the capacity to hold such hearings is limited.  That means that waiting for a face to face hearing would entail considerable delay.  In turn, that could be incompatible with the overriding objective.  </w:t>
      </w:r>
    </w:p>
    <w:p w:rsidR="008E4966" w:rsidRPr="00FB18CB" w:rsidRDefault="008E4966" w:rsidP="008A7FF5">
      <w:pPr>
        <w:numPr>
          <w:ilvl w:val="0"/>
          <w:numId w:val="2"/>
        </w:numPr>
        <w:spacing w:before="240"/>
        <w:ind w:left="567" w:hanging="567"/>
        <w:jc w:val="both"/>
        <w:rPr>
          <w:rFonts w:ascii="Book Antiqua" w:hAnsi="Book Antiqua" w:cs="Arial"/>
        </w:rPr>
      </w:pPr>
      <w:r>
        <w:rPr>
          <w:rFonts w:ascii="Book Antiqua" w:hAnsi="Book Antiqua" w:cs="Arial"/>
        </w:rPr>
        <w:t xml:space="preserve">I consider that it </w:t>
      </w:r>
      <w:r w:rsidRPr="00FB18CB">
        <w:rPr>
          <w:rFonts w:ascii="Book Antiqua" w:hAnsi="Book Antiqua" w:cs="Arial"/>
        </w:rPr>
        <w:t xml:space="preserve">would be consistent with the overriding objective, in particular with the fairness of the proceedings for both parties, for me to set out my provisional view concerning the additional issues I would invite the respondent to address me upon, in the event the matter was listed for a remote or in-person hearing, and to seek the parties’ observations in response.  </w:t>
      </w:r>
    </w:p>
    <w:p w:rsidR="008E4966" w:rsidRPr="00FB18CB" w:rsidRDefault="008E4966" w:rsidP="008A7FF5">
      <w:pPr>
        <w:numPr>
          <w:ilvl w:val="0"/>
          <w:numId w:val="2"/>
        </w:numPr>
        <w:spacing w:before="240"/>
        <w:ind w:left="567" w:hanging="567"/>
        <w:jc w:val="both"/>
        <w:rPr>
          <w:rFonts w:ascii="Book Antiqua" w:hAnsi="Book Antiqua" w:cs="Arial"/>
        </w:rPr>
      </w:pPr>
      <w:r w:rsidRPr="00FB18CB">
        <w:rPr>
          <w:rFonts w:ascii="Book Antiqua" w:hAnsi="Book Antiqua" w:cs="Arial"/>
        </w:rPr>
        <w:t xml:space="preserve">Accordingly, </w:t>
      </w:r>
      <w:r w:rsidRPr="00073E2F">
        <w:rPr>
          <w:rFonts w:ascii="Book Antiqua" w:hAnsi="Book Antiqua" w:cs="Arial"/>
          <w:b/>
          <w:bCs/>
          <w:u w:val="single"/>
        </w:rPr>
        <w:t>within 14 days of being sent these Directions</w:t>
      </w:r>
      <w:r w:rsidRPr="00FB18CB">
        <w:rPr>
          <w:rFonts w:ascii="Book Antiqua" w:hAnsi="Book Antiqua" w:cs="Arial"/>
        </w:rPr>
        <w:t>, both parties (</w:t>
      </w:r>
      <w:r w:rsidRPr="00FB18CB">
        <w:rPr>
          <w:rFonts w:ascii="Book Antiqua" w:hAnsi="Book Antiqua" w:cs="Arial"/>
          <w:u w:val="single"/>
        </w:rPr>
        <w:t xml:space="preserve">but </w:t>
      </w:r>
      <w:proofErr w:type="gramStart"/>
      <w:r w:rsidRPr="00FB18CB">
        <w:rPr>
          <w:rFonts w:ascii="Book Antiqua" w:hAnsi="Book Antiqua" w:cs="Arial"/>
          <w:u w:val="single"/>
        </w:rPr>
        <w:t>in particular the</w:t>
      </w:r>
      <w:proofErr w:type="gramEnd"/>
      <w:r w:rsidRPr="00FB18CB">
        <w:rPr>
          <w:rFonts w:ascii="Book Antiqua" w:hAnsi="Book Antiqua" w:cs="Arial"/>
          <w:u w:val="single"/>
        </w:rPr>
        <w:t xml:space="preserve"> Secretary of State</w:t>
      </w:r>
      <w:r w:rsidRPr="00FB18CB">
        <w:rPr>
          <w:rFonts w:ascii="Book Antiqua" w:hAnsi="Book Antiqua" w:cs="Arial"/>
        </w:rPr>
        <w:t>) are directed to make written submissions concerning:</w:t>
      </w:r>
    </w:p>
    <w:p w:rsidR="008E4966" w:rsidRPr="00FB18CB" w:rsidRDefault="008E4966" w:rsidP="008A7FF5">
      <w:pPr>
        <w:numPr>
          <w:ilvl w:val="1"/>
          <w:numId w:val="2"/>
        </w:numPr>
        <w:spacing w:before="240"/>
        <w:jc w:val="both"/>
        <w:rPr>
          <w:rFonts w:ascii="Book Antiqua" w:hAnsi="Book Antiqua" w:cs="Arial"/>
        </w:rPr>
      </w:pPr>
      <w:r w:rsidRPr="00FB18CB">
        <w:rPr>
          <w:rFonts w:ascii="Book Antiqua" w:hAnsi="Book Antiqua" w:cs="Arial"/>
        </w:rPr>
        <w:t xml:space="preserve">My preliminary views concerning possible </w:t>
      </w:r>
      <w:r w:rsidRPr="00FB18CB">
        <w:rPr>
          <w:rFonts w:ascii="Book Antiqua" w:hAnsi="Book Antiqua" w:cs="Arial"/>
          <w:i/>
          <w:iCs/>
        </w:rPr>
        <w:t xml:space="preserve">Robinson </w:t>
      </w:r>
      <w:r w:rsidRPr="00FB18CB">
        <w:rPr>
          <w:rFonts w:ascii="Book Antiqua" w:hAnsi="Book Antiqua" w:cs="Arial"/>
        </w:rPr>
        <w:t xml:space="preserve">obvious errors in the decision of Judge Cope, set out at paragraphs </w:t>
      </w:r>
      <w:r w:rsidRPr="00FB18CB">
        <w:rPr>
          <w:rFonts w:ascii="Book Antiqua" w:hAnsi="Book Antiqua" w:cs="Arial"/>
        </w:rPr>
        <w:fldChar w:fldCharType="begin"/>
      </w:r>
      <w:r w:rsidRPr="00FB18CB">
        <w:rPr>
          <w:rFonts w:ascii="Book Antiqua" w:hAnsi="Book Antiqua" w:cs="Arial"/>
        </w:rPr>
        <w:instrText xml:space="preserve"> REF _Ref45725135 \r \h </w:instrText>
      </w:r>
      <w:r>
        <w:rPr>
          <w:rFonts w:ascii="Book Antiqua" w:hAnsi="Book Antiqua" w:cs="Arial"/>
        </w:rPr>
        <w:instrText xml:space="preserve"> \* MERGEFORMAT </w:instrText>
      </w:r>
      <w:r w:rsidRPr="00FB18CB">
        <w:rPr>
          <w:rFonts w:ascii="Book Antiqua" w:hAnsi="Book Antiqua" w:cs="Arial"/>
        </w:rPr>
      </w:r>
      <w:r w:rsidRPr="00FB18CB">
        <w:rPr>
          <w:rFonts w:ascii="Book Antiqua" w:hAnsi="Book Antiqua" w:cs="Arial"/>
        </w:rPr>
        <w:fldChar w:fldCharType="separate"/>
      </w:r>
      <w:r w:rsidR="007C5E4A">
        <w:rPr>
          <w:rFonts w:ascii="Book Antiqua" w:hAnsi="Book Antiqua" w:cs="Arial"/>
        </w:rPr>
        <w:t>7</w:t>
      </w:r>
      <w:r w:rsidRPr="00FB18CB">
        <w:rPr>
          <w:rFonts w:ascii="Book Antiqua" w:hAnsi="Book Antiqua" w:cs="Arial"/>
        </w:rPr>
        <w:fldChar w:fldCharType="end"/>
      </w:r>
      <w:r w:rsidRPr="00FB18CB">
        <w:rPr>
          <w:rFonts w:ascii="Book Antiqua" w:hAnsi="Book Antiqua" w:cs="Arial"/>
        </w:rPr>
        <w:t xml:space="preserve"> to </w:t>
      </w:r>
      <w:r w:rsidRPr="00FB18CB">
        <w:rPr>
          <w:rFonts w:ascii="Book Antiqua" w:hAnsi="Book Antiqua" w:cs="Arial"/>
        </w:rPr>
        <w:fldChar w:fldCharType="begin"/>
      </w:r>
      <w:r w:rsidRPr="00FB18CB">
        <w:rPr>
          <w:rFonts w:ascii="Book Antiqua" w:hAnsi="Book Antiqua" w:cs="Arial"/>
        </w:rPr>
        <w:instrText xml:space="preserve"> REF _Ref45725146 \r \h </w:instrText>
      </w:r>
      <w:r>
        <w:rPr>
          <w:rFonts w:ascii="Book Antiqua" w:hAnsi="Book Antiqua" w:cs="Arial"/>
        </w:rPr>
        <w:instrText xml:space="preserve"> \* MERGEFORMAT </w:instrText>
      </w:r>
      <w:r w:rsidRPr="00FB18CB">
        <w:rPr>
          <w:rFonts w:ascii="Book Antiqua" w:hAnsi="Book Antiqua" w:cs="Arial"/>
        </w:rPr>
      </w:r>
      <w:r w:rsidRPr="00FB18CB">
        <w:rPr>
          <w:rFonts w:ascii="Book Antiqua" w:hAnsi="Book Antiqua" w:cs="Arial"/>
        </w:rPr>
        <w:fldChar w:fldCharType="separate"/>
      </w:r>
      <w:r w:rsidR="007C5E4A">
        <w:rPr>
          <w:rFonts w:ascii="Book Antiqua" w:hAnsi="Book Antiqua" w:cs="Arial"/>
        </w:rPr>
        <w:t>13</w:t>
      </w:r>
      <w:r w:rsidRPr="00FB18CB">
        <w:rPr>
          <w:rFonts w:ascii="Book Antiqua" w:hAnsi="Book Antiqua" w:cs="Arial"/>
        </w:rPr>
        <w:fldChar w:fldCharType="end"/>
      </w:r>
      <w:r w:rsidRPr="00FB18CB">
        <w:rPr>
          <w:rFonts w:ascii="Book Antiqua" w:hAnsi="Book Antiqua" w:cs="Arial"/>
        </w:rPr>
        <w:t>; and</w:t>
      </w:r>
    </w:p>
    <w:p w:rsidR="008E4966" w:rsidRPr="00FB18CB" w:rsidRDefault="008E4966" w:rsidP="008A7FF5">
      <w:pPr>
        <w:numPr>
          <w:ilvl w:val="1"/>
          <w:numId w:val="2"/>
        </w:numPr>
        <w:spacing w:before="240"/>
        <w:jc w:val="both"/>
        <w:rPr>
          <w:rFonts w:ascii="Book Antiqua" w:hAnsi="Book Antiqua" w:cs="Arial"/>
        </w:rPr>
      </w:pPr>
      <w:r w:rsidRPr="00FB18CB">
        <w:rPr>
          <w:rFonts w:ascii="Book Antiqua" w:hAnsi="Book Antiqua" w:cs="Arial"/>
        </w:rPr>
        <w:t xml:space="preserve">Whether the </w:t>
      </w:r>
      <w:r>
        <w:rPr>
          <w:rFonts w:ascii="Book Antiqua" w:hAnsi="Book Antiqua" w:cs="Arial"/>
        </w:rPr>
        <w:t>error of law hearing</w:t>
      </w:r>
      <w:r w:rsidRPr="00FB18CB">
        <w:rPr>
          <w:rFonts w:ascii="Book Antiqua" w:hAnsi="Book Antiqua" w:cs="Arial"/>
        </w:rPr>
        <w:t xml:space="preserve"> can be </w:t>
      </w:r>
      <w:r>
        <w:rPr>
          <w:rFonts w:ascii="Book Antiqua" w:hAnsi="Book Antiqua" w:cs="Arial"/>
        </w:rPr>
        <w:t xml:space="preserve">conducted </w:t>
      </w:r>
      <w:r w:rsidRPr="00FB18CB">
        <w:rPr>
          <w:rFonts w:ascii="Book Antiqua" w:hAnsi="Book Antiqua" w:cs="Arial"/>
        </w:rPr>
        <w:t xml:space="preserve">on the papers, without a further hearing, </w:t>
      </w:r>
      <w:proofErr w:type="gramStart"/>
      <w:r w:rsidRPr="00FB18CB">
        <w:rPr>
          <w:rFonts w:ascii="Book Antiqua" w:hAnsi="Book Antiqua" w:cs="Arial"/>
        </w:rPr>
        <w:t>in light of</w:t>
      </w:r>
      <w:proofErr w:type="gramEnd"/>
      <w:r w:rsidRPr="00FB18CB">
        <w:rPr>
          <w:rFonts w:ascii="Book Antiqua" w:hAnsi="Book Antiqua" w:cs="Arial"/>
        </w:rPr>
        <w:t xml:space="preserve"> the overriding objective and the need to avoid delay, where compatible with proper considerations of the issues and the need for fairness for all parties.</w:t>
      </w:r>
      <w:r>
        <w:rPr>
          <w:rFonts w:ascii="Book Antiqua" w:hAnsi="Book Antiqua" w:cs="Arial"/>
        </w:rPr>
        <w:t xml:space="preserve">  Alternatively, whether it is in the interests of fairness and justice for a hearing to be held, whether remote or face to face.</w:t>
      </w:r>
    </w:p>
    <w:p w:rsidR="008E4966" w:rsidRPr="00FB18CB" w:rsidRDefault="008E4966" w:rsidP="008E4966">
      <w:pPr>
        <w:jc w:val="both"/>
        <w:rPr>
          <w:rFonts w:ascii="Book Antiqua" w:hAnsi="Book Antiqua" w:cs="Arial"/>
          <w:i/>
        </w:rPr>
      </w:pPr>
    </w:p>
    <w:p w:rsidR="008E4966" w:rsidRPr="00FB18CB" w:rsidRDefault="008E4966" w:rsidP="008E4966">
      <w:pPr>
        <w:ind w:left="567"/>
        <w:jc w:val="both"/>
        <w:rPr>
          <w:rFonts w:ascii="Book Antiqua" w:hAnsi="Book Antiqua" w:cs="Arial"/>
          <w:iCs/>
        </w:rPr>
      </w:pPr>
      <w:r w:rsidRPr="00FB18CB">
        <w:rPr>
          <w:rFonts w:ascii="Book Antiqua" w:hAnsi="Book Antiqua" w:cs="Arial"/>
          <w:iCs/>
        </w:rPr>
        <w:t>The Parties should note that I do not invite further submissions concerning the observations of Judge Shaerf when granting permission to appeal.  The respondent has already submitted her position in relation to those issues, for which I am grateful.</w:t>
      </w:r>
    </w:p>
    <w:p w:rsidR="008E4966" w:rsidRPr="00FB18CB" w:rsidRDefault="008E4966" w:rsidP="008E4966">
      <w:pPr>
        <w:jc w:val="both"/>
        <w:rPr>
          <w:rFonts w:ascii="Book Antiqua" w:hAnsi="Book Antiqua" w:cs="Arial"/>
          <w:i/>
        </w:rPr>
      </w:pPr>
    </w:p>
    <w:p w:rsidR="008E4966" w:rsidRPr="00FB18CB" w:rsidRDefault="008E4966" w:rsidP="008E4966">
      <w:pPr>
        <w:jc w:val="both"/>
        <w:rPr>
          <w:rFonts w:ascii="Book Antiqua" w:hAnsi="Book Antiqua" w:cs="Arial"/>
          <w:i/>
        </w:rPr>
      </w:pPr>
      <w:r w:rsidRPr="00FB18CB">
        <w:rPr>
          <w:rFonts w:ascii="Book Antiqua" w:hAnsi="Book Antiqua" w:cs="Arial"/>
          <w:i/>
        </w:rPr>
        <w:t>Preliminary observations</w:t>
      </w:r>
    </w:p>
    <w:p w:rsidR="008E4966" w:rsidRPr="00FB18CB" w:rsidRDefault="008E4966" w:rsidP="008A7FF5">
      <w:pPr>
        <w:numPr>
          <w:ilvl w:val="0"/>
          <w:numId w:val="2"/>
        </w:numPr>
        <w:spacing w:before="240"/>
        <w:ind w:left="567" w:hanging="567"/>
        <w:jc w:val="both"/>
        <w:rPr>
          <w:rFonts w:ascii="Book Antiqua" w:hAnsi="Book Antiqua" w:cs="Arial"/>
          <w:iCs/>
        </w:rPr>
      </w:pPr>
      <w:bookmarkStart w:id="8" w:name="_Ref45725135"/>
      <w:r w:rsidRPr="00FB18CB">
        <w:rPr>
          <w:rFonts w:ascii="Book Antiqua" w:hAnsi="Book Antiqua" w:cs="Arial"/>
        </w:rPr>
        <w:t>The</w:t>
      </w:r>
      <w:r w:rsidRPr="00FB18CB">
        <w:rPr>
          <w:rFonts w:ascii="Book Antiqua" w:hAnsi="Book Antiqua" w:cs="Arial"/>
          <w:iCs/>
        </w:rPr>
        <w:t xml:space="preserve"> judge had significant credibility concerns arising from the contents of a statement the appellant made in July 2018, which formed part of her initial application for asylum.  Parts of the statement undermined the remaining aspects of her case, mainly due to inconsistencies in the dates of the account given by the appellant in the statement, when compared to the remaining (and largely consistent) accounts she gave elsewhere.  The appellant attributed the errors to interpreter dialect problems, and the fact it was presented to her for signing without being read back to her in a language she understood.  Before addressing the details of the remaining </w:t>
      </w:r>
      <w:r w:rsidR="008A7FF5" w:rsidRPr="00FB18CB">
        <w:rPr>
          <w:rFonts w:ascii="Book Antiqua" w:hAnsi="Book Antiqua" w:cs="Arial"/>
          <w:iCs/>
        </w:rPr>
        <w:t>accounts,</w:t>
      </w:r>
      <w:r w:rsidRPr="00FB18CB">
        <w:rPr>
          <w:rFonts w:ascii="Book Antiqua" w:hAnsi="Book Antiqua" w:cs="Arial"/>
          <w:iCs/>
        </w:rPr>
        <w:t xml:space="preserve"> the appellant had given, the judge made discreet findings concerning the credibility of the appellant’s account concerning the alleged poor performance by her previous solicitors: see [37] to [41].  Having done so, the judge (at [42] and following) proceeded to examine the remaining aspects of the case.</w:t>
      </w:r>
      <w:bookmarkEnd w:id="8"/>
      <w:r w:rsidRPr="00FB18CB">
        <w:rPr>
          <w:rFonts w:ascii="Book Antiqua" w:hAnsi="Book Antiqua" w:cs="Arial"/>
          <w:iCs/>
        </w:rPr>
        <w:t xml:space="preserve">  </w:t>
      </w:r>
    </w:p>
    <w:p w:rsidR="008E4966" w:rsidRDefault="008E4966" w:rsidP="008A7FF5">
      <w:pPr>
        <w:numPr>
          <w:ilvl w:val="0"/>
          <w:numId w:val="2"/>
        </w:numPr>
        <w:spacing w:before="240"/>
        <w:ind w:left="567" w:hanging="567"/>
        <w:jc w:val="both"/>
        <w:rPr>
          <w:rFonts w:ascii="Book Antiqua" w:hAnsi="Book Antiqua" w:cs="Arial"/>
          <w:iCs/>
        </w:rPr>
      </w:pPr>
      <w:r w:rsidRPr="00FB18CB">
        <w:rPr>
          <w:rFonts w:ascii="Book Antiqua" w:hAnsi="Book Antiqua" w:cs="Arial"/>
          <w:iCs/>
        </w:rPr>
        <w:t xml:space="preserve">Accordingly, the judge appeared to have reached findings concerning the credibility of the appellant’s explanation for the July 2018 statement deficiencies, </w:t>
      </w:r>
      <w:r w:rsidRPr="00FB18CB">
        <w:rPr>
          <w:rFonts w:ascii="Book Antiqua" w:hAnsi="Book Antiqua" w:cs="Arial"/>
          <w:i/>
        </w:rPr>
        <w:t>before</w:t>
      </w:r>
      <w:r w:rsidRPr="00FB18CB">
        <w:rPr>
          <w:rFonts w:ascii="Book Antiqua" w:hAnsi="Book Antiqua" w:cs="Arial"/>
          <w:iCs/>
        </w:rPr>
        <w:t xml:space="preserve"> addressing the wider evidence in the case.  So much appears to be clear from [48] where the judge again rejects the appellant’s explanations for the inconsistencies in her account</w:t>
      </w:r>
      <w:r>
        <w:rPr>
          <w:rFonts w:ascii="Book Antiqua" w:hAnsi="Book Antiqua" w:cs="Arial"/>
          <w:iCs/>
        </w:rPr>
        <w:t>:</w:t>
      </w:r>
    </w:p>
    <w:p w:rsidR="008E4966" w:rsidRPr="00F540AB" w:rsidRDefault="008E4966" w:rsidP="008E4966">
      <w:pPr>
        <w:spacing w:before="240"/>
        <w:ind w:left="1134"/>
        <w:jc w:val="both"/>
        <w:rPr>
          <w:rFonts w:ascii="Book Antiqua" w:hAnsi="Book Antiqua" w:cs="Arial"/>
          <w:iCs/>
          <w:sz w:val="22"/>
          <w:szCs w:val="22"/>
        </w:rPr>
      </w:pPr>
      <w:r w:rsidRPr="00F540AB">
        <w:rPr>
          <w:rFonts w:ascii="Book Antiqua" w:hAnsi="Book Antiqua" w:cs="Arial"/>
          <w:iCs/>
          <w:sz w:val="22"/>
          <w:szCs w:val="22"/>
        </w:rPr>
        <w:t>“given that I have not accepted that it has been shown that the statement was not read back to the appellant before signing it or that it was not translated to her in Kurdish Sorani…”</w:t>
      </w:r>
    </w:p>
    <w:p w:rsidR="008E4966" w:rsidRPr="00FB18CB" w:rsidRDefault="008E4966" w:rsidP="008A7FF5">
      <w:pPr>
        <w:numPr>
          <w:ilvl w:val="0"/>
          <w:numId w:val="2"/>
        </w:numPr>
        <w:spacing w:before="240"/>
        <w:ind w:left="567" w:hanging="567"/>
        <w:jc w:val="both"/>
        <w:rPr>
          <w:rFonts w:ascii="Book Antiqua" w:hAnsi="Book Antiqua" w:cs="Arial"/>
          <w:iCs/>
        </w:rPr>
      </w:pPr>
      <w:r w:rsidRPr="00FB18CB">
        <w:rPr>
          <w:rFonts w:ascii="Book Antiqua" w:hAnsi="Book Antiqua" w:cs="Arial"/>
          <w:iCs/>
        </w:rPr>
        <w:t>I invite the parties</w:t>
      </w:r>
      <w:r>
        <w:rPr>
          <w:rFonts w:ascii="Book Antiqua" w:hAnsi="Book Antiqua" w:cs="Arial"/>
          <w:iCs/>
        </w:rPr>
        <w:t>’</w:t>
      </w:r>
      <w:r w:rsidRPr="00FB18CB">
        <w:rPr>
          <w:rFonts w:ascii="Book Antiqua" w:hAnsi="Book Antiqua" w:cs="Arial"/>
          <w:iCs/>
        </w:rPr>
        <w:t xml:space="preserve"> submissions as to whether the judge fell into the trap identified in </w:t>
      </w:r>
      <w:proofErr w:type="spellStart"/>
      <w:r w:rsidRPr="00FB18CB">
        <w:rPr>
          <w:rFonts w:ascii="Book Antiqua" w:hAnsi="Book Antiqua" w:cs="Arial"/>
          <w:u w:val="single"/>
        </w:rPr>
        <w:t>Mibanga</w:t>
      </w:r>
      <w:proofErr w:type="spellEnd"/>
      <w:r w:rsidRPr="00FB18CB">
        <w:rPr>
          <w:rFonts w:ascii="Book Antiqua" w:hAnsi="Book Antiqua" w:cs="Arial"/>
          <w:u w:val="single"/>
        </w:rPr>
        <w:t xml:space="preserve"> v Secretary of State for the Home Department</w:t>
      </w:r>
      <w:r w:rsidRPr="00FB18CB">
        <w:rPr>
          <w:rFonts w:ascii="Book Antiqua" w:hAnsi="Book Antiqua" w:cs="Arial"/>
        </w:rPr>
        <w:t xml:space="preserve"> [2005] EWCA </w:t>
      </w:r>
      <w:proofErr w:type="spellStart"/>
      <w:r w:rsidRPr="00FB18CB">
        <w:rPr>
          <w:rFonts w:ascii="Book Antiqua" w:hAnsi="Book Antiqua" w:cs="Arial"/>
        </w:rPr>
        <w:t>Civ</w:t>
      </w:r>
      <w:proofErr w:type="spellEnd"/>
      <w:r w:rsidRPr="00FB18CB">
        <w:rPr>
          <w:rFonts w:ascii="Book Antiqua" w:hAnsi="Book Antiqua" w:cs="Arial"/>
        </w:rPr>
        <w:t xml:space="preserve"> 367.</w:t>
      </w:r>
      <w:r w:rsidRPr="00FB18CB">
        <w:rPr>
          <w:rFonts w:ascii="Book Antiqua" w:hAnsi="Book Antiqua" w:cs="Arial"/>
          <w:iCs/>
        </w:rPr>
        <w:t xml:space="preserve">  </w:t>
      </w:r>
      <w:r>
        <w:rPr>
          <w:rFonts w:ascii="Book Antiqua" w:hAnsi="Book Antiqua" w:cs="Arial"/>
        </w:rPr>
        <w:t xml:space="preserve">My preliminary view is that </w:t>
      </w:r>
      <w:r w:rsidRPr="00FB18CB">
        <w:rPr>
          <w:rFonts w:ascii="Book Antiqua" w:hAnsi="Book Antiqua" w:cs="Arial"/>
        </w:rPr>
        <w:t xml:space="preserve">the judge appeared to have rejected one limb of the appellant’s case before considering the remaining limbs of it, rejecting those subsequent aspects of the case on account of his initial rejection of the appellant’s account concerning the July 2018 statement.  See, for example, </w:t>
      </w:r>
      <w:r>
        <w:rPr>
          <w:rFonts w:ascii="Book Antiqua" w:hAnsi="Book Antiqua" w:cs="Arial"/>
        </w:rPr>
        <w:t xml:space="preserve">the approach of </w:t>
      </w:r>
      <w:proofErr w:type="spellStart"/>
      <w:r w:rsidRPr="00FB18CB">
        <w:rPr>
          <w:rFonts w:ascii="Book Antiqua" w:hAnsi="Book Antiqua" w:cs="Arial"/>
          <w:u w:val="single"/>
        </w:rPr>
        <w:t>Mibanga</w:t>
      </w:r>
      <w:proofErr w:type="spellEnd"/>
      <w:r w:rsidRPr="00FB18CB">
        <w:rPr>
          <w:rFonts w:ascii="Book Antiqua" w:hAnsi="Book Antiqua" w:cs="Arial"/>
        </w:rPr>
        <w:t xml:space="preserve"> at [24]</w:t>
      </w:r>
      <w:r>
        <w:rPr>
          <w:rFonts w:ascii="Book Antiqua" w:hAnsi="Book Antiqua" w:cs="Arial"/>
        </w:rPr>
        <w:t xml:space="preserve"> to such an approach to the consideration of evidence</w:t>
      </w:r>
      <w:r w:rsidRPr="00FB18CB">
        <w:rPr>
          <w:rFonts w:ascii="Book Antiqua" w:hAnsi="Book Antiqua" w:cs="Arial"/>
        </w:rPr>
        <w:t xml:space="preserve">: </w:t>
      </w:r>
    </w:p>
    <w:p w:rsidR="008E4966" w:rsidRPr="00FB18CB" w:rsidRDefault="008E4966" w:rsidP="008E4966">
      <w:pPr>
        <w:spacing w:before="240"/>
        <w:ind w:left="1134"/>
        <w:jc w:val="both"/>
        <w:rPr>
          <w:rFonts w:ascii="Book Antiqua" w:hAnsi="Book Antiqua" w:cs="Arial"/>
          <w:sz w:val="22"/>
          <w:szCs w:val="22"/>
        </w:rPr>
      </w:pPr>
      <w:r w:rsidRPr="00FB18CB">
        <w:rPr>
          <w:rFonts w:ascii="Book Antiqua" w:hAnsi="Book Antiqua" w:cs="Arial"/>
          <w:sz w:val="22"/>
          <w:szCs w:val="22"/>
        </w:rPr>
        <w:t>“It seems to me to be axiomatic that a fact-finder must not reach his or her conclusion before surveying all the evidence relevant thereto.”</w:t>
      </w:r>
    </w:p>
    <w:p w:rsidR="008E4966" w:rsidRPr="00FB18CB" w:rsidRDefault="008E4966" w:rsidP="008A7FF5">
      <w:pPr>
        <w:numPr>
          <w:ilvl w:val="0"/>
          <w:numId w:val="2"/>
        </w:numPr>
        <w:spacing w:before="240"/>
        <w:ind w:left="567" w:hanging="567"/>
        <w:jc w:val="both"/>
        <w:rPr>
          <w:rFonts w:ascii="Book Antiqua" w:hAnsi="Book Antiqua" w:cs="Arial"/>
          <w:iCs/>
        </w:rPr>
      </w:pPr>
      <w:r w:rsidRPr="00FB18CB">
        <w:rPr>
          <w:rFonts w:ascii="Book Antiqua" w:hAnsi="Book Antiqua" w:cs="Arial"/>
          <w:iCs/>
        </w:rPr>
        <w:t>I also invite the parties’ submissions as to whether the judge’s own approach to the explanation concerning the July 2018 statement proffered by the appellant was itself flawed.</w:t>
      </w:r>
    </w:p>
    <w:p w:rsidR="008E4966" w:rsidRPr="00FB18CB" w:rsidRDefault="008E4966" w:rsidP="008A7FF5">
      <w:pPr>
        <w:numPr>
          <w:ilvl w:val="0"/>
          <w:numId w:val="2"/>
        </w:numPr>
        <w:spacing w:before="240"/>
        <w:ind w:left="567" w:hanging="567"/>
        <w:jc w:val="both"/>
        <w:rPr>
          <w:rFonts w:ascii="Book Antiqua" w:hAnsi="Book Antiqua" w:cs="Arial"/>
        </w:rPr>
      </w:pPr>
      <w:r w:rsidRPr="00FB18CB">
        <w:rPr>
          <w:rFonts w:ascii="Book Antiqua" w:hAnsi="Book Antiqua" w:cs="Arial"/>
        </w:rPr>
        <w:t xml:space="preserve">The judge opened [48] by noting that the appellant’s explanation for the linguistic difficulties she claimed to have experienced when giving the July 2018 statement “may be a possibility”.  He made a similar observation at [41]: “I acknowledge that it is possible that the appellant’s previous solicitors did not accurately reflect in their drafting of the initial statement what she had told them…”  Bearing in mind the lower standard of proof applicable to protection appeals, the judge’s acknowledgement of the “possibility” that there had been interpreter problems with the dialect of the interpreter provided by the appellant’s initial solicitors may have rendered his conclusion that it was “not reasonably likely” that she had experienced the difficulties she claimed an irrational one (see [41]).  The lower standard of proof admits of uncertainty of the sort at play in this case.  A finding that something may have been possible is difficult to reconcile with a parallel finding that the very same event was not reasonably likely to have taken place.  </w:t>
      </w:r>
      <w:r>
        <w:rPr>
          <w:rFonts w:ascii="Book Antiqua" w:hAnsi="Book Antiqua" w:cs="Arial"/>
        </w:rPr>
        <w:t xml:space="preserve">Merely not demonstrating that something was not reasonably likely to have taken place does not mean it was reasonably likely </w:t>
      </w:r>
      <w:r>
        <w:rPr>
          <w:rFonts w:ascii="Book Antiqua" w:hAnsi="Book Antiqua" w:cs="Arial"/>
          <w:i/>
          <w:iCs/>
        </w:rPr>
        <w:t xml:space="preserve">not </w:t>
      </w:r>
      <w:r>
        <w:rPr>
          <w:rFonts w:ascii="Book Antiqua" w:hAnsi="Book Antiqua" w:cs="Arial"/>
        </w:rPr>
        <w:t xml:space="preserve">to have taken place.  </w:t>
      </w:r>
      <w:r w:rsidRPr="00FB18CB">
        <w:rPr>
          <w:rFonts w:ascii="Book Antiqua" w:hAnsi="Book Antiqua" w:cs="Arial"/>
        </w:rPr>
        <w:t>I invite the parties’ representations on this issue, too.</w:t>
      </w:r>
    </w:p>
    <w:p w:rsidR="008E4966" w:rsidRPr="00FB18CB" w:rsidRDefault="008E4966" w:rsidP="008A7FF5">
      <w:pPr>
        <w:numPr>
          <w:ilvl w:val="0"/>
          <w:numId w:val="2"/>
        </w:numPr>
        <w:spacing w:before="240"/>
        <w:ind w:left="567" w:hanging="567"/>
        <w:jc w:val="both"/>
        <w:rPr>
          <w:rFonts w:ascii="Book Antiqua" w:hAnsi="Book Antiqua" w:cs="Arial"/>
          <w:iCs/>
        </w:rPr>
      </w:pPr>
      <w:r w:rsidRPr="00FB18CB">
        <w:rPr>
          <w:rFonts w:ascii="Book Antiqua" w:hAnsi="Book Antiqua" w:cs="Arial"/>
          <w:iCs/>
        </w:rPr>
        <w:t xml:space="preserve">I also invite the parties’ submissions concerning the judge’s assessment of the plausibility of certain aspects of the appellant’s account.  I note that the judge found that, in broad terms, her account of honour crime and the threat of forced marriage was consistent with the background materials, and therefore plausible: see [24] and [25].  However, at [55] to [58] the judge made significant plausibility-based findings that were </w:t>
      </w:r>
      <w:proofErr w:type="gramStart"/>
      <w:r w:rsidRPr="00FB18CB">
        <w:rPr>
          <w:rFonts w:ascii="Book Antiqua" w:hAnsi="Book Antiqua" w:cs="Arial"/>
          <w:iCs/>
        </w:rPr>
        <w:t>adverse</w:t>
      </w:r>
      <w:proofErr w:type="gramEnd"/>
      <w:r w:rsidRPr="00FB18CB">
        <w:rPr>
          <w:rFonts w:ascii="Book Antiqua" w:hAnsi="Book Antiqua" w:cs="Arial"/>
          <w:iCs/>
        </w:rPr>
        <w:t xml:space="preserve"> to the appellant.  I invite the parties’ submissions as to whether the judge impermissibly strayed into the territory of recharacterizing the appellant’s risk profile based on his own experience of what was reasonable.</w:t>
      </w:r>
      <w:r>
        <w:rPr>
          <w:rFonts w:ascii="Book Antiqua" w:hAnsi="Book Antiqua" w:cs="Arial"/>
          <w:iCs/>
        </w:rPr>
        <w:t xml:space="preserve">  My provisional view is that it is not clear how a judge sitting in North Shields could purport to know what a young Kurdish woman fleeing honour crime would know, think or do at the relevant times, nor what the likely approaches would be of those she would necessarily engage with during the </w:t>
      </w:r>
      <w:proofErr w:type="gramStart"/>
      <w:r>
        <w:rPr>
          <w:rFonts w:ascii="Book Antiqua" w:hAnsi="Book Antiqua" w:cs="Arial"/>
          <w:iCs/>
        </w:rPr>
        <w:t>process .</w:t>
      </w:r>
      <w:proofErr w:type="gramEnd"/>
    </w:p>
    <w:p w:rsidR="008E4966" w:rsidRPr="00FB18CB" w:rsidRDefault="008E4966" w:rsidP="008A7FF5">
      <w:pPr>
        <w:numPr>
          <w:ilvl w:val="0"/>
          <w:numId w:val="2"/>
        </w:numPr>
        <w:spacing w:before="240"/>
        <w:ind w:left="567" w:hanging="567"/>
        <w:jc w:val="both"/>
        <w:rPr>
          <w:rFonts w:ascii="Book Antiqua" w:hAnsi="Book Antiqua" w:cs="Arial"/>
          <w:iCs/>
        </w:rPr>
      </w:pPr>
      <w:bookmarkStart w:id="9" w:name="_Ref45725146"/>
      <w:r w:rsidRPr="00FB18CB">
        <w:rPr>
          <w:rFonts w:ascii="Book Antiqua" w:hAnsi="Book Antiqua" w:cs="Arial"/>
          <w:iCs/>
        </w:rPr>
        <w:t xml:space="preserve">The parties may wish to consider </w:t>
      </w:r>
      <w:r w:rsidRPr="00FB18CB">
        <w:rPr>
          <w:rFonts w:ascii="Book Antiqua" w:hAnsi="Book Antiqua" w:cs="Arial"/>
          <w:u w:val="single"/>
        </w:rPr>
        <w:t>HK v Secretary of State for the Home Department</w:t>
      </w:r>
      <w:r w:rsidRPr="00FB18CB">
        <w:rPr>
          <w:rFonts w:ascii="Book Antiqua" w:hAnsi="Book Antiqua" w:cs="Arial"/>
        </w:rPr>
        <w:t xml:space="preserve"> [2006] EWCA </w:t>
      </w:r>
      <w:proofErr w:type="spellStart"/>
      <w:r w:rsidRPr="00FB18CB">
        <w:rPr>
          <w:rFonts w:ascii="Book Antiqua" w:hAnsi="Book Antiqua" w:cs="Arial"/>
        </w:rPr>
        <w:t>Civ</w:t>
      </w:r>
      <w:proofErr w:type="spellEnd"/>
      <w:r w:rsidRPr="00FB18CB">
        <w:rPr>
          <w:rFonts w:ascii="Book Antiqua" w:hAnsi="Book Antiqua" w:cs="Arial"/>
        </w:rPr>
        <w:t xml:space="preserve"> 1037 at [29] and following and </w:t>
      </w:r>
      <w:r w:rsidRPr="00FB18CB">
        <w:rPr>
          <w:rFonts w:ascii="Book Antiqua" w:hAnsi="Book Antiqua" w:cs="Arial"/>
          <w:u w:val="single"/>
        </w:rPr>
        <w:t>Y v Secretary of State for the Home Department</w:t>
      </w:r>
      <w:r w:rsidRPr="00FB18CB">
        <w:rPr>
          <w:rFonts w:ascii="Book Antiqua" w:hAnsi="Book Antiqua" w:cs="Arial"/>
        </w:rPr>
        <w:t xml:space="preserve"> [2006] EWCA </w:t>
      </w:r>
      <w:proofErr w:type="spellStart"/>
      <w:r w:rsidRPr="00FB18CB">
        <w:rPr>
          <w:rFonts w:ascii="Book Antiqua" w:hAnsi="Book Antiqua" w:cs="Arial"/>
        </w:rPr>
        <w:t>Civ</w:t>
      </w:r>
      <w:proofErr w:type="spellEnd"/>
      <w:r w:rsidRPr="00FB18CB">
        <w:rPr>
          <w:rFonts w:ascii="Book Antiqua" w:hAnsi="Book Antiqua" w:cs="Arial"/>
        </w:rPr>
        <w:t xml:space="preserve"> 1223 at [25] and following.</w:t>
      </w:r>
      <w:bookmarkEnd w:id="9"/>
    </w:p>
    <w:p w:rsidR="008E4966" w:rsidRPr="00FB18CB" w:rsidRDefault="008E4966" w:rsidP="008E4966">
      <w:pPr>
        <w:jc w:val="both"/>
        <w:rPr>
          <w:rFonts w:ascii="Book Antiqua" w:hAnsi="Book Antiqua" w:cs="Arial"/>
          <w:i/>
        </w:rPr>
      </w:pPr>
    </w:p>
    <w:p w:rsidR="008E4966" w:rsidRPr="00FB18CB" w:rsidRDefault="008E4966" w:rsidP="008E4966">
      <w:pPr>
        <w:jc w:val="both"/>
        <w:rPr>
          <w:rFonts w:ascii="Book Antiqua" w:hAnsi="Book Antiqua" w:cs="Arial"/>
          <w:b/>
          <w:bCs/>
          <w:iCs/>
        </w:rPr>
      </w:pPr>
    </w:p>
    <w:p w:rsidR="008E4966" w:rsidRPr="00FB18CB" w:rsidRDefault="008E4966" w:rsidP="008E4966">
      <w:pPr>
        <w:jc w:val="both"/>
        <w:rPr>
          <w:rFonts w:ascii="Book Antiqua" w:hAnsi="Book Antiqua" w:cs="Arial"/>
          <w:b/>
          <w:bCs/>
          <w:iCs/>
        </w:rPr>
      </w:pPr>
      <w:r w:rsidRPr="00FB18CB">
        <w:rPr>
          <w:rFonts w:ascii="Book Antiqua" w:hAnsi="Book Antiqua" w:cs="Arial"/>
          <w:b/>
          <w:bCs/>
          <w:iCs/>
        </w:rPr>
        <w:t xml:space="preserve">DIRECTIONS </w:t>
      </w:r>
    </w:p>
    <w:p w:rsidR="008E4966" w:rsidRPr="00FB18CB" w:rsidRDefault="008E4966" w:rsidP="008E4966">
      <w:pPr>
        <w:spacing w:before="240"/>
        <w:jc w:val="both"/>
        <w:rPr>
          <w:rFonts w:ascii="Book Antiqua" w:hAnsi="Book Antiqua" w:cs="Arial"/>
          <w:b/>
          <w:bCs/>
        </w:rPr>
      </w:pPr>
      <w:r w:rsidRPr="00FB18CB">
        <w:rPr>
          <w:rFonts w:ascii="Book Antiqua" w:hAnsi="Book Antiqua" w:cs="Arial"/>
          <w:b/>
          <w:bCs/>
        </w:rPr>
        <w:t>Within 14 days of being sent these Directions, both parties (</w:t>
      </w:r>
      <w:r w:rsidRPr="00FB18CB">
        <w:rPr>
          <w:rFonts w:ascii="Book Antiqua" w:hAnsi="Book Antiqua" w:cs="Arial"/>
          <w:b/>
          <w:bCs/>
          <w:u w:val="single"/>
        </w:rPr>
        <w:t xml:space="preserve">but </w:t>
      </w:r>
      <w:proofErr w:type="gramStart"/>
      <w:r w:rsidRPr="00FB18CB">
        <w:rPr>
          <w:rFonts w:ascii="Book Antiqua" w:hAnsi="Book Antiqua" w:cs="Arial"/>
          <w:b/>
          <w:bCs/>
          <w:u w:val="single"/>
        </w:rPr>
        <w:t>in particular the</w:t>
      </w:r>
      <w:proofErr w:type="gramEnd"/>
      <w:r w:rsidRPr="00FB18CB">
        <w:rPr>
          <w:rFonts w:ascii="Book Antiqua" w:hAnsi="Book Antiqua" w:cs="Arial"/>
          <w:b/>
          <w:bCs/>
          <w:u w:val="single"/>
        </w:rPr>
        <w:t xml:space="preserve"> Secretary of State</w:t>
      </w:r>
      <w:r w:rsidRPr="00FB18CB">
        <w:rPr>
          <w:rFonts w:ascii="Book Antiqua" w:hAnsi="Book Antiqua" w:cs="Arial"/>
          <w:b/>
          <w:bCs/>
        </w:rPr>
        <w:t>) are directed to make written submissions concerning:</w:t>
      </w:r>
    </w:p>
    <w:p w:rsidR="008E4966" w:rsidRPr="00F540AB" w:rsidRDefault="008E4966" w:rsidP="008A7FF5">
      <w:pPr>
        <w:numPr>
          <w:ilvl w:val="1"/>
          <w:numId w:val="2"/>
        </w:numPr>
        <w:spacing w:before="240"/>
        <w:jc w:val="both"/>
        <w:rPr>
          <w:rFonts w:ascii="Book Antiqua" w:hAnsi="Book Antiqua" w:cs="Arial"/>
          <w:b/>
          <w:bCs/>
        </w:rPr>
      </w:pPr>
      <w:r w:rsidRPr="00F540AB">
        <w:rPr>
          <w:rFonts w:ascii="Book Antiqua" w:hAnsi="Book Antiqua" w:cs="Arial"/>
          <w:b/>
          <w:bCs/>
        </w:rPr>
        <w:t xml:space="preserve">My preliminary views concerning possible </w:t>
      </w:r>
      <w:r w:rsidRPr="00F540AB">
        <w:rPr>
          <w:rFonts w:ascii="Book Antiqua" w:hAnsi="Book Antiqua" w:cs="Arial"/>
          <w:b/>
          <w:bCs/>
          <w:i/>
          <w:iCs/>
        </w:rPr>
        <w:t xml:space="preserve">Robinson </w:t>
      </w:r>
      <w:r w:rsidRPr="00F540AB">
        <w:rPr>
          <w:rFonts w:ascii="Book Antiqua" w:hAnsi="Book Antiqua" w:cs="Arial"/>
          <w:b/>
          <w:bCs/>
        </w:rPr>
        <w:t xml:space="preserve">obvious errors in the decision of Judge Cope, set out at paragraphs </w:t>
      </w:r>
      <w:r w:rsidRPr="00F540AB">
        <w:rPr>
          <w:rFonts w:ascii="Book Antiqua" w:hAnsi="Book Antiqua" w:cs="Arial"/>
          <w:b/>
          <w:bCs/>
        </w:rPr>
        <w:fldChar w:fldCharType="begin"/>
      </w:r>
      <w:r w:rsidRPr="00F540AB">
        <w:rPr>
          <w:rFonts w:ascii="Book Antiqua" w:hAnsi="Book Antiqua" w:cs="Arial"/>
          <w:b/>
          <w:bCs/>
        </w:rPr>
        <w:instrText xml:space="preserve"> REF _Ref45725135 \r \h  \* MERGEFORMAT </w:instrText>
      </w:r>
      <w:r w:rsidRPr="00F540AB">
        <w:rPr>
          <w:rFonts w:ascii="Book Antiqua" w:hAnsi="Book Antiqua" w:cs="Arial"/>
          <w:b/>
          <w:bCs/>
        </w:rPr>
      </w:r>
      <w:r w:rsidRPr="00F540AB">
        <w:rPr>
          <w:rFonts w:ascii="Book Antiqua" w:hAnsi="Book Antiqua" w:cs="Arial"/>
          <w:b/>
          <w:bCs/>
        </w:rPr>
        <w:fldChar w:fldCharType="separate"/>
      </w:r>
      <w:r w:rsidR="007C5E4A">
        <w:rPr>
          <w:rFonts w:ascii="Book Antiqua" w:hAnsi="Book Antiqua" w:cs="Arial"/>
          <w:b/>
          <w:bCs/>
        </w:rPr>
        <w:t>7</w:t>
      </w:r>
      <w:r w:rsidRPr="00F540AB">
        <w:rPr>
          <w:rFonts w:ascii="Book Antiqua" w:hAnsi="Book Antiqua" w:cs="Arial"/>
          <w:b/>
          <w:bCs/>
        </w:rPr>
        <w:fldChar w:fldCharType="end"/>
      </w:r>
      <w:r w:rsidRPr="00F540AB">
        <w:rPr>
          <w:rFonts w:ascii="Book Antiqua" w:hAnsi="Book Antiqua" w:cs="Arial"/>
          <w:b/>
          <w:bCs/>
        </w:rPr>
        <w:t xml:space="preserve"> to </w:t>
      </w:r>
      <w:r w:rsidRPr="00F540AB">
        <w:rPr>
          <w:rFonts w:ascii="Book Antiqua" w:hAnsi="Book Antiqua" w:cs="Arial"/>
          <w:b/>
          <w:bCs/>
        </w:rPr>
        <w:fldChar w:fldCharType="begin"/>
      </w:r>
      <w:r w:rsidRPr="00F540AB">
        <w:rPr>
          <w:rFonts w:ascii="Book Antiqua" w:hAnsi="Book Antiqua" w:cs="Arial"/>
          <w:b/>
          <w:bCs/>
        </w:rPr>
        <w:instrText xml:space="preserve"> REF _Ref45725146 \r \h  \* MERGEFORMAT </w:instrText>
      </w:r>
      <w:r w:rsidRPr="00F540AB">
        <w:rPr>
          <w:rFonts w:ascii="Book Antiqua" w:hAnsi="Book Antiqua" w:cs="Arial"/>
          <w:b/>
          <w:bCs/>
        </w:rPr>
      </w:r>
      <w:r w:rsidRPr="00F540AB">
        <w:rPr>
          <w:rFonts w:ascii="Book Antiqua" w:hAnsi="Book Antiqua" w:cs="Arial"/>
          <w:b/>
          <w:bCs/>
        </w:rPr>
        <w:fldChar w:fldCharType="separate"/>
      </w:r>
      <w:r w:rsidR="007C5E4A">
        <w:rPr>
          <w:rFonts w:ascii="Book Antiqua" w:hAnsi="Book Antiqua" w:cs="Arial"/>
          <w:b/>
          <w:bCs/>
        </w:rPr>
        <w:t>13</w:t>
      </w:r>
      <w:r w:rsidRPr="00F540AB">
        <w:rPr>
          <w:rFonts w:ascii="Book Antiqua" w:hAnsi="Book Antiqua" w:cs="Arial"/>
          <w:b/>
          <w:bCs/>
        </w:rPr>
        <w:fldChar w:fldCharType="end"/>
      </w:r>
      <w:r w:rsidRPr="00F540AB">
        <w:rPr>
          <w:rFonts w:ascii="Book Antiqua" w:hAnsi="Book Antiqua" w:cs="Arial"/>
          <w:b/>
          <w:bCs/>
        </w:rPr>
        <w:t>; and</w:t>
      </w:r>
    </w:p>
    <w:p w:rsidR="008E4966" w:rsidRPr="00F540AB" w:rsidRDefault="008E4966" w:rsidP="008A7FF5">
      <w:pPr>
        <w:numPr>
          <w:ilvl w:val="1"/>
          <w:numId w:val="2"/>
        </w:numPr>
        <w:spacing w:before="240"/>
        <w:jc w:val="both"/>
        <w:rPr>
          <w:rFonts w:ascii="Book Antiqua" w:hAnsi="Book Antiqua" w:cs="Arial"/>
          <w:b/>
          <w:bCs/>
        </w:rPr>
      </w:pPr>
      <w:r w:rsidRPr="00F540AB">
        <w:rPr>
          <w:rFonts w:ascii="Book Antiqua" w:hAnsi="Book Antiqua" w:cs="Arial"/>
          <w:b/>
          <w:bCs/>
        </w:rPr>
        <w:t xml:space="preserve">Whether the error of law hearing can be conducted on the papers, without a further hearing, </w:t>
      </w:r>
      <w:proofErr w:type="gramStart"/>
      <w:r w:rsidRPr="00F540AB">
        <w:rPr>
          <w:rFonts w:ascii="Book Antiqua" w:hAnsi="Book Antiqua" w:cs="Arial"/>
          <w:b/>
          <w:bCs/>
        </w:rPr>
        <w:t>in light of</w:t>
      </w:r>
      <w:proofErr w:type="gramEnd"/>
      <w:r w:rsidRPr="00F540AB">
        <w:rPr>
          <w:rFonts w:ascii="Book Antiqua" w:hAnsi="Book Antiqua" w:cs="Arial"/>
          <w:b/>
          <w:bCs/>
        </w:rPr>
        <w:t xml:space="preserve"> the overriding objective and the need to avoid delay, where compatible with proper consideration of the issues and the need for fairness for all parties.  Alternatively, whether it is in the interests of fairness and justice for a hearing to be held, whether remote or face to face.</w:t>
      </w:r>
    </w:p>
    <w:p w:rsidR="008E4966" w:rsidRPr="00F540AB" w:rsidRDefault="008E4966" w:rsidP="008E4966">
      <w:pPr>
        <w:jc w:val="both"/>
        <w:rPr>
          <w:rFonts w:ascii="Book Antiqua" w:hAnsi="Book Antiqua" w:cs="Arial"/>
          <w:b/>
          <w:bCs/>
          <w:i/>
        </w:rPr>
      </w:pPr>
    </w:p>
    <w:p w:rsidR="008E4966" w:rsidRPr="00FB18CB" w:rsidRDefault="008E4966" w:rsidP="008E4966">
      <w:pPr>
        <w:jc w:val="both"/>
        <w:rPr>
          <w:rFonts w:ascii="Book Antiqua" w:hAnsi="Book Antiqua" w:cs="Arial"/>
          <w:b/>
          <w:bCs/>
          <w:iCs/>
        </w:rPr>
      </w:pPr>
      <w:r w:rsidRPr="00FB18CB">
        <w:rPr>
          <w:rFonts w:ascii="Book Antiqua" w:hAnsi="Book Antiqua" w:cs="Arial"/>
          <w:b/>
          <w:bCs/>
          <w:iCs/>
        </w:rPr>
        <w:t>The Parties should note that I do not invite further submissions concerning the observations of Judge Shaerf when granting permission to appeal.  The respondent has already submitted her position in relation to those issues, for which I am grateful.</w:t>
      </w:r>
    </w:p>
    <w:p w:rsidR="008E4966" w:rsidRPr="00FB18CB" w:rsidRDefault="008E4966" w:rsidP="008E4966">
      <w:pPr>
        <w:jc w:val="both"/>
        <w:rPr>
          <w:rFonts w:ascii="Book Antiqua" w:hAnsi="Book Antiqua" w:cs="Arial"/>
          <w:b/>
          <w:bCs/>
          <w:iCs/>
        </w:rPr>
      </w:pPr>
    </w:p>
    <w:p w:rsidR="008E4966" w:rsidRPr="00FB18CB" w:rsidRDefault="008E4966" w:rsidP="008E4966">
      <w:pPr>
        <w:jc w:val="both"/>
        <w:rPr>
          <w:rFonts w:ascii="Book Antiqua" w:hAnsi="Book Antiqua" w:cs="Arial"/>
        </w:rPr>
      </w:pPr>
      <w:r>
        <w:rPr>
          <w:rFonts w:ascii="Book Antiqua" w:hAnsi="Book Antiqua" w:cs="Arial"/>
          <w:b/>
          <w:u w:val="single"/>
        </w:rPr>
        <w:t>An anonymity direction was made by the First-tier Tribunal and remains in force.</w:t>
      </w:r>
    </w:p>
    <w:p w:rsidR="008E4966" w:rsidRPr="00FB18CB" w:rsidRDefault="008E4966" w:rsidP="008E4966">
      <w:pPr>
        <w:ind w:left="540" w:hanging="540"/>
        <w:jc w:val="both"/>
        <w:rPr>
          <w:rFonts w:ascii="Book Antiqua" w:hAnsi="Book Antiqua" w:cs="Arial"/>
        </w:rPr>
      </w:pPr>
    </w:p>
    <w:p w:rsidR="008E4966" w:rsidRPr="00FB18CB" w:rsidRDefault="008E4966" w:rsidP="008E4966">
      <w:pPr>
        <w:ind w:left="540" w:hanging="540"/>
        <w:jc w:val="both"/>
        <w:rPr>
          <w:rFonts w:ascii="Book Antiqua" w:hAnsi="Book Antiqua" w:cs="Arial"/>
        </w:rPr>
      </w:pPr>
    </w:p>
    <w:p w:rsidR="008E4966" w:rsidRPr="00FB18CB" w:rsidRDefault="008E4966" w:rsidP="008E4966">
      <w:pPr>
        <w:ind w:left="540" w:hanging="540"/>
        <w:jc w:val="both"/>
        <w:rPr>
          <w:rFonts w:ascii="Book Antiqua" w:hAnsi="Book Antiqua" w:cs="Arial"/>
        </w:rPr>
      </w:pPr>
      <w:r w:rsidRPr="00FB18CB">
        <w:rPr>
          <w:rFonts w:ascii="Book Antiqua" w:hAnsi="Book Antiqua" w:cs="Arial"/>
        </w:rPr>
        <w:t>Signed</w:t>
      </w:r>
      <w:r w:rsidRPr="00FB18CB">
        <w:rPr>
          <w:rFonts w:ascii="Book Antiqua" w:hAnsi="Book Antiqua" w:cs="Arial"/>
        </w:rPr>
        <w:tab/>
      </w:r>
      <w:r w:rsidRPr="00FB18CB">
        <w:rPr>
          <w:rFonts w:ascii="Century Schoolbook" w:hAnsi="Century Schoolbook" w:cs="Arial"/>
          <w:i/>
          <w:iCs/>
        </w:rPr>
        <w:t>Stephen H Smith</w:t>
      </w:r>
      <w:r w:rsidRPr="00FB18CB">
        <w:rPr>
          <w:rFonts w:ascii="Book Antiqua" w:hAnsi="Book Antiqua" w:cs="Arial"/>
        </w:rPr>
        <w:tab/>
      </w:r>
      <w:r w:rsidRPr="00FB18CB">
        <w:rPr>
          <w:rFonts w:ascii="Book Antiqua" w:hAnsi="Book Antiqua" w:cs="Arial"/>
        </w:rPr>
        <w:tab/>
      </w:r>
      <w:r w:rsidRPr="00FB18CB">
        <w:rPr>
          <w:rFonts w:ascii="Book Antiqua" w:hAnsi="Book Antiqua" w:cs="Arial"/>
        </w:rPr>
        <w:tab/>
      </w:r>
      <w:r w:rsidRPr="00FB18CB">
        <w:rPr>
          <w:rFonts w:ascii="Book Antiqua" w:hAnsi="Book Antiqua" w:cs="Arial"/>
        </w:rPr>
        <w:tab/>
      </w:r>
      <w:r w:rsidRPr="00FB18CB">
        <w:rPr>
          <w:rFonts w:ascii="Book Antiqua" w:hAnsi="Book Antiqua" w:cs="Arial"/>
        </w:rPr>
        <w:tab/>
      </w:r>
      <w:r w:rsidRPr="00FB18CB">
        <w:rPr>
          <w:rFonts w:ascii="Book Antiqua" w:hAnsi="Book Antiqua" w:cs="Arial"/>
        </w:rPr>
        <w:tab/>
      </w:r>
      <w:r w:rsidRPr="00FB18CB">
        <w:rPr>
          <w:rFonts w:ascii="Book Antiqua" w:hAnsi="Book Antiqua" w:cs="Arial"/>
        </w:rPr>
        <w:tab/>
        <w:t>Date 14 July 2020</w:t>
      </w:r>
    </w:p>
    <w:p w:rsidR="008E4966" w:rsidRPr="00FB18CB" w:rsidRDefault="008E4966" w:rsidP="008E4966">
      <w:pPr>
        <w:tabs>
          <w:tab w:val="left" w:pos="2520"/>
        </w:tabs>
        <w:ind w:left="540" w:hanging="540"/>
        <w:jc w:val="both"/>
        <w:rPr>
          <w:rFonts w:ascii="Book Antiqua" w:hAnsi="Book Antiqua" w:cs="Arial"/>
        </w:rPr>
      </w:pPr>
    </w:p>
    <w:p w:rsidR="008E4966" w:rsidRPr="00824B15" w:rsidRDefault="008E4966" w:rsidP="008E4966">
      <w:pPr>
        <w:tabs>
          <w:tab w:val="left" w:pos="2520"/>
        </w:tabs>
        <w:ind w:left="540" w:hanging="540"/>
        <w:rPr>
          <w:rFonts w:ascii="Book Antiqua" w:hAnsi="Book Antiqua" w:cs="Arial"/>
          <w:color w:val="000000"/>
        </w:rPr>
      </w:pPr>
      <w:r w:rsidRPr="00FB18CB">
        <w:rPr>
          <w:rFonts w:ascii="Book Antiqua" w:hAnsi="Book Antiqua" w:cs="Arial"/>
          <w:color w:val="000000"/>
        </w:rPr>
        <w:t>Upper Tribunal Judge Stephen Smith</w:t>
      </w:r>
    </w:p>
    <w:p w:rsidR="00AD4CB1" w:rsidRPr="009162CC" w:rsidRDefault="00AD4CB1" w:rsidP="00AD4CB1">
      <w:pPr>
        <w:tabs>
          <w:tab w:val="left" w:pos="2520"/>
        </w:tabs>
        <w:ind w:left="540" w:hanging="540"/>
        <w:rPr>
          <w:rFonts w:ascii="Book Antiqua" w:hAnsi="Book Antiqua" w:cs="Arial"/>
        </w:rPr>
      </w:pPr>
    </w:p>
    <w:sectPr w:rsidR="00AD4CB1" w:rsidRPr="009162CC" w:rsidSect="00776E97">
      <w:headerReference w:type="default" r:id="rId14"/>
      <w:headerReference w:type="first" r:id="rId1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283" w:rsidRDefault="00101283">
      <w:r>
        <w:separator/>
      </w:r>
    </w:p>
  </w:endnote>
  <w:endnote w:type="continuationSeparator" w:id="0">
    <w:p w:rsidR="00101283" w:rsidRDefault="0010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DB" w:rsidRPr="00B35F7D" w:rsidRDefault="00D25EDB" w:rsidP="00593795">
    <w:pPr>
      <w:pStyle w:val="Footer"/>
      <w:jc w:val="center"/>
      <w:rPr>
        <w:rFonts w:ascii="Book Antiqua" w:hAnsi="Book Antiqua" w:cs="Arial"/>
      </w:rPr>
    </w:pPr>
    <w:r w:rsidRPr="00B35F7D">
      <w:rPr>
        <w:rStyle w:val="PageNumber"/>
        <w:rFonts w:ascii="Book Antiqua" w:hAnsi="Book Antiqua" w:cs="Arial"/>
      </w:rPr>
      <w:fldChar w:fldCharType="begin"/>
    </w:r>
    <w:r w:rsidRPr="00B35F7D">
      <w:rPr>
        <w:rStyle w:val="PageNumber"/>
        <w:rFonts w:ascii="Book Antiqua" w:hAnsi="Book Antiqua" w:cs="Arial"/>
      </w:rPr>
      <w:instrText xml:space="preserve"> PAGE </w:instrText>
    </w:r>
    <w:r w:rsidRPr="00B35F7D">
      <w:rPr>
        <w:rStyle w:val="PageNumber"/>
        <w:rFonts w:ascii="Book Antiqua" w:hAnsi="Book Antiqua" w:cs="Arial"/>
      </w:rPr>
      <w:fldChar w:fldCharType="separate"/>
    </w:r>
    <w:r w:rsidR="000E467A" w:rsidRPr="00B35F7D">
      <w:rPr>
        <w:rStyle w:val="PageNumber"/>
        <w:rFonts w:ascii="Book Antiqua" w:hAnsi="Book Antiqua" w:cs="Arial"/>
        <w:noProof/>
      </w:rPr>
      <w:t>12</w:t>
    </w:r>
    <w:r w:rsidRPr="00B35F7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DB" w:rsidRPr="001C5703" w:rsidRDefault="00D25EDB"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w:t>
    </w:r>
    <w:r w:rsidR="00701F4D">
      <w:rPr>
        <w:rFonts w:ascii="Book Antiqua" w:hAnsi="Book Antiqua" w:cs="Arial"/>
        <w:b/>
      </w:rPr>
      <w:t>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283" w:rsidRDefault="00101283">
      <w:r>
        <w:separator/>
      </w:r>
    </w:p>
  </w:footnote>
  <w:footnote w:type="continuationSeparator" w:id="0">
    <w:p w:rsidR="00101283" w:rsidRDefault="00101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DB" w:rsidRPr="001C5703" w:rsidRDefault="00D25EDB"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CA7EBC">
      <w:rPr>
        <w:rFonts w:ascii="Book Antiqua" w:hAnsi="Book Antiqua" w:cs="Arial"/>
        <w:sz w:val="16"/>
        <w:szCs w:val="16"/>
      </w:rPr>
      <w:t>PA/04840/2019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DB" w:rsidRPr="001C5703" w:rsidRDefault="00D25EDB">
    <w:pPr>
      <w:pStyle w:val="Header"/>
      <w:rPr>
        <w:rFonts w:ascii="Book Antiqua" w:hAnsi="Book Antiqua"/>
      </w:rPr>
    </w:pPr>
    <w:r w:rsidRPr="001C5703">
      <w:rPr>
        <w:rFonts w:ascii="Book Antiqua" w:hAnsi="Book Antiqu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FF5" w:rsidRPr="001C5703" w:rsidRDefault="008A7FF5" w:rsidP="008A7FF5">
    <w:pPr>
      <w:pStyle w:val="Header"/>
      <w:tabs>
        <w:tab w:val="left" w:pos="6946"/>
      </w:tabs>
      <w:rPr>
        <w:rFonts w:ascii="Book Antiqua" w:hAnsi="Book Antiqua" w:cs="Arial"/>
        <w:sz w:val="16"/>
        <w:szCs w:val="16"/>
      </w:rPr>
    </w:pPr>
    <w:r>
      <w:rPr>
        <w:rFonts w:ascii="Book Antiqua" w:hAnsi="Book Antiqua" w:cs="Arial"/>
        <w:b/>
        <w:bCs/>
        <w:sz w:val="16"/>
        <w:szCs w:val="16"/>
      </w:rPr>
      <w:t>Annex – Note and Directions</w:t>
    </w:r>
    <w:r>
      <w:rPr>
        <w:rFonts w:ascii="Book Antiqua" w:hAnsi="Book Antiqua" w:cs="Arial"/>
        <w:b/>
        <w:bCs/>
        <w:sz w:val="16"/>
        <w:szCs w:val="16"/>
      </w:rPr>
      <w:tab/>
    </w:r>
    <w:r>
      <w:rPr>
        <w:rFonts w:ascii="Book Antiqua" w:hAnsi="Book Antiqua" w:cs="Arial"/>
        <w:b/>
        <w:bCs/>
        <w:sz w:val="16"/>
        <w:szCs w:val="16"/>
      </w:rPr>
      <w:tab/>
    </w:r>
    <w:r w:rsidRPr="001C5703">
      <w:rPr>
        <w:rFonts w:ascii="Book Antiqua" w:hAnsi="Book Antiqua" w:cs="Arial"/>
        <w:sz w:val="16"/>
        <w:szCs w:val="16"/>
      </w:rPr>
      <w:t xml:space="preserve">Appeal Number: </w:t>
    </w:r>
    <w:r>
      <w:rPr>
        <w:rFonts w:ascii="Book Antiqua" w:hAnsi="Book Antiqua" w:cs="Arial"/>
        <w:sz w:val="16"/>
        <w:szCs w:val="16"/>
      </w:rPr>
      <w:t>PA/04840/2019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966" w:rsidRPr="008E4966" w:rsidRDefault="008E4966" w:rsidP="008E4966">
    <w:pPr>
      <w:pStyle w:val="Header"/>
      <w:jc w:val="center"/>
      <w:rPr>
        <w:rFonts w:ascii="Book Antiqua" w:hAnsi="Book Antiqua"/>
        <w:b/>
        <w:bCs/>
      </w:rPr>
    </w:pPr>
    <w:r w:rsidRPr="008E4966">
      <w:rPr>
        <w:rFonts w:ascii="Book Antiqua" w:hAnsi="Book Antiqua"/>
        <w:b/>
        <w:bCs/>
      </w:rPr>
      <w:t>ANNEX – NOTE AND DIRECTIONS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C5E2A"/>
    <w:multiLevelType w:val="hybridMultilevel"/>
    <w:tmpl w:val="5D76E266"/>
    <w:lvl w:ilvl="0" w:tplc="F1607A44">
      <w:start w:val="1"/>
      <w:numFmt w:val="decimal"/>
      <w:lvlText w:val="%1."/>
      <w:lvlJc w:val="left"/>
      <w:pPr>
        <w:tabs>
          <w:tab w:val="num" w:pos="720"/>
        </w:tabs>
        <w:ind w:left="720" w:hanging="360"/>
      </w:pPr>
      <w:rPr>
        <w:i w:val="0"/>
        <w:iC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9FF1D12"/>
    <w:multiLevelType w:val="hybridMultilevel"/>
    <w:tmpl w:val="5D76E266"/>
    <w:lvl w:ilvl="0" w:tplc="F1607A44">
      <w:start w:val="1"/>
      <w:numFmt w:val="decimal"/>
      <w:lvlText w:val="%1."/>
      <w:lvlJc w:val="left"/>
      <w:pPr>
        <w:tabs>
          <w:tab w:val="num" w:pos="720"/>
        </w:tabs>
        <w:ind w:left="720" w:hanging="360"/>
      </w:pPr>
      <w:rPr>
        <w:i w:val="0"/>
        <w:iC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rafile" w:val="C:\Users\User\AppData\Local\Temp\dra5FFC.tmp"/>
  </w:docVars>
  <w:rsids>
    <w:rsidRoot w:val="00DB5504"/>
    <w:rsid w:val="00000621"/>
    <w:rsid w:val="000036C2"/>
    <w:rsid w:val="00030015"/>
    <w:rsid w:val="00033D3D"/>
    <w:rsid w:val="0003725D"/>
    <w:rsid w:val="00037F2A"/>
    <w:rsid w:val="00062F02"/>
    <w:rsid w:val="00071A7E"/>
    <w:rsid w:val="000746C0"/>
    <w:rsid w:val="00074D1D"/>
    <w:rsid w:val="00092580"/>
    <w:rsid w:val="00093D4D"/>
    <w:rsid w:val="000A4292"/>
    <w:rsid w:val="000D1A17"/>
    <w:rsid w:val="000D5D94"/>
    <w:rsid w:val="000E467A"/>
    <w:rsid w:val="000F1A0E"/>
    <w:rsid w:val="000F2591"/>
    <w:rsid w:val="000F30BD"/>
    <w:rsid w:val="00101283"/>
    <w:rsid w:val="00101CF9"/>
    <w:rsid w:val="0010335F"/>
    <w:rsid w:val="001165A7"/>
    <w:rsid w:val="0014442F"/>
    <w:rsid w:val="001653E0"/>
    <w:rsid w:val="00165D5E"/>
    <w:rsid w:val="00167D3A"/>
    <w:rsid w:val="00174A01"/>
    <w:rsid w:val="001A3082"/>
    <w:rsid w:val="001A3E8F"/>
    <w:rsid w:val="001B186A"/>
    <w:rsid w:val="001B2F75"/>
    <w:rsid w:val="001C5703"/>
    <w:rsid w:val="001D0FEC"/>
    <w:rsid w:val="001E0325"/>
    <w:rsid w:val="001E61AD"/>
    <w:rsid w:val="001F2716"/>
    <w:rsid w:val="002002C7"/>
    <w:rsid w:val="002009E6"/>
    <w:rsid w:val="00207617"/>
    <w:rsid w:val="0023134B"/>
    <w:rsid w:val="00245B04"/>
    <w:rsid w:val="00245D80"/>
    <w:rsid w:val="00253F41"/>
    <w:rsid w:val="00283659"/>
    <w:rsid w:val="00284A9E"/>
    <w:rsid w:val="002B3430"/>
    <w:rsid w:val="002B57CC"/>
    <w:rsid w:val="002C6BD4"/>
    <w:rsid w:val="002C78CE"/>
    <w:rsid w:val="002D1957"/>
    <w:rsid w:val="002D2A9F"/>
    <w:rsid w:val="002D68BF"/>
    <w:rsid w:val="002F213E"/>
    <w:rsid w:val="002F6B98"/>
    <w:rsid w:val="003205C2"/>
    <w:rsid w:val="00332421"/>
    <w:rsid w:val="00336CBF"/>
    <w:rsid w:val="00343FE3"/>
    <w:rsid w:val="003543A1"/>
    <w:rsid w:val="003546C8"/>
    <w:rsid w:val="00354C90"/>
    <w:rsid w:val="00376EE3"/>
    <w:rsid w:val="003A7CF2"/>
    <w:rsid w:val="003C5CE5"/>
    <w:rsid w:val="003E267B"/>
    <w:rsid w:val="003E7CD1"/>
    <w:rsid w:val="00401742"/>
    <w:rsid w:val="00402B9E"/>
    <w:rsid w:val="00413491"/>
    <w:rsid w:val="004249CB"/>
    <w:rsid w:val="00435A77"/>
    <w:rsid w:val="0044127D"/>
    <w:rsid w:val="004448DB"/>
    <w:rsid w:val="00446C9A"/>
    <w:rsid w:val="00451959"/>
    <w:rsid w:val="00452F2B"/>
    <w:rsid w:val="00453F3E"/>
    <w:rsid w:val="00461D73"/>
    <w:rsid w:val="00464E2C"/>
    <w:rsid w:val="00477193"/>
    <w:rsid w:val="004A1848"/>
    <w:rsid w:val="004A6F4A"/>
    <w:rsid w:val="004E4717"/>
    <w:rsid w:val="004F15C6"/>
    <w:rsid w:val="004F789D"/>
    <w:rsid w:val="00507FEC"/>
    <w:rsid w:val="00510F0E"/>
    <w:rsid w:val="00520345"/>
    <w:rsid w:val="0052070D"/>
    <w:rsid w:val="005479E1"/>
    <w:rsid w:val="00553E0A"/>
    <w:rsid w:val="005570FD"/>
    <w:rsid w:val="005575EA"/>
    <w:rsid w:val="00573247"/>
    <w:rsid w:val="0057790C"/>
    <w:rsid w:val="00593795"/>
    <w:rsid w:val="005A6722"/>
    <w:rsid w:val="005A75FF"/>
    <w:rsid w:val="005B1C60"/>
    <w:rsid w:val="005D10AB"/>
    <w:rsid w:val="005E4835"/>
    <w:rsid w:val="00601D8F"/>
    <w:rsid w:val="00622C55"/>
    <w:rsid w:val="00646072"/>
    <w:rsid w:val="00653E97"/>
    <w:rsid w:val="006544D2"/>
    <w:rsid w:val="00672FBA"/>
    <w:rsid w:val="00675930"/>
    <w:rsid w:val="00684A74"/>
    <w:rsid w:val="00690B8A"/>
    <w:rsid w:val="006C6663"/>
    <w:rsid w:val="006D7102"/>
    <w:rsid w:val="006D7950"/>
    <w:rsid w:val="006F2CF1"/>
    <w:rsid w:val="006F67B5"/>
    <w:rsid w:val="00701F4D"/>
    <w:rsid w:val="007038ED"/>
    <w:rsid w:val="00703BC3"/>
    <w:rsid w:val="00704B61"/>
    <w:rsid w:val="00725D05"/>
    <w:rsid w:val="007552A9"/>
    <w:rsid w:val="00761858"/>
    <w:rsid w:val="00767D59"/>
    <w:rsid w:val="00774FD4"/>
    <w:rsid w:val="00776E97"/>
    <w:rsid w:val="00780F86"/>
    <w:rsid w:val="00787413"/>
    <w:rsid w:val="007912AD"/>
    <w:rsid w:val="007B0824"/>
    <w:rsid w:val="007B5D3C"/>
    <w:rsid w:val="007C5E4A"/>
    <w:rsid w:val="007E050B"/>
    <w:rsid w:val="008163AF"/>
    <w:rsid w:val="00821B72"/>
    <w:rsid w:val="00823EF2"/>
    <w:rsid w:val="00825DDF"/>
    <w:rsid w:val="008303B8"/>
    <w:rsid w:val="00833DCE"/>
    <w:rsid w:val="00841409"/>
    <w:rsid w:val="00871D34"/>
    <w:rsid w:val="008A2DCA"/>
    <w:rsid w:val="008A7FF5"/>
    <w:rsid w:val="008B270C"/>
    <w:rsid w:val="008B5078"/>
    <w:rsid w:val="008C3D3D"/>
    <w:rsid w:val="008D4131"/>
    <w:rsid w:val="008E4966"/>
    <w:rsid w:val="008F1932"/>
    <w:rsid w:val="00904924"/>
    <w:rsid w:val="00914D32"/>
    <w:rsid w:val="009162CC"/>
    <w:rsid w:val="00921062"/>
    <w:rsid w:val="00931322"/>
    <w:rsid w:val="009405A9"/>
    <w:rsid w:val="009722BC"/>
    <w:rsid w:val="009727A3"/>
    <w:rsid w:val="00987774"/>
    <w:rsid w:val="00994305"/>
    <w:rsid w:val="00995E00"/>
    <w:rsid w:val="009A0C11"/>
    <w:rsid w:val="009A11E8"/>
    <w:rsid w:val="009B6AA6"/>
    <w:rsid w:val="009C0155"/>
    <w:rsid w:val="009F5220"/>
    <w:rsid w:val="00A15234"/>
    <w:rsid w:val="00A201AB"/>
    <w:rsid w:val="00A31C8B"/>
    <w:rsid w:val="00A42C11"/>
    <w:rsid w:val="00A509FA"/>
    <w:rsid w:val="00A57B3D"/>
    <w:rsid w:val="00A67842"/>
    <w:rsid w:val="00A845DC"/>
    <w:rsid w:val="00AA7E3A"/>
    <w:rsid w:val="00AB17B1"/>
    <w:rsid w:val="00AD4CB1"/>
    <w:rsid w:val="00AE7219"/>
    <w:rsid w:val="00B0578D"/>
    <w:rsid w:val="00B13C55"/>
    <w:rsid w:val="00B14834"/>
    <w:rsid w:val="00B25237"/>
    <w:rsid w:val="00B26AA2"/>
    <w:rsid w:val="00B3338F"/>
    <w:rsid w:val="00B3524D"/>
    <w:rsid w:val="00B35F7D"/>
    <w:rsid w:val="00B40F69"/>
    <w:rsid w:val="00B46616"/>
    <w:rsid w:val="00B519CA"/>
    <w:rsid w:val="00B56B2E"/>
    <w:rsid w:val="00B7040A"/>
    <w:rsid w:val="00B76E88"/>
    <w:rsid w:val="00B83391"/>
    <w:rsid w:val="00B95326"/>
    <w:rsid w:val="00BA3A97"/>
    <w:rsid w:val="00BA6EBC"/>
    <w:rsid w:val="00BB7457"/>
    <w:rsid w:val="00BD4196"/>
    <w:rsid w:val="00BE360A"/>
    <w:rsid w:val="00BF22CA"/>
    <w:rsid w:val="00BF23BB"/>
    <w:rsid w:val="00C07657"/>
    <w:rsid w:val="00C229B7"/>
    <w:rsid w:val="00C26032"/>
    <w:rsid w:val="00C345E1"/>
    <w:rsid w:val="00C43BFD"/>
    <w:rsid w:val="00CA7EBC"/>
    <w:rsid w:val="00CB6984"/>
    <w:rsid w:val="00CB6E35"/>
    <w:rsid w:val="00CB7B26"/>
    <w:rsid w:val="00CC4798"/>
    <w:rsid w:val="00CE1A46"/>
    <w:rsid w:val="00D07253"/>
    <w:rsid w:val="00D20757"/>
    <w:rsid w:val="00D22636"/>
    <w:rsid w:val="00D25EDB"/>
    <w:rsid w:val="00D40FD9"/>
    <w:rsid w:val="00D53769"/>
    <w:rsid w:val="00D6134E"/>
    <w:rsid w:val="00D63916"/>
    <w:rsid w:val="00D64505"/>
    <w:rsid w:val="00D85C13"/>
    <w:rsid w:val="00D9111A"/>
    <w:rsid w:val="00D91BE3"/>
    <w:rsid w:val="00D9321B"/>
    <w:rsid w:val="00D94AFC"/>
    <w:rsid w:val="00DB5504"/>
    <w:rsid w:val="00DB70AE"/>
    <w:rsid w:val="00DD5071"/>
    <w:rsid w:val="00DD5C39"/>
    <w:rsid w:val="00DE7DB7"/>
    <w:rsid w:val="00DF37B7"/>
    <w:rsid w:val="00E00A0A"/>
    <w:rsid w:val="00E066DE"/>
    <w:rsid w:val="00E07F57"/>
    <w:rsid w:val="00E27F4A"/>
    <w:rsid w:val="00E30683"/>
    <w:rsid w:val="00E453D8"/>
    <w:rsid w:val="00E50BCE"/>
    <w:rsid w:val="00E574BF"/>
    <w:rsid w:val="00E61292"/>
    <w:rsid w:val="00E77C4D"/>
    <w:rsid w:val="00E81D01"/>
    <w:rsid w:val="00E904C5"/>
    <w:rsid w:val="00E91BE1"/>
    <w:rsid w:val="00E93BF9"/>
    <w:rsid w:val="00EA0E89"/>
    <w:rsid w:val="00EC49C7"/>
    <w:rsid w:val="00EE45D8"/>
    <w:rsid w:val="00F22EDA"/>
    <w:rsid w:val="00F35E53"/>
    <w:rsid w:val="00F83CC4"/>
    <w:rsid w:val="00F9150E"/>
    <w:rsid w:val="00FC08A2"/>
    <w:rsid w:val="00FC49F5"/>
    <w:rsid w:val="00FD06EB"/>
    <w:rsid w:val="00FE247C"/>
    <w:rsid w:val="00FE4639"/>
    <w:rsid w:val="00FF1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6EF6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5A6722"/>
    <w:pPr>
      <w:ind w:left="720"/>
      <w:contextualSpacing/>
    </w:pPr>
  </w:style>
  <w:style w:type="character" w:customStyle="1" w:styleId="normaltextrun">
    <w:name w:val="normaltextrun"/>
    <w:rsid w:val="00FF1E84"/>
  </w:style>
  <w:style w:type="character" w:customStyle="1" w:styleId="eop">
    <w:name w:val="eop"/>
    <w:rsid w:val="00FF1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4655">
      <w:bodyDiv w:val="1"/>
      <w:marLeft w:val="0"/>
      <w:marRight w:val="0"/>
      <w:marTop w:val="0"/>
      <w:marBottom w:val="0"/>
      <w:divBdr>
        <w:top w:val="none" w:sz="0" w:space="0" w:color="auto"/>
        <w:left w:val="none" w:sz="0" w:space="0" w:color="auto"/>
        <w:bottom w:val="none" w:sz="0" w:space="0" w:color="auto"/>
        <w:right w:val="none" w:sz="0" w:space="0" w:color="auto"/>
      </w:divBdr>
      <w:divsChild>
        <w:div w:id="620234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A1012127-1E69-4141-9E0E-CA24CFE8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7202</Words>
  <Characters>36385</Characters>
  <Application>Microsoft Office Word</Application>
  <DocSecurity>0</DocSecurity>
  <Lines>303</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2020-09-11T14:07:00Z</dcterms:created>
  <dcterms:modified xsi:type="dcterms:W3CDTF">2020-09-11T14:07:00Z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