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662" w:rsidRDefault="005D09FE" w:rsidP="00041662">
      <w:pPr>
        <w:jc w:val="center"/>
        <w:rPr>
          <w:rFonts w:ascii="Book Antiqua" w:hAnsi="Book Antiqua" w:cs="Arial"/>
          <w:sz w:val="16"/>
          <w:szCs w:val="16"/>
        </w:rPr>
      </w:pPr>
      <w:r>
        <w:rPr>
          <w:noProof/>
        </w:rPr>
        <w:drawing>
          <wp:inline distT="0" distB="0" distL="0" distR="0" wp14:anchorId="6C7B374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046CD0" w:rsidRPr="00A56832" w:rsidRDefault="00046CD0" w:rsidP="00041662">
      <w:pPr>
        <w:jc w:val="center"/>
        <w:rPr>
          <w:rFonts w:ascii="Book Antiqua" w:hAnsi="Book Antiqua" w:cs="Arial"/>
          <w:sz w:val="16"/>
          <w:szCs w:val="16"/>
        </w:rPr>
      </w:pPr>
    </w:p>
    <w:p w:rsidR="00041662" w:rsidRPr="00A56832" w:rsidRDefault="000D44AB" w:rsidP="00B626FA">
      <w:pPr>
        <w:tabs>
          <w:tab w:val="right" w:pos="9639"/>
        </w:tabs>
        <w:rPr>
          <w:rFonts w:ascii="Book Antiqua" w:hAnsi="Book Antiqua" w:cs="Arial"/>
          <w:b/>
        </w:rPr>
      </w:pPr>
      <w:r>
        <w:rPr>
          <w:rFonts w:ascii="Book Antiqua" w:hAnsi="Book Antiqua" w:cs="Arial"/>
          <w:b/>
        </w:rPr>
        <w:t>Upper</w:t>
      </w:r>
      <w:r w:rsidR="00041662" w:rsidRPr="00A56832">
        <w:rPr>
          <w:rFonts w:ascii="Book Antiqua" w:hAnsi="Book Antiqua" w:cs="Arial"/>
          <w:b/>
        </w:rPr>
        <w:t xml:space="preserve"> Tribunal </w:t>
      </w:r>
    </w:p>
    <w:p w:rsidR="007B0824" w:rsidRPr="00A56832" w:rsidRDefault="00041662" w:rsidP="00B626FA">
      <w:pPr>
        <w:tabs>
          <w:tab w:val="right" w:pos="9639"/>
        </w:tabs>
        <w:rPr>
          <w:rFonts w:ascii="Book Antiqua" w:hAnsi="Book Antiqua" w:cs="Arial"/>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920A1A">
        <w:rPr>
          <w:rFonts w:ascii="Book Antiqua" w:hAnsi="Book Antiqua" w:cs="Arial"/>
        </w:rPr>
        <w:t>PA/04868/2017</w:t>
      </w:r>
      <w:bookmarkEnd w:id="0"/>
    </w:p>
    <w:p w:rsidR="00C345E1" w:rsidRPr="00A56832" w:rsidRDefault="00C345E1" w:rsidP="00C345E1">
      <w:pPr>
        <w:jc w:val="center"/>
        <w:rPr>
          <w:rFonts w:ascii="Book Antiqua" w:hAnsi="Book Antiqua" w:cs="Arial"/>
        </w:rPr>
      </w:pPr>
    </w:p>
    <w:p w:rsidR="00046CD0" w:rsidRDefault="00046CD0" w:rsidP="00C345E1">
      <w:pPr>
        <w:jc w:val="center"/>
        <w:rPr>
          <w:rFonts w:ascii="Book Antiqua" w:hAnsi="Book Antiqua" w:cs="Arial"/>
          <w:b/>
          <w:u w:val="single"/>
        </w:rPr>
      </w:pPr>
    </w:p>
    <w:p w:rsidR="00C345E1"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rsidR="00046CD0" w:rsidRPr="00A56832" w:rsidRDefault="00046CD0" w:rsidP="00C345E1">
      <w:pPr>
        <w:jc w:val="center"/>
        <w:rPr>
          <w:rFonts w:ascii="Book Antiqua" w:hAnsi="Book Antiqua" w:cs="Arial"/>
          <w:b/>
          <w:u w:val="single"/>
        </w:rPr>
      </w:pPr>
    </w:p>
    <w:p w:rsidR="00C345E1" w:rsidRPr="00A56832"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29"/>
        <w:gridCol w:w="3909"/>
      </w:tblGrid>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Heard at </w:t>
            </w:r>
            <w:r w:rsidR="00D41536" w:rsidRPr="00021EA4">
              <w:rPr>
                <w:rFonts w:ascii="Book Antiqua" w:hAnsi="Book Antiqua" w:cs="Arial"/>
                <w:b/>
              </w:rPr>
              <w:t>Birmingham</w:t>
            </w:r>
          </w:p>
        </w:tc>
        <w:tc>
          <w:tcPr>
            <w:tcW w:w="3986" w:type="dxa"/>
            <w:shd w:val="clear" w:color="auto" w:fill="auto"/>
          </w:tcPr>
          <w:p w:rsidR="00D22636" w:rsidRPr="00021EA4" w:rsidRDefault="00B63045" w:rsidP="00021EA4">
            <w:pPr>
              <w:jc w:val="center"/>
              <w:rPr>
                <w:rFonts w:ascii="Book Antiqua" w:hAnsi="Book Antiqua" w:cs="Arial"/>
                <w:b/>
              </w:rPr>
            </w:pPr>
            <w:r w:rsidRPr="00021EA4">
              <w:rPr>
                <w:rFonts w:ascii="Book Antiqua" w:hAnsi="Book Antiqua" w:cs="Arial"/>
                <w:b/>
              </w:rPr>
              <w:t xml:space="preserve">Decision &amp; Reasons </w:t>
            </w:r>
            <w:r w:rsidR="00283659" w:rsidRPr="00021EA4">
              <w:rPr>
                <w:rFonts w:ascii="Book Antiqua" w:hAnsi="Book Antiqua" w:cs="Arial"/>
                <w:b/>
              </w:rPr>
              <w:t>Promulgated</w:t>
            </w:r>
          </w:p>
        </w:tc>
      </w:tr>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r w:rsidRPr="00021EA4">
              <w:rPr>
                <w:rFonts w:ascii="Book Antiqua" w:hAnsi="Book Antiqua" w:cs="Arial"/>
                <w:b/>
              </w:rPr>
              <w:t xml:space="preserve">On </w:t>
            </w:r>
            <w:r w:rsidR="000D44AB">
              <w:rPr>
                <w:rFonts w:ascii="Book Antiqua" w:hAnsi="Book Antiqua" w:cs="Arial"/>
                <w:b/>
              </w:rPr>
              <w:t>10 July 2018</w:t>
            </w:r>
          </w:p>
        </w:tc>
        <w:tc>
          <w:tcPr>
            <w:tcW w:w="3986" w:type="dxa"/>
            <w:shd w:val="clear" w:color="auto" w:fill="auto"/>
          </w:tcPr>
          <w:p w:rsidR="00D22636" w:rsidRPr="00021EA4" w:rsidRDefault="005D09FE" w:rsidP="00021EA4">
            <w:pPr>
              <w:jc w:val="both"/>
              <w:rPr>
                <w:rFonts w:ascii="Book Antiqua" w:hAnsi="Book Antiqua" w:cs="Arial"/>
                <w:b/>
              </w:rPr>
            </w:pPr>
            <w:r>
              <w:rPr>
                <w:rFonts w:ascii="Book Antiqua" w:hAnsi="Book Antiqua" w:cs="Arial"/>
                <w:b/>
              </w:rPr>
              <w:t>On 10 August 2018</w:t>
            </w:r>
          </w:p>
        </w:tc>
      </w:tr>
      <w:tr w:rsidR="00D22636" w:rsidRPr="00021EA4" w:rsidTr="00021EA4">
        <w:tc>
          <w:tcPr>
            <w:tcW w:w="5868" w:type="dxa"/>
            <w:shd w:val="clear" w:color="auto" w:fill="auto"/>
          </w:tcPr>
          <w:p w:rsidR="00D22636" w:rsidRPr="00021EA4" w:rsidRDefault="00D22636" w:rsidP="00021EA4">
            <w:pPr>
              <w:jc w:val="both"/>
              <w:rPr>
                <w:rFonts w:ascii="Book Antiqua" w:hAnsi="Book Antiqua" w:cs="Arial"/>
                <w:b/>
              </w:rPr>
            </w:pPr>
          </w:p>
        </w:tc>
        <w:tc>
          <w:tcPr>
            <w:tcW w:w="3986" w:type="dxa"/>
            <w:shd w:val="clear" w:color="auto" w:fill="auto"/>
          </w:tcPr>
          <w:p w:rsidR="00D22636" w:rsidRPr="00021EA4" w:rsidRDefault="00D22636" w:rsidP="00021EA4">
            <w:pPr>
              <w:jc w:val="both"/>
              <w:rPr>
                <w:rFonts w:ascii="Book Antiqua" w:hAnsi="Book Antiqua" w:cs="Arial"/>
                <w:b/>
              </w:rPr>
            </w:pPr>
          </w:p>
        </w:tc>
      </w:tr>
    </w:tbl>
    <w:p w:rsidR="00046CD0" w:rsidRDefault="00046CD0" w:rsidP="00A15234">
      <w:pPr>
        <w:jc w:val="center"/>
        <w:rPr>
          <w:rFonts w:ascii="Book Antiqua" w:hAnsi="Book Antiqua" w:cs="Arial"/>
        </w:rPr>
      </w:pPr>
    </w:p>
    <w:p w:rsidR="00A15234" w:rsidRPr="00A56832" w:rsidRDefault="00C51FDE" w:rsidP="00A15234">
      <w:pPr>
        <w:jc w:val="center"/>
        <w:rPr>
          <w:rFonts w:ascii="Book Antiqua" w:hAnsi="Book Antiqua" w:cs="Arial"/>
          <w:b/>
        </w:rPr>
      </w:pPr>
      <w:r>
        <w:rPr>
          <w:rFonts w:ascii="Book Antiqua" w:hAnsi="Book Antiqua" w:cs="Arial"/>
        </w:rPr>
        <w:t>B</w:t>
      </w:r>
      <w:r w:rsidR="00207617" w:rsidRPr="00A56832">
        <w:rPr>
          <w:rFonts w:ascii="Book Antiqua" w:hAnsi="Book Antiqua" w:cs="Arial"/>
          <w:b/>
        </w:rPr>
        <w:t>efo</w:t>
      </w:r>
      <w:r w:rsidR="00A15234" w:rsidRPr="00A56832">
        <w:rPr>
          <w:rFonts w:ascii="Book Antiqua" w:hAnsi="Book Antiqua" w:cs="Arial"/>
          <w:b/>
        </w:rPr>
        <w:t>re</w:t>
      </w:r>
    </w:p>
    <w:p w:rsidR="00A15234" w:rsidRPr="00A56832" w:rsidRDefault="00A15234" w:rsidP="00A15234">
      <w:pPr>
        <w:jc w:val="center"/>
        <w:rPr>
          <w:rFonts w:ascii="Book Antiqua" w:hAnsi="Book Antiqua" w:cs="Arial"/>
          <w:b/>
        </w:rPr>
      </w:pPr>
    </w:p>
    <w:p w:rsidR="00A845DC" w:rsidRPr="00A56832" w:rsidRDefault="005E542E" w:rsidP="00A15234">
      <w:pPr>
        <w:jc w:val="center"/>
        <w:rPr>
          <w:rFonts w:ascii="Book Antiqua" w:hAnsi="Book Antiqua" w:cs="Arial"/>
          <w:b/>
        </w:rPr>
      </w:pPr>
      <w:r>
        <w:rPr>
          <w:rFonts w:ascii="Book Antiqua" w:hAnsi="Book Antiqua" w:cs="Arial"/>
          <w:b/>
        </w:rPr>
        <w:t>DEPUTY UPPER</w:t>
      </w:r>
      <w:r w:rsidR="008F07F8">
        <w:rPr>
          <w:rFonts w:ascii="Book Antiqua" w:hAnsi="Book Antiqua" w:cs="Arial"/>
          <w:b/>
        </w:rPr>
        <w:t xml:space="preserve"> TRIBUNAL </w:t>
      </w:r>
      <w:r>
        <w:rPr>
          <w:rFonts w:ascii="Book Antiqua" w:hAnsi="Book Antiqua" w:cs="Arial"/>
          <w:b/>
        </w:rPr>
        <w:t xml:space="preserve">JUDGE </w:t>
      </w:r>
      <w:proofErr w:type="spellStart"/>
      <w:r w:rsidR="00D41536">
        <w:rPr>
          <w:rFonts w:ascii="Book Antiqua" w:hAnsi="Book Antiqua" w:cs="Arial"/>
          <w:b/>
        </w:rPr>
        <w:t>McCARTHY</w:t>
      </w:r>
      <w:proofErr w:type="spellEnd"/>
    </w:p>
    <w:p w:rsidR="0064629B" w:rsidRPr="00A56832" w:rsidRDefault="0064629B" w:rsidP="00A15234">
      <w:pPr>
        <w:jc w:val="center"/>
        <w:rPr>
          <w:rFonts w:ascii="Book Antiqua" w:hAnsi="Book Antiqua" w:cs="Arial"/>
          <w:b/>
        </w:rPr>
      </w:pPr>
    </w:p>
    <w:p w:rsidR="00046CD0" w:rsidRDefault="00046CD0" w:rsidP="00A15234">
      <w:pPr>
        <w:jc w:val="center"/>
        <w:rPr>
          <w:rFonts w:ascii="Book Antiqua" w:hAnsi="Book Antiqua" w:cs="Arial"/>
          <w:b/>
        </w:rPr>
      </w:pPr>
    </w:p>
    <w:p w:rsidR="00A845DC" w:rsidRDefault="00A845DC" w:rsidP="00A15234">
      <w:pPr>
        <w:jc w:val="center"/>
        <w:rPr>
          <w:rFonts w:ascii="Book Antiqua" w:hAnsi="Book Antiqua" w:cs="Arial"/>
          <w:b/>
        </w:rPr>
      </w:pPr>
      <w:r w:rsidRPr="00A56832">
        <w:rPr>
          <w:rFonts w:ascii="Book Antiqua" w:hAnsi="Book Antiqua" w:cs="Arial"/>
          <w:b/>
        </w:rPr>
        <w:t>Between</w:t>
      </w:r>
    </w:p>
    <w:p w:rsidR="00920A1A" w:rsidRPr="00A56832" w:rsidRDefault="00920A1A" w:rsidP="00A15234">
      <w:pPr>
        <w:jc w:val="center"/>
        <w:rPr>
          <w:rFonts w:ascii="Book Antiqua" w:hAnsi="Book Antiqua" w:cs="Arial"/>
          <w:b/>
        </w:rPr>
      </w:pPr>
    </w:p>
    <w:p w:rsidR="00920A1A" w:rsidRPr="00A56832" w:rsidRDefault="00920A1A" w:rsidP="00920A1A">
      <w:pPr>
        <w:jc w:val="center"/>
        <w:rPr>
          <w:rFonts w:ascii="Book Antiqua" w:hAnsi="Book Antiqua" w:cs="Arial"/>
          <w:b/>
          <w:caps/>
        </w:rPr>
      </w:pPr>
      <w:r w:rsidRPr="00A5683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A56832">
        <w:rPr>
          <w:rFonts w:ascii="Book Antiqua" w:hAnsi="Book Antiqua" w:cs="Arial"/>
          <w:b/>
          <w:caps/>
        </w:rPr>
        <w:instrText xml:space="preserve"> FORMTEXT </w:instrText>
      </w:r>
      <w:r w:rsidRPr="00A56832">
        <w:rPr>
          <w:rFonts w:ascii="Book Antiqua" w:hAnsi="Book Antiqua" w:cs="Arial"/>
          <w:b/>
          <w:caps/>
        </w:rPr>
      </w:r>
      <w:r w:rsidRPr="00A56832">
        <w:rPr>
          <w:rFonts w:ascii="Book Antiqua" w:hAnsi="Book Antiqua" w:cs="Arial"/>
          <w:b/>
          <w:caps/>
        </w:rPr>
        <w:fldChar w:fldCharType="separate"/>
      </w:r>
      <w:r w:rsidRPr="00A56832">
        <w:rPr>
          <w:rFonts w:ascii="Book Antiqua" w:hAnsi="Book Antiqua" w:cs="Arial"/>
          <w:b/>
          <w:caps/>
          <w:noProof/>
        </w:rPr>
        <w:t>THE SECRETARY OF STATE FOR THE HOME DEPARTMENT</w:t>
      </w:r>
      <w:r w:rsidRPr="00A56832">
        <w:rPr>
          <w:rFonts w:ascii="Book Antiqua" w:hAnsi="Book Antiqua" w:cs="Arial"/>
          <w:b/>
          <w:caps/>
        </w:rPr>
        <w:fldChar w:fldCharType="end"/>
      </w:r>
      <w:bookmarkEnd w:id="1"/>
    </w:p>
    <w:p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rsidR="00704B61" w:rsidRPr="00A56832" w:rsidRDefault="00DD5071" w:rsidP="00704B61">
      <w:pPr>
        <w:jc w:val="center"/>
        <w:rPr>
          <w:rFonts w:ascii="Book Antiqua" w:hAnsi="Book Antiqua" w:cs="Arial"/>
          <w:b/>
        </w:rPr>
      </w:pPr>
      <w:r w:rsidRPr="00A56832">
        <w:rPr>
          <w:rFonts w:ascii="Book Antiqua" w:hAnsi="Book Antiqua" w:cs="Arial"/>
          <w:b/>
        </w:rPr>
        <w:t>and</w:t>
      </w:r>
    </w:p>
    <w:p w:rsidR="00920A1A" w:rsidRPr="00A56832" w:rsidRDefault="00920A1A" w:rsidP="00920A1A">
      <w:pPr>
        <w:jc w:val="center"/>
        <w:rPr>
          <w:rFonts w:ascii="Book Antiqua" w:hAnsi="Book Antiqua" w:cs="Arial"/>
          <w:b/>
        </w:rPr>
      </w:pPr>
    </w:p>
    <w:p w:rsidR="00920A1A" w:rsidRDefault="008739D9" w:rsidP="00920A1A">
      <w:pPr>
        <w:jc w:val="center"/>
        <w:rPr>
          <w:rFonts w:ascii="Book Antiqua" w:hAnsi="Book Antiqua" w:cs="Arial"/>
          <w:b/>
          <w:caps/>
        </w:rPr>
      </w:pPr>
      <w:r>
        <w:rPr>
          <w:rFonts w:ascii="Book Antiqua" w:hAnsi="Book Antiqua" w:cs="Arial"/>
          <w:b/>
          <w:caps/>
        </w:rPr>
        <w:t>TFA</w:t>
      </w:r>
    </w:p>
    <w:p w:rsidR="00920A1A" w:rsidRPr="00A56832" w:rsidRDefault="00920A1A" w:rsidP="00920A1A">
      <w:pPr>
        <w:jc w:val="center"/>
        <w:rPr>
          <w:rFonts w:ascii="Book Antiqua" w:hAnsi="Book Antiqua" w:cs="Arial"/>
          <w:b/>
          <w:caps/>
        </w:rPr>
      </w:pPr>
      <w:r>
        <w:rPr>
          <w:rFonts w:ascii="Book Antiqua" w:hAnsi="Book Antiqua" w:cs="Arial"/>
          <w:b/>
          <w:caps/>
        </w:rPr>
        <w:t>(anonymity direction MADE)</w:t>
      </w:r>
    </w:p>
    <w:p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rsidR="00DD5071" w:rsidRDefault="00DD5071" w:rsidP="00DD5071">
      <w:pPr>
        <w:rPr>
          <w:rFonts w:ascii="Book Antiqua" w:hAnsi="Book Antiqua" w:cs="Arial"/>
          <w:u w:val="single"/>
        </w:rPr>
      </w:pPr>
    </w:p>
    <w:p w:rsidR="00046CD0" w:rsidRPr="00A56832" w:rsidRDefault="00046CD0" w:rsidP="00DD5071">
      <w:pPr>
        <w:rPr>
          <w:rFonts w:ascii="Book Antiqua" w:hAnsi="Book Antiqua" w:cs="Arial"/>
          <w:u w:val="single"/>
        </w:rPr>
      </w:pPr>
    </w:p>
    <w:p w:rsidR="00DE7DB7"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920A1A">
        <w:rPr>
          <w:rFonts w:ascii="Book Antiqua" w:hAnsi="Book Antiqua" w:cs="Arial"/>
        </w:rPr>
        <w:t>Mr D Mills, Senior Home Office Presenting Officer</w:t>
      </w:r>
    </w:p>
    <w:p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920A1A">
        <w:rPr>
          <w:rFonts w:ascii="Book Antiqua" w:hAnsi="Book Antiqua" w:cs="Arial"/>
        </w:rPr>
        <w:t xml:space="preserve">Ms M </w:t>
      </w:r>
      <w:proofErr w:type="spellStart"/>
      <w:r w:rsidR="00920A1A">
        <w:rPr>
          <w:rFonts w:ascii="Book Antiqua" w:hAnsi="Book Antiqua" w:cs="Arial"/>
        </w:rPr>
        <w:t>Chaggar</w:t>
      </w:r>
      <w:proofErr w:type="spellEnd"/>
      <w:r w:rsidR="00920A1A">
        <w:rPr>
          <w:rFonts w:ascii="Book Antiqua" w:hAnsi="Book Antiqua" w:cs="Arial"/>
        </w:rPr>
        <w:t xml:space="preserve">, instructed by </w:t>
      </w:r>
      <w:proofErr w:type="spellStart"/>
      <w:r w:rsidR="00920A1A">
        <w:rPr>
          <w:rFonts w:ascii="Book Antiqua" w:hAnsi="Book Antiqua" w:cs="Arial"/>
        </w:rPr>
        <w:t>Frence</w:t>
      </w:r>
      <w:proofErr w:type="spellEnd"/>
      <w:r w:rsidR="00920A1A">
        <w:rPr>
          <w:rFonts w:ascii="Book Antiqua" w:hAnsi="Book Antiqua" w:cs="Arial"/>
        </w:rPr>
        <w:t xml:space="preserve"> &amp; Co, Nottingham</w:t>
      </w:r>
    </w:p>
    <w:p w:rsidR="00DE7DB7" w:rsidRPr="00A56832" w:rsidRDefault="00DE7DB7" w:rsidP="00402B9E">
      <w:pPr>
        <w:tabs>
          <w:tab w:val="left" w:pos="2520"/>
        </w:tabs>
        <w:jc w:val="center"/>
        <w:rPr>
          <w:rFonts w:ascii="Book Antiqua" w:hAnsi="Book Antiqua" w:cs="Arial"/>
        </w:rPr>
      </w:pPr>
    </w:p>
    <w:p w:rsidR="00DE7DB7" w:rsidRPr="00A56832" w:rsidRDefault="00DE7DB7" w:rsidP="00402B9E">
      <w:pPr>
        <w:tabs>
          <w:tab w:val="left" w:pos="2520"/>
        </w:tabs>
        <w:jc w:val="center"/>
        <w:rPr>
          <w:rFonts w:ascii="Book Antiqua" w:hAnsi="Book Antiqua" w:cs="Arial"/>
        </w:rPr>
      </w:pPr>
    </w:p>
    <w:p w:rsidR="00DE7DB7" w:rsidRPr="00A56832" w:rsidRDefault="000D44AB" w:rsidP="00402B9E">
      <w:pPr>
        <w:tabs>
          <w:tab w:val="left" w:pos="2520"/>
        </w:tabs>
        <w:jc w:val="center"/>
        <w:rPr>
          <w:rFonts w:ascii="Book Antiqua" w:hAnsi="Book Antiqua" w:cs="Arial"/>
        </w:rPr>
      </w:pPr>
      <w:r>
        <w:rPr>
          <w:rFonts w:ascii="Book Antiqua" w:hAnsi="Book Antiqua" w:cs="Arial"/>
          <w:b/>
          <w:u w:val="single"/>
        </w:rPr>
        <w:t>DECISION</w:t>
      </w:r>
      <w:r w:rsidR="00920A1A">
        <w:rPr>
          <w:rFonts w:ascii="Book Antiqua" w:hAnsi="Book Antiqua" w:cs="Arial"/>
          <w:b/>
          <w:u w:val="single"/>
        </w:rPr>
        <w:t xml:space="preserve"> AND REASONS</w:t>
      </w:r>
    </w:p>
    <w:p w:rsidR="008739D9" w:rsidRPr="008739D9" w:rsidRDefault="008739D9" w:rsidP="000D44AB">
      <w:pPr>
        <w:numPr>
          <w:ilvl w:val="0"/>
          <w:numId w:val="3"/>
        </w:numPr>
        <w:spacing w:before="240"/>
        <w:jc w:val="both"/>
        <w:rPr>
          <w:rFonts w:ascii="Book Antiqua" w:hAnsi="Book Antiqua" w:cs="Arial"/>
        </w:rPr>
      </w:pPr>
      <w:r w:rsidRPr="008739D9">
        <w:rPr>
          <w:rFonts w:ascii="Book Antiqua" w:hAnsi="Book Antiqua" w:cs="Arial"/>
        </w:rPr>
        <w:t xml:space="preserve">The anonymity direction made by the First-tier Tribunal is </w:t>
      </w:r>
      <w:r>
        <w:rPr>
          <w:rFonts w:ascii="Book Antiqua" w:hAnsi="Book Antiqua" w:cs="Arial"/>
        </w:rPr>
        <w:t>continued</w:t>
      </w:r>
      <w:r w:rsidRPr="008739D9">
        <w:rPr>
          <w:rFonts w:ascii="Book Antiqua" w:hAnsi="Book Antiqua" w:cs="Arial"/>
        </w:rPr>
        <w:t>, albeit that it is now made under Rule 14(1) of the 2008 Upper Tribunal Procedure Rules.</w:t>
      </w:r>
    </w:p>
    <w:p w:rsidR="003A6504" w:rsidRDefault="00BD210D" w:rsidP="000D44AB">
      <w:pPr>
        <w:numPr>
          <w:ilvl w:val="0"/>
          <w:numId w:val="3"/>
        </w:numPr>
        <w:spacing w:before="240"/>
        <w:jc w:val="both"/>
        <w:rPr>
          <w:rFonts w:ascii="Book Antiqua" w:hAnsi="Book Antiqua" w:cs="Arial"/>
        </w:rPr>
      </w:pPr>
      <w:r>
        <w:rPr>
          <w:rFonts w:ascii="Book Antiqua" w:hAnsi="Book Antiqua" w:cs="Arial"/>
        </w:rPr>
        <w:t>The appellant was born on 27 May 1986 and is a citizen of Nigeria</w:t>
      </w:r>
      <w:r w:rsidR="00511BE5">
        <w:rPr>
          <w:rFonts w:ascii="Book Antiqua" w:hAnsi="Book Antiqua" w:cs="Arial"/>
        </w:rPr>
        <w:t>.</w:t>
      </w:r>
      <w:r>
        <w:rPr>
          <w:rFonts w:ascii="Book Antiqua" w:hAnsi="Book Antiqua" w:cs="Arial"/>
        </w:rPr>
        <w:t xml:space="preserve">  Her appeal against the refusal of a protection claim was allowed by First-tier Tribunal Judge Birk on 20 July 2017.</w:t>
      </w:r>
    </w:p>
    <w:p w:rsidR="00BD210D" w:rsidRDefault="00BD210D" w:rsidP="000D44AB">
      <w:pPr>
        <w:numPr>
          <w:ilvl w:val="0"/>
          <w:numId w:val="3"/>
        </w:numPr>
        <w:spacing w:before="240"/>
        <w:jc w:val="both"/>
        <w:rPr>
          <w:rFonts w:ascii="Book Antiqua" w:hAnsi="Book Antiqua" w:cs="Arial"/>
        </w:rPr>
      </w:pPr>
      <w:r>
        <w:rPr>
          <w:rFonts w:ascii="Book Antiqua" w:hAnsi="Book Antiqua" w:cs="Arial"/>
        </w:rPr>
        <w:lastRenderedPageBreak/>
        <w:t xml:space="preserve">Permission to appeal to the Upper Tribunal was granted by UT Judge </w:t>
      </w:r>
      <w:proofErr w:type="spellStart"/>
      <w:r>
        <w:rPr>
          <w:rFonts w:ascii="Book Antiqua" w:hAnsi="Book Antiqua" w:cs="Arial"/>
        </w:rPr>
        <w:t>Eshun</w:t>
      </w:r>
      <w:proofErr w:type="spellEnd"/>
      <w:r>
        <w:rPr>
          <w:rFonts w:ascii="Book Antiqua" w:hAnsi="Book Antiqua" w:cs="Arial"/>
        </w:rPr>
        <w:t xml:space="preserve"> on 6 November 2017.  This key issue in this appeal was whether Judge Birk was entitled to make her own findings as to whether the appellant had been trafficked given that there was a negative conclusive grounds decision by the competent authority, a different part of the Home Office than that deciding immigration and protection matters.</w:t>
      </w:r>
    </w:p>
    <w:p w:rsidR="007852DF" w:rsidRDefault="007852DF" w:rsidP="007852DF">
      <w:pPr>
        <w:numPr>
          <w:ilvl w:val="0"/>
          <w:numId w:val="3"/>
        </w:numPr>
        <w:spacing w:before="240"/>
        <w:jc w:val="both"/>
        <w:rPr>
          <w:rFonts w:ascii="Book Antiqua" w:hAnsi="Book Antiqua" w:cs="Arial"/>
        </w:rPr>
      </w:pPr>
      <w:r>
        <w:rPr>
          <w:rFonts w:ascii="Book Antiqua" w:hAnsi="Book Antiqua" w:cs="Arial"/>
        </w:rPr>
        <w:t xml:space="preserve">This appeal is brought by the Secretary of State.  </w:t>
      </w:r>
      <w:r w:rsidR="00BD210D" w:rsidRPr="007852DF">
        <w:rPr>
          <w:rFonts w:ascii="Book Antiqua" w:hAnsi="Book Antiqua" w:cs="Arial"/>
        </w:rPr>
        <w:t xml:space="preserve">Since the appeal was determined, the position </w:t>
      </w:r>
      <w:r>
        <w:rPr>
          <w:rFonts w:ascii="Book Antiqua" w:hAnsi="Book Antiqua" w:cs="Arial"/>
        </w:rPr>
        <w:t xml:space="preserve">as to how conclusive grounds decisions should be viewed by the First-tier Tribunal </w:t>
      </w:r>
      <w:r w:rsidR="00BD210D" w:rsidRPr="007852DF">
        <w:rPr>
          <w:rFonts w:ascii="Book Antiqua" w:hAnsi="Book Antiqua" w:cs="Arial"/>
        </w:rPr>
        <w:t xml:space="preserve">has been clarified by the Court of Appeal by its judgment, </w:t>
      </w:r>
      <w:r w:rsidR="00BD210D" w:rsidRPr="007852DF">
        <w:rPr>
          <w:rFonts w:ascii="Book Antiqua" w:hAnsi="Book Antiqua" w:cs="Arial"/>
          <w:i/>
        </w:rPr>
        <w:t>SSHD v MS (Pakistan)</w:t>
      </w:r>
      <w:r w:rsidR="00BD210D" w:rsidRPr="007852DF">
        <w:rPr>
          <w:rFonts w:ascii="Book Antiqua" w:hAnsi="Book Antiqua" w:cs="Arial"/>
        </w:rPr>
        <w:t xml:space="preserve"> [2018] EWCA </w:t>
      </w:r>
      <w:proofErr w:type="spellStart"/>
      <w:r w:rsidR="00BD210D" w:rsidRPr="007852DF">
        <w:rPr>
          <w:rFonts w:ascii="Book Antiqua" w:hAnsi="Book Antiqua" w:cs="Arial"/>
        </w:rPr>
        <w:t>Civ</w:t>
      </w:r>
      <w:proofErr w:type="spellEnd"/>
      <w:r w:rsidR="00BD210D" w:rsidRPr="007852DF">
        <w:rPr>
          <w:rFonts w:ascii="Book Antiqua" w:hAnsi="Book Antiqua" w:cs="Arial"/>
        </w:rPr>
        <w:t xml:space="preserve"> 594.  </w:t>
      </w:r>
      <w:r w:rsidRPr="007852DF">
        <w:rPr>
          <w:rFonts w:ascii="Book Antiqua" w:hAnsi="Book Antiqua" w:cs="Arial"/>
        </w:rPr>
        <w:t>Mr Mills relied on this judgment to support his case.</w:t>
      </w:r>
      <w:r>
        <w:rPr>
          <w:rFonts w:ascii="Book Antiqua" w:hAnsi="Book Antiqua" w:cs="Arial"/>
        </w:rPr>
        <w:t xml:space="preserve">  </w:t>
      </w:r>
    </w:p>
    <w:p w:rsidR="007852DF" w:rsidRPr="007852DF" w:rsidRDefault="007852DF" w:rsidP="007852DF">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Chaggar</w:t>
      </w:r>
      <w:proofErr w:type="spellEnd"/>
      <w:r>
        <w:rPr>
          <w:rFonts w:ascii="Book Antiqua" w:hAnsi="Book Antiqua" w:cs="Arial"/>
        </w:rPr>
        <w:t xml:space="preserve"> relied on the rule 24 response prepared by Mr S </w:t>
      </w:r>
      <w:proofErr w:type="spellStart"/>
      <w:r>
        <w:rPr>
          <w:rFonts w:ascii="Book Antiqua" w:hAnsi="Book Antiqua" w:cs="Arial"/>
        </w:rPr>
        <w:t>Vokes</w:t>
      </w:r>
      <w:proofErr w:type="spellEnd"/>
      <w:r>
        <w:rPr>
          <w:rFonts w:ascii="Book Antiqua" w:hAnsi="Book Antiqua" w:cs="Arial"/>
        </w:rPr>
        <w:t>, which the Tribunal received on 8 December 2017.  He focused on the apparent different standards of proof used by the competent authority when assessing the trafficking issue and the Tribunal when assessing whether there is a real likelihood of persecution or other serious harm.</w:t>
      </w:r>
    </w:p>
    <w:p w:rsidR="007852DF" w:rsidRDefault="00BD210D" w:rsidP="00CD44DF">
      <w:pPr>
        <w:numPr>
          <w:ilvl w:val="0"/>
          <w:numId w:val="3"/>
        </w:numPr>
        <w:spacing w:before="240"/>
        <w:jc w:val="both"/>
        <w:rPr>
          <w:rFonts w:ascii="Book Antiqua" w:hAnsi="Book Antiqua" w:cs="Arial"/>
        </w:rPr>
      </w:pPr>
      <w:r>
        <w:rPr>
          <w:rFonts w:ascii="Book Antiqua" w:hAnsi="Book Antiqua" w:cs="Arial"/>
        </w:rPr>
        <w:t xml:space="preserve">At the hearing I discussed with Mr Mills and Ms </w:t>
      </w:r>
      <w:proofErr w:type="spellStart"/>
      <w:r>
        <w:rPr>
          <w:rFonts w:ascii="Book Antiqua" w:hAnsi="Book Antiqua" w:cs="Arial"/>
        </w:rPr>
        <w:t>Chaggar</w:t>
      </w:r>
      <w:proofErr w:type="spellEnd"/>
      <w:r>
        <w:rPr>
          <w:rFonts w:ascii="Book Antiqua" w:hAnsi="Book Antiqua" w:cs="Arial"/>
        </w:rPr>
        <w:t xml:space="preserve"> </w:t>
      </w:r>
      <w:r w:rsidR="007852DF">
        <w:rPr>
          <w:rFonts w:ascii="Book Antiqua" w:hAnsi="Book Antiqua" w:cs="Arial"/>
        </w:rPr>
        <w:t>the</w:t>
      </w:r>
      <w:r>
        <w:rPr>
          <w:rFonts w:ascii="Book Antiqua" w:hAnsi="Book Antiqua" w:cs="Arial"/>
        </w:rPr>
        <w:t xml:space="preserve"> concern regarding the standard of proof</w:t>
      </w:r>
      <w:r w:rsidR="007852DF">
        <w:rPr>
          <w:rFonts w:ascii="Book Antiqua" w:hAnsi="Book Antiqua" w:cs="Arial"/>
        </w:rPr>
        <w:t>.  The preamble to the competent authority’s decision was expressed</w:t>
      </w:r>
      <w:r>
        <w:rPr>
          <w:rFonts w:ascii="Book Antiqua" w:hAnsi="Book Antiqua" w:cs="Arial"/>
        </w:rPr>
        <w:t xml:space="preserve"> </w:t>
      </w:r>
      <w:r w:rsidR="007852DF">
        <w:rPr>
          <w:rFonts w:ascii="Book Antiqua" w:hAnsi="Book Antiqua" w:cs="Arial"/>
        </w:rPr>
        <w:t>in terms of applying a balance of probabilities.  That suggested a higher standard of proof than the Tribunal could apply.</w:t>
      </w:r>
    </w:p>
    <w:p w:rsidR="008739D9" w:rsidRDefault="008739D9" w:rsidP="008739D9">
      <w:pPr>
        <w:numPr>
          <w:ilvl w:val="0"/>
          <w:numId w:val="3"/>
        </w:numPr>
        <w:spacing w:before="240"/>
        <w:jc w:val="both"/>
        <w:rPr>
          <w:rFonts w:ascii="Book Antiqua" w:hAnsi="Book Antiqua" w:cs="Arial"/>
        </w:rPr>
      </w:pPr>
      <w:r>
        <w:rPr>
          <w:rFonts w:ascii="Book Antiqua" w:hAnsi="Book Antiqua" w:cs="Arial"/>
        </w:rPr>
        <w:t xml:space="preserve">Although not raised by either party, I recalled that </w:t>
      </w:r>
      <w:r w:rsidR="007852DF">
        <w:rPr>
          <w:rFonts w:ascii="Book Antiqua" w:hAnsi="Book Antiqua" w:cs="Arial"/>
        </w:rPr>
        <w:t xml:space="preserve">the Supreme Court had confirmed that all evidence in a protection claim appeal was to be assessed at the lower standard of proof </w:t>
      </w:r>
      <w:r w:rsidR="00BD210D">
        <w:rPr>
          <w:rFonts w:ascii="Book Antiqua" w:hAnsi="Book Antiqua" w:cs="Arial"/>
        </w:rPr>
        <w:t xml:space="preserve">(see [16] and [17] of </w:t>
      </w:r>
      <w:r w:rsidR="00BD210D" w:rsidRPr="00BD210D">
        <w:rPr>
          <w:rFonts w:ascii="Book Antiqua" w:hAnsi="Book Antiqua" w:cs="Arial"/>
          <w:i/>
        </w:rPr>
        <w:t xml:space="preserve">MA (Somalia) v </w:t>
      </w:r>
      <w:r w:rsidR="00BD210D">
        <w:rPr>
          <w:rFonts w:ascii="Book Antiqua" w:hAnsi="Book Antiqua" w:cs="Arial"/>
          <w:i/>
        </w:rPr>
        <w:t>SSHD</w:t>
      </w:r>
      <w:r w:rsidR="00BD210D" w:rsidRPr="00BD210D">
        <w:rPr>
          <w:rFonts w:ascii="Book Antiqua" w:hAnsi="Book Antiqua" w:cs="Arial"/>
        </w:rPr>
        <w:t xml:space="preserve"> [2010] UKSC 49</w:t>
      </w:r>
      <w:r w:rsidR="00BD210D">
        <w:rPr>
          <w:rFonts w:ascii="Book Antiqua" w:hAnsi="Book Antiqua" w:cs="Arial"/>
        </w:rPr>
        <w:t>)</w:t>
      </w:r>
      <w:r>
        <w:rPr>
          <w:rFonts w:ascii="Book Antiqua" w:hAnsi="Book Antiqua" w:cs="Arial"/>
        </w:rPr>
        <w:t xml:space="preserve">.  The Supreme Court endorsed the principles in </w:t>
      </w:r>
      <w:proofErr w:type="spellStart"/>
      <w:r w:rsidRPr="00CD44DF">
        <w:rPr>
          <w:rFonts w:ascii="Book Antiqua" w:hAnsi="Book Antiqua" w:cs="Arial"/>
          <w:i/>
        </w:rPr>
        <w:t>Karanakaran</w:t>
      </w:r>
      <w:proofErr w:type="spellEnd"/>
      <w:r w:rsidRPr="00CD44DF">
        <w:rPr>
          <w:rFonts w:ascii="Book Antiqua" w:hAnsi="Book Antiqua" w:cs="Arial"/>
          <w:i/>
        </w:rPr>
        <w:t xml:space="preserve"> v </w:t>
      </w:r>
      <w:r>
        <w:rPr>
          <w:rFonts w:ascii="Book Antiqua" w:hAnsi="Book Antiqua" w:cs="Arial"/>
          <w:i/>
        </w:rPr>
        <w:t>SSHD</w:t>
      </w:r>
      <w:r w:rsidRPr="00CD44DF">
        <w:rPr>
          <w:rFonts w:ascii="Book Antiqua" w:hAnsi="Book Antiqua" w:cs="Arial"/>
          <w:i/>
        </w:rPr>
        <w:t xml:space="preserve"> </w:t>
      </w:r>
      <w:r w:rsidRPr="00CD44DF">
        <w:rPr>
          <w:rFonts w:ascii="Book Antiqua" w:hAnsi="Book Antiqua" w:cs="Arial"/>
        </w:rPr>
        <w:t xml:space="preserve">[2000] EWCA </w:t>
      </w:r>
      <w:proofErr w:type="spellStart"/>
      <w:r w:rsidRPr="00CD44DF">
        <w:rPr>
          <w:rFonts w:ascii="Book Antiqua" w:hAnsi="Book Antiqua" w:cs="Arial"/>
        </w:rPr>
        <w:t>Civ</w:t>
      </w:r>
      <w:proofErr w:type="spellEnd"/>
      <w:r w:rsidRPr="00CD44DF">
        <w:rPr>
          <w:rFonts w:ascii="Book Antiqua" w:hAnsi="Book Antiqua" w:cs="Arial"/>
        </w:rPr>
        <w:t xml:space="preserve"> 11</w:t>
      </w:r>
      <w:r>
        <w:rPr>
          <w:rFonts w:ascii="Book Antiqua" w:hAnsi="Book Antiqua" w:cs="Arial"/>
        </w:rPr>
        <w:t xml:space="preserve">, which confirm that the lower standard of proof applies to all the evidence to be assessed in a protection claim.  These points appeared to add weight to Mr </w:t>
      </w:r>
      <w:proofErr w:type="spellStart"/>
      <w:r>
        <w:rPr>
          <w:rFonts w:ascii="Book Antiqua" w:hAnsi="Book Antiqua" w:cs="Arial"/>
        </w:rPr>
        <w:t>Vokes’s</w:t>
      </w:r>
      <w:proofErr w:type="spellEnd"/>
      <w:r>
        <w:rPr>
          <w:rFonts w:ascii="Book Antiqua" w:hAnsi="Book Antiqua" w:cs="Arial"/>
        </w:rPr>
        <w:t xml:space="preserve"> argument because it was unclear how a decision made using a higher standard of proof could bind the Tribunal when determining an appeal against the refusal of a protection claim.  </w:t>
      </w:r>
    </w:p>
    <w:p w:rsidR="00CD44DF" w:rsidRPr="008739D9" w:rsidRDefault="008739D9" w:rsidP="00CD44DF">
      <w:pPr>
        <w:numPr>
          <w:ilvl w:val="0"/>
          <w:numId w:val="3"/>
        </w:numPr>
        <w:spacing w:before="240"/>
        <w:jc w:val="both"/>
        <w:rPr>
          <w:rFonts w:ascii="Book Antiqua" w:hAnsi="Book Antiqua" w:cs="Arial"/>
        </w:rPr>
      </w:pPr>
      <w:r w:rsidRPr="008739D9">
        <w:rPr>
          <w:rFonts w:ascii="Book Antiqua" w:hAnsi="Book Antiqua" w:cs="Arial"/>
          <w:i/>
        </w:rPr>
        <w:t>MS (Pakistan)</w:t>
      </w:r>
      <w:r w:rsidRPr="008739D9">
        <w:rPr>
          <w:rFonts w:ascii="Book Antiqua" w:hAnsi="Book Antiqua" w:cs="Arial"/>
        </w:rPr>
        <w:t xml:space="preserve"> is silent on this issue.  </w:t>
      </w:r>
      <w:r>
        <w:rPr>
          <w:rFonts w:ascii="Book Antiqua" w:hAnsi="Book Antiqua" w:cs="Arial"/>
        </w:rPr>
        <w:t xml:space="preserve">Although discussed at length, the point </w:t>
      </w:r>
      <w:r w:rsidR="00CD44DF" w:rsidRPr="008739D9">
        <w:rPr>
          <w:rFonts w:ascii="Book Antiqua" w:hAnsi="Book Antiqua" w:cs="Arial"/>
        </w:rPr>
        <w:t xml:space="preserve">was not answered by either representative.  My own view, having listened to their arguments, is that the decision of the competent authority is not a judicial decision and it is unclear if the decision maker understands the different standards of proof that apply.  When I examine the conclusive grounds decision, I find it reflects very well the approach taken in </w:t>
      </w:r>
      <w:r w:rsidR="007852DF" w:rsidRPr="008739D9">
        <w:rPr>
          <w:rFonts w:ascii="Book Antiqua" w:hAnsi="Book Antiqua" w:cs="Arial"/>
        </w:rPr>
        <w:t>letters detailing why a protection claim has been refused.  I am of the opinion that irrespective of the description given by the competent authority, the standard of proof that has in fact been applied is comparable to that used in a decision refusing a protection claim.  There is, therefore, in reality no difference in the standard of proof.</w:t>
      </w:r>
    </w:p>
    <w:p w:rsidR="007852DF" w:rsidRDefault="007852DF" w:rsidP="00CD44DF">
      <w:pPr>
        <w:numPr>
          <w:ilvl w:val="0"/>
          <w:numId w:val="3"/>
        </w:numPr>
        <w:spacing w:before="240"/>
        <w:jc w:val="both"/>
        <w:rPr>
          <w:rFonts w:ascii="Book Antiqua" w:hAnsi="Book Antiqua" w:cs="Arial"/>
        </w:rPr>
      </w:pPr>
      <w:r>
        <w:rPr>
          <w:rFonts w:ascii="Book Antiqua" w:hAnsi="Book Antiqua" w:cs="Arial"/>
        </w:rPr>
        <w:t>As a result, after the discussion, I indicated that the decision of Judge Birk contains legal error because she had no proper basis to go behind the decision of the competent authority.  There was no evidence to suggest that decision was legally perverse.  As a result, the assessment of the appellant’s case and the risk on return are fundamentally flawed and the decision must be set aside.</w:t>
      </w:r>
    </w:p>
    <w:p w:rsidR="007852DF" w:rsidRDefault="007852DF" w:rsidP="00CD44DF">
      <w:pPr>
        <w:numPr>
          <w:ilvl w:val="0"/>
          <w:numId w:val="3"/>
        </w:numPr>
        <w:spacing w:before="240"/>
        <w:jc w:val="both"/>
        <w:rPr>
          <w:rFonts w:ascii="Book Antiqua" w:hAnsi="Book Antiqua" w:cs="Arial"/>
        </w:rPr>
      </w:pPr>
      <w:r>
        <w:rPr>
          <w:rFonts w:ascii="Book Antiqua" w:hAnsi="Book Antiqua" w:cs="Arial"/>
        </w:rPr>
        <w:lastRenderedPageBreak/>
        <w:t>Given the fact the case will have to begin again, the parties agreed that the appeal should be remitted de novo to the First-tier Tribunal.  I agree.</w:t>
      </w:r>
    </w:p>
    <w:p w:rsidR="00E76309" w:rsidRDefault="00E76309" w:rsidP="00E80E94">
      <w:pPr>
        <w:jc w:val="both"/>
        <w:rPr>
          <w:rFonts w:ascii="Book Antiqua" w:hAnsi="Book Antiqua" w:cs="Arial"/>
        </w:rPr>
      </w:pPr>
    </w:p>
    <w:p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rsidR="00B63045" w:rsidRDefault="00B63045" w:rsidP="00B63045">
      <w:pPr>
        <w:tabs>
          <w:tab w:val="left" w:pos="567"/>
        </w:tabs>
        <w:jc w:val="both"/>
        <w:rPr>
          <w:rFonts w:ascii="Book Antiqua" w:hAnsi="Book Antiqua" w:cs="Arial"/>
        </w:rPr>
      </w:pPr>
    </w:p>
    <w:p w:rsidR="00E80E94" w:rsidRDefault="00511BE5" w:rsidP="00E80E94">
      <w:pPr>
        <w:jc w:val="both"/>
        <w:rPr>
          <w:rFonts w:ascii="Book Antiqua" w:hAnsi="Book Antiqua"/>
        </w:rPr>
      </w:pPr>
      <w:r>
        <w:rPr>
          <w:rFonts w:ascii="Book Antiqua" w:hAnsi="Book Antiqua"/>
        </w:rPr>
        <w:t xml:space="preserve">The decision of </w:t>
      </w:r>
      <w:proofErr w:type="spellStart"/>
      <w:r>
        <w:rPr>
          <w:rFonts w:ascii="Book Antiqua" w:hAnsi="Book Antiqua"/>
        </w:rPr>
        <w:t>FtT</w:t>
      </w:r>
      <w:proofErr w:type="spellEnd"/>
      <w:r>
        <w:rPr>
          <w:rFonts w:ascii="Book Antiqua" w:hAnsi="Book Antiqua"/>
        </w:rPr>
        <w:t xml:space="preserve"> Judge </w:t>
      </w:r>
      <w:r w:rsidR="007852DF">
        <w:rPr>
          <w:rFonts w:ascii="Book Antiqua" w:hAnsi="Book Antiqua"/>
        </w:rPr>
        <w:t>Birk</w:t>
      </w:r>
      <w:r>
        <w:rPr>
          <w:rFonts w:ascii="Book Antiqua" w:hAnsi="Book Antiqua"/>
        </w:rPr>
        <w:t xml:space="preserve"> contains an error of law and is set aside</w:t>
      </w:r>
      <w:r w:rsidR="00E80E94">
        <w:rPr>
          <w:rFonts w:ascii="Book Antiqua" w:hAnsi="Book Antiqua"/>
        </w:rPr>
        <w:t>.</w:t>
      </w:r>
    </w:p>
    <w:p w:rsidR="00CA0AA4" w:rsidRDefault="00CA0AA4" w:rsidP="00E80E94">
      <w:pPr>
        <w:jc w:val="both"/>
        <w:rPr>
          <w:rFonts w:ascii="Book Antiqua" w:hAnsi="Book Antiqua"/>
        </w:rPr>
      </w:pPr>
    </w:p>
    <w:p w:rsidR="00511BE5" w:rsidRPr="00A56832" w:rsidRDefault="00511BE5" w:rsidP="00E80E94">
      <w:pPr>
        <w:jc w:val="both"/>
        <w:rPr>
          <w:rFonts w:ascii="Book Antiqua" w:hAnsi="Book Antiqua" w:cs="Arial"/>
        </w:rPr>
      </w:pPr>
      <w:r>
        <w:rPr>
          <w:rFonts w:ascii="Book Antiqua" w:hAnsi="Book Antiqua"/>
        </w:rPr>
        <w:t xml:space="preserve">The </w:t>
      </w:r>
      <w:r w:rsidR="007852DF">
        <w:rPr>
          <w:rFonts w:ascii="Book Antiqua" w:hAnsi="Book Antiqua"/>
        </w:rPr>
        <w:t>appeal is remitted to the First-tier Tribunal for a fresh decision made by a judge other than Judge Birk</w:t>
      </w:r>
      <w:r>
        <w:rPr>
          <w:rFonts w:ascii="Book Antiqua" w:hAnsi="Book Antiqua"/>
        </w:rPr>
        <w:t>.</w:t>
      </w:r>
    </w:p>
    <w:p w:rsidR="00E76309" w:rsidRPr="00A56832" w:rsidRDefault="005D09FE" w:rsidP="00E80E94">
      <w:pPr>
        <w:jc w:val="both"/>
        <w:rPr>
          <w:rFonts w:ascii="Book Antiqua" w:hAnsi="Book Antiqua" w:cs="Arial"/>
        </w:rPr>
      </w:pPr>
      <w:r>
        <w:rPr>
          <w:noProof/>
        </w:rPr>
        <w:drawing>
          <wp:anchor distT="0" distB="0" distL="114300" distR="114300" simplePos="0" relativeHeight="251657728" behindDoc="1" locked="0" layoutInCell="0" allowOverlap="0" wp14:anchorId="4E0431AD">
            <wp:simplePos x="0" y="0"/>
            <wp:positionH relativeFrom="page">
              <wp:posOffset>1078230</wp:posOffset>
            </wp:positionH>
            <wp:positionV relativeFrom="paragraph">
              <wp:posOffset>43815</wp:posOffset>
            </wp:positionV>
            <wp:extent cx="2342515" cy="1279525"/>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rsidR="000369F5" w:rsidRPr="00A56832" w:rsidRDefault="000369F5" w:rsidP="00E80E94">
      <w:pPr>
        <w:jc w:val="both"/>
        <w:rPr>
          <w:rFonts w:ascii="Book Antiqua" w:hAnsi="Book Antiqua" w:cs="Arial"/>
        </w:rPr>
      </w:pPr>
    </w:p>
    <w:p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511BE5">
        <w:rPr>
          <w:rFonts w:ascii="Book Antiqua" w:hAnsi="Book Antiqua" w:cs="Arial"/>
        </w:rPr>
        <w:tab/>
        <w:t>6 August 2018</w:t>
      </w:r>
    </w:p>
    <w:p w:rsidR="001F2716" w:rsidRPr="00A56832" w:rsidRDefault="001F2716" w:rsidP="00E80E94">
      <w:pPr>
        <w:jc w:val="both"/>
        <w:rPr>
          <w:rFonts w:ascii="Book Antiqua" w:hAnsi="Book Antiqua" w:cs="Arial"/>
        </w:rPr>
      </w:pPr>
    </w:p>
    <w:p w:rsidR="001F2716" w:rsidRPr="00A56832" w:rsidRDefault="001F2716" w:rsidP="00E80E94">
      <w:pPr>
        <w:jc w:val="both"/>
        <w:rPr>
          <w:rFonts w:ascii="Book Antiqua" w:hAnsi="Book Antiqua" w:cs="Arial"/>
        </w:rPr>
      </w:pPr>
    </w:p>
    <w:p w:rsidR="005B7789" w:rsidRDefault="00AC5CF6" w:rsidP="00D41536">
      <w:pPr>
        <w:ind w:left="1134"/>
        <w:jc w:val="both"/>
        <w:rPr>
          <w:rFonts w:ascii="Book Antiqua" w:hAnsi="Book Antiqua" w:cs="Arial"/>
        </w:rPr>
      </w:pPr>
      <w:r w:rsidRPr="00A56832">
        <w:rPr>
          <w:rFonts w:ascii="Book Antiqua" w:hAnsi="Book Antiqua" w:cs="Arial"/>
        </w:rPr>
        <w:t>Judge</w:t>
      </w:r>
      <w:r w:rsidR="00F301DB">
        <w:rPr>
          <w:rFonts w:ascii="Book Antiqua" w:hAnsi="Book Antiqua" w:cs="Arial"/>
        </w:rPr>
        <w:t xml:space="preserve"> </w:t>
      </w:r>
      <w:r w:rsidR="00D41536">
        <w:rPr>
          <w:rFonts w:ascii="Book Antiqua" w:hAnsi="Book Antiqua" w:cs="Arial"/>
        </w:rPr>
        <w:t>McCarthy</w:t>
      </w:r>
    </w:p>
    <w:p w:rsidR="00041662" w:rsidRDefault="005E542E" w:rsidP="00D41536">
      <w:pPr>
        <w:ind w:left="1134"/>
        <w:jc w:val="both"/>
        <w:rPr>
          <w:rFonts w:ascii="Book Antiqua" w:hAnsi="Book Antiqua" w:cs="Arial"/>
        </w:rPr>
      </w:pPr>
      <w:r>
        <w:rPr>
          <w:rFonts w:ascii="Book Antiqua" w:hAnsi="Book Antiqua" w:cs="Arial"/>
        </w:rPr>
        <w:t>A Deputy Judge of the Upper</w:t>
      </w:r>
      <w:r w:rsidR="008F07F8">
        <w:rPr>
          <w:rFonts w:ascii="Book Antiqua" w:hAnsi="Book Antiqua" w:cs="Arial"/>
        </w:rPr>
        <w:t xml:space="preserve"> Tribunal</w:t>
      </w:r>
    </w:p>
    <w:p w:rsidR="00E80E94" w:rsidRDefault="00E80E94" w:rsidP="00E80E94">
      <w:pPr>
        <w:jc w:val="both"/>
        <w:rPr>
          <w:rFonts w:ascii="Book Antiqua" w:hAnsi="Book Antiqua" w:cs="Arial"/>
        </w:rPr>
      </w:pPr>
    </w:p>
    <w:p w:rsidR="00E80E94" w:rsidRDefault="00E80E94" w:rsidP="00E80E94">
      <w:pPr>
        <w:jc w:val="both"/>
        <w:rPr>
          <w:rFonts w:ascii="Book Antiqua" w:hAnsi="Book Antiqua" w:cs="Arial"/>
        </w:rPr>
      </w:pPr>
    </w:p>
    <w:sectPr w:rsidR="00E80E94"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889" w:rsidRDefault="00885889">
      <w:r>
        <w:separator/>
      </w:r>
    </w:p>
  </w:endnote>
  <w:endnote w:type="continuationSeparator" w:id="0">
    <w:p w:rsidR="00885889" w:rsidRDefault="0088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7A2E70">
      <w:rPr>
        <w:rStyle w:val="PageNumber"/>
        <w:rFonts w:ascii="Book Antiqua" w:hAnsi="Book Antiqua" w:cs="Arial"/>
        <w:noProof/>
        <w:sz w:val="16"/>
        <w:szCs w:val="16"/>
      </w:rPr>
      <w:t>2</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D4153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889" w:rsidRDefault="00885889">
      <w:r>
        <w:separator/>
      </w:r>
    </w:p>
  </w:footnote>
  <w:footnote w:type="continuationSeparator" w:id="0">
    <w:p w:rsidR="00885889" w:rsidRDefault="00885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046CD0" w:rsidRDefault="00046CD0" w:rsidP="00046CD0">
    <w:pPr>
      <w:pStyle w:val="Header"/>
      <w:jc w:val="right"/>
      <w:rPr>
        <w:sz w:val="20"/>
        <w:szCs w:val="20"/>
      </w:rPr>
    </w:pPr>
    <w:r w:rsidRPr="00046CD0">
      <w:rPr>
        <w:rFonts w:ascii="Book Antiqua" w:hAnsi="Book Antiqua" w:cs="Arial"/>
        <w:sz w:val="20"/>
        <w:szCs w:val="20"/>
      </w:rPr>
      <w:t>Appeal Number: PA/04868/2017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7"/>
  </w:num>
  <w:num w:numId="6">
    <w:abstractNumId w:val="10"/>
  </w:num>
  <w:num w:numId="7">
    <w:abstractNumId w:val="16"/>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style="mso-position-horizontal-relative:page;mso-position-vertical-relative:page;mso-width-relative:margin;mso-height-relative:margin" o:allowincell="f"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CED"/>
    <w:rsid w:val="00000621"/>
    <w:rsid w:val="000036C2"/>
    <w:rsid w:val="00014318"/>
    <w:rsid w:val="00021EA4"/>
    <w:rsid w:val="00033D3D"/>
    <w:rsid w:val="000369F5"/>
    <w:rsid w:val="00041662"/>
    <w:rsid w:val="00046CD0"/>
    <w:rsid w:val="00071A7E"/>
    <w:rsid w:val="000746C0"/>
    <w:rsid w:val="00074D1D"/>
    <w:rsid w:val="00092580"/>
    <w:rsid w:val="000D44AB"/>
    <w:rsid w:val="000D5D94"/>
    <w:rsid w:val="000D6B41"/>
    <w:rsid w:val="000D76B2"/>
    <w:rsid w:val="001165A7"/>
    <w:rsid w:val="001241F2"/>
    <w:rsid w:val="00151BB7"/>
    <w:rsid w:val="00167D3A"/>
    <w:rsid w:val="0018162A"/>
    <w:rsid w:val="0018559A"/>
    <w:rsid w:val="001C0076"/>
    <w:rsid w:val="001D4C5D"/>
    <w:rsid w:val="001F2716"/>
    <w:rsid w:val="001F3809"/>
    <w:rsid w:val="0020133A"/>
    <w:rsid w:val="00207617"/>
    <w:rsid w:val="00233774"/>
    <w:rsid w:val="00261911"/>
    <w:rsid w:val="00266859"/>
    <w:rsid w:val="00283659"/>
    <w:rsid w:val="00295EDF"/>
    <w:rsid w:val="002C4E73"/>
    <w:rsid w:val="002D68BF"/>
    <w:rsid w:val="002E1B91"/>
    <w:rsid w:val="00336CBF"/>
    <w:rsid w:val="003546C8"/>
    <w:rsid w:val="0037374F"/>
    <w:rsid w:val="003A6504"/>
    <w:rsid w:val="003A7CF2"/>
    <w:rsid w:val="003C5CE5"/>
    <w:rsid w:val="003E267B"/>
    <w:rsid w:val="003E3150"/>
    <w:rsid w:val="003E7604"/>
    <w:rsid w:val="003E7CD1"/>
    <w:rsid w:val="003F05AB"/>
    <w:rsid w:val="00402B9E"/>
    <w:rsid w:val="004229C0"/>
    <w:rsid w:val="00423932"/>
    <w:rsid w:val="004249CB"/>
    <w:rsid w:val="0044127D"/>
    <w:rsid w:val="004448DB"/>
    <w:rsid w:val="00446C9A"/>
    <w:rsid w:val="004763C5"/>
    <w:rsid w:val="00477193"/>
    <w:rsid w:val="004A1848"/>
    <w:rsid w:val="00507FEC"/>
    <w:rsid w:val="00510F0E"/>
    <w:rsid w:val="00511BE5"/>
    <w:rsid w:val="00517F14"/>
    <w:rsid w:val="005479E1"/>
    <w:rsid w:val="005515D0"/>
    <w:rsid w:val="005570FD"/>
    <w:rsid w:val="005575EA"/>
    <w:rsid w:val="0057790C"/>
    <w:rsid w:val="00593795"/>
    <w:rsid w:val="005A75FF"/>
    <w:rsid w:val="005B7789"/>
    <w:rsid w:val="005D09FE"/>
    <w:rsid w:val="005E542E"/>
    <w:rsid w:val="0064629B"/>
    <w:rsid w:val="0065791C"/>
    <w:rsid w:val="0068706C"/>
    <w:rsid w:val="00690B8A"/>
    <w:rsid w:val="006D1DFA"/>
    <w:rsid w:val="006D506B"/>
    <w:rsid w:val="006E3C90"/>
    <w:rsid w:val="006F253C"/>
    <w:rsid w:val="00704B61"/>
    <w:rsid w:val="00742A8D"/>
    <w:rsid w:val="007552A9"/>
    <w:rsid w:val="00761858"/>
    <w:rsid w:val="00767D59"/>
    <w:rsid w:val="00776E97"/>
    <w:rsid w:val="00780FD7"/>
    <w:rsid w:val="007852DF"/>
    <w:rsid w:val="007912AD"/>
    <w:rsid w:val="007A2E70"/>
    <w:rsid w:val="007B0824"/>
    <w:rsid w:val="007B18C8"/>
    <w:rsid w:val="007F431E"/>
    <w:rsid w:val="008303B8"/>
    <w:rsid w:val="00833DCE"/>
    <w:rsid w:val="008456B2"/>
    <w:rsid w:val="00854BB5"/>
    <w:rsid w:val="00871D34"/>
    <w:rsid w:val="008739D9"/>
    <w:rsid w:val="00885889"/>
    <w:rsid w:val="008A3106"/>
    <w:rsid w:val="008B270C"/>
    <w:rsid w:val="008C3D3D"/>
    <w:rsid w:val="008D4131"/>
    <w:rsid w:val="008E5D45"/>
    <w:rsid w:val="008F07F8"/>
    <w:rsid w:val="008F1932"/>
    <w:rsid w:val="008F294D"/>
    <w:rsid w:val="00902241"/>
    <w:rsid w:val="00920A1A"/>
    <w:rsid w:val="00921062"/>
    <w:rsid w:val="00966ECF"/>
    <w:rsid w:val="009727A3"/>
    <w:rsid w:val="009753BD"/>
    <w:rsid w:val="00987774"/>
    <w:rsid w:val="009A11E8"/>
    <w:rsid w:val="009F5220"/>
    <w:rsid w:val="009F7C4D"/>
    <w:rsid w:val="00A10290"/>
    <w:rsid w:val="00A15234"/>
    <w:rsid w:val="00A201AB"/>
    <w:rsid w:val="00A31C8B"/>
    <w:rsid w:val="00A46984"/>
    <w:rsid w:val="00A56832"/>
    <w:rsid w:val="00A6195B"/>
    <w:rsid w:val="00A845DC"/>
    <w:rsid w:val="00A97AEE"/>
    <w:rsid w:val="00AC5CF6"/>
    <w:rsid w:val="00AD6D2B"/>
    <w:rsid w:val="00B144FA"/>
    <w:rsid w:val="00B30648"/>
    <w:rsid w:val="00B3524D"/>
    <w:rsid w:val="00B40F69"/>
    <w:rsid w:val="00B46616"/>
    <w:rsid w:val="00B61205"/>
    <w:rsid w:val="00B617C4"/>
    <w:rsid w:val="00B626FA"/>
    <w:rsid w:val="00B63045"/>
    <w:rsid w:val="00B7040A"/>
    <w:rsid w:val="00B772EB"/>
    <w:rsid w:val="00BD210D"/>
    <w:rsid w:val="00BD4196"/>
    <w:rsid w:val="00BE0CED"/>
    <w:rsid w:val="00BF22CA"/>
    <w:rsid w:val="00C26032"/>
    <w:rsid w:val="00C265B0"/>
    <w:rsid w:val="00C345E1"/>
    <w:rsid w:val="00C51FDE"/>
    <w:rsid w:val="00CA0AA4"/>
    <w:rsid w:val="00CB6E35"/>
    <w:rsid w:val="00CC2B71"/>
    <w:rsid w:val="00CD44DF"/>
    <w:rsid w:val="00CE1A46"/>
    <w:rsid w:val="00CE1A4A"/>
    <w:rsid w:val="00CF253F"/>
    <w:rsid w:val="00CF56B4"/>
    <w:rsid w:val="00D20F09"/>
    <w:rsid w:val="00D22636"/>
    <w:rsid w:val="00D40FD9"/>
    <w:rsid w:val="00D41536"/>
    <w:rsid w:val="00D53769"/>
    <w:rsid w:val="00D63A24"/>
    <w:rsid w:val="00D85C13"/>
    <w:rsid w:val="00D91BE3"/>
    <w:rsid w:val="00D94AFC"/>
    <w:rsid w:val="00D950A8"/>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E45D8"/>
    <w:rsid w:val="00F004CD"/>
    <w:rsid w:val="00F22EDA"/>
    <w:rsid w:val="00F26AD0"/>
    <w:rsid w:val="00F301DB"/>
    <w:rsid w:val="00F33E0E"/>
    <w:rsid w:val="00FB7E80"/>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style="mso-position-horizontal-relative:page;mso-position-vertical-relative:page;mso-width-relative:margin;mso-height-relative:margin" o:allowincell="f" o:allowoverlap="f" fill="f" fillcolor="white" stroke="f">
      <v:fill color="white" on="f"/>
      <v:stroke on="f"/>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771</Words>
  <Characters>3811</Characters>
  <Application>Microsoft Office Word</Application>
  <DocSecurity>0</DocSecurity>
  <Lines>31</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2018-08-24T14:53:00Z</dcterms:created>
  <dcterms:modified xsi:type="dcterms:W3CDTF">2018-08-24T14:53:00Z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