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B29" w:rsidRDefault="00263B29" w:rsidP="00F97703">
      <w:pPr>
        <w:jc w:val="center"/>
        <w:rPr>
          <w:rFonts w:ascii="Book Antiqua" w:hAnsi="Book Antiqua" w:cs="Arial"/>
          <w:color w:val="000000"/>
          <w:sz w:val="16"/>
          <w:szCs w:val="16"/>
        </w:rPr>
      </w:pPr>
    </w:p>
    <w:p w:rsidR="00F97703" w:rsidRPr="008D52FD" w:rsidRDefault="00C6445D" w:rsidP="00F97703">
      <w:pPr>
        <w:jc w:val="center"/>
        <w:rPr>
          <w:rFonts w:ascii="Book Antiqua" w:hAnsi="Book Antiqua" w:cs="Arial"/>
          <w:color w:val="000000"/>
          <w:sz w:val="16"/>
          <w:szCs w:val="16"/>
        </w:rPr>
      </w:pPr>
      <w:r w:rsidRPr="008D52FD">
        <w:rPr>
          <w:noProof/>
          <w:sz w:val="16"/>
          <w:szCs w:val="16"/>
        </w:rPr>
        <w:drawing>
          <wp:inline distT="0" distB="0" distL="0" distR="0">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F13605">
      <w:pPr>
        <w:tabs>
          <w:tab w:val="right" w:pos="9720"/>
        </w:tabs>
        <w:ind w:right="-82"/>
        <w:rPr>
          <w:rFonts w:ascii="Book Antiqua" w:hAnsi="Book Antiqua" w:cs="Arial"/>
        </w:rPr>
      </w:pPr>
      <w:r w:rsidRPr="00D32B8A">
        <w:rPr>
          <w:rFonts w:ascii="Book Antiqua" w:hAnsi="Book Antiqua" w:cs="Arial"/>
          <w:b/>
          <w:color w:val="000000"/>
        </w:rPr>
        <w:t xml:space="preserve">(Immigration and Asylum </w:t>
      </w:r>
      <w:proofErr w:type="gramStart"/>
      <w:r w:rsidRPr="00D32B8A">
        <w:rPr>
          <w:rFonts w:ascii="Book Antiqua" w:hAnsi="Book Antiqua" w:cs="Arial"/>
          <w:b/>
          <w:color w:val="000000"/>
        </w:rPr>
        <w:t>Chamber)</w:t>
      </w:r>
      <w:r w:rsidR="00F13605">
        <w:rPr>
          <w:rFonts w:ascii="Book Antiqua" w:hAnsi="Book Antiqua" w:cs="Arial"/>
          <w:b/>
          <w:color w:val="000000"/>
        </w:rPr>
        <w:t xml:space="preserve">   </w:t>
      </w:r>
      <w:proofErr w:type="gramEnd"/>
      <w:r w:rsidR="00F13605">
        <w:rPr>
          <w:rFonts w:ascii="Book Antiqua" w:hAnsi="Book Antiqua" w:cs="Arial"/>
          <w:b/>
          <w:color w:val="000000"/>
        </w:rPr>
        <w:t xml:space="preserve">                     </w:t>
      </w:r>
      <w:r w:rsidR="00B3524D" w:rsidRPr="00F13605">
        <w:rPr>
          <w:rFonts w:ascii="Book Antiqua" w:hAnsi="Book Antiqua" w:cs="Arial"/>
          <w:b/>
          <w:color w:val="000000"/>
        </w:rPr>
        <w:t>Appeal Number</w:t>
      </w:r>
      <w:r w:rsidR="00D53769" w:rsidRPr="00F13605">
        <w:rPr>
          <w:rFonts w:ascii="Book Antiqua" w:hAnsi="Book Antiqua" w:cs="Arial"/>
          <w:b/>
          <w:color w:val="000000"/>
        </w:rPr>
        <w:t>:</w:t>
      </w:r>
      <w:r w:rsidR="00611FEE" w:rsidRPr="00F13605">
        <w:rPr>
          <w:rFonts w:ascii="Book Antiqua" w:hAnsi="Book Antiqua" w:cs="Arial"/>
          <w:b/>
        </w:rPr>
        <w:t xml:space="preserve"> PA/04968/2017</w:t>
      </w:r>
    </w:p>
    <w:p w:rsidR="008D52FD" w:rsidRDefault="008D52FD" w:rsidP="008D52FD">
      <w:pPr>
        <w:jc w:val="center"/>
        <w:rPr>
          <w:rFonts w:ascii="Book Antiqua" w:hAnsi="Book Antiqua" w:cs="Arial"/>
          <w:color w:val="000000"/>
        </w:rPr>
      </w:pPr>
    </w:p>
    <w:p w:rsidR="008D52FD" w:rsidRPr="00D32B8A" w:rsidRDefault="008D52FD" w:rsidP="008D52FD">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E533BA" w:rsidRPr="00D32B8A" w:rsidRDefault="00E533BA" w:rsidP="003446EF">
      <w:pPr>
        <w:tabs>
          <w:tab w:val="right" w:pos="9720"/>
        </w:tabs>
        <w:ind w:right="-82"/>
        <w:jc w:val="right"/>
        <w:rPr>
          <w:rFonts w:ascii="Book Antiqua" w:hAnsi="Book Antiqua" w:cs="Arial"/>
          <w:color w:val="000000"/>
        </w:rPr>
      </w:pPr>
    </w:p>
    <w:tbl>
      <w:tblPr>
        <w:tblW w:w="0" w:type="auto"/>
        <w:tblLook w:val="01E0" w:firstRow="1" w:lastRow="1" w:firstColumn="1" w:lastColumn="1" w:noHBand="0" w:noVBand="0"/>
      </w:tblPr>
      <w:tblGrid>
        <w:gridCol w:w="4828"/>
        <w:gridCol w:w="4810"/>
      </w:tblGrid>
      <w:tr w:rsidR="00E533BA" w:rsidRPr="003C5723" w:rsidTr="00C6445D">
        <w:tc>
          <w:tcPr>
            <w:tcW w:w="4928"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611FEE">
              <w:rPr>
                <w:rFonts w:ascii="Book Antiqua" w:hAnsi="Book Antiqua" w:cs="Arial"/>
                <w:b/>
              </w:rPr>
              <w:t>Liverpool</w:t>
            </w:r>
          </w:p>
        </w:tc>
        <w:tc>
          <w:tcPr>
            <w:tcW w:w="4900" w:type="dxa"/>
            <w:shd w:val="clear" w:color="auto" w:fill="auto"/>
          </w:tcPr>
          <w:p w:rsidR="00E533BA" w:rsidRPr="003C5723" w:rsidRDefault="00F13605" w:rsidP="003C5723">
            <w:pPr>
              <w:jc w:val="both"/>
              <w:rPr>
                <w:rFonts w:ascii="Book Antiqua" w:hAnsi="Book Antiqua" w:cs="Arial"/>
                <w:b/>
                <w:color w:val="000000"/>
              </w:rPr>
            </w:pPr>
            <w:r>
              <w:rPr>
                <w:rFonts w:ascii="Book Antiqua" w:hAnsi="Book Antiqua" w:cs="Arial"/>
                <w:b/>
                <w:color w:val="000000"/>
              </w:rPr>
              <w:t xml:space="preserve">        </w:t>
            </w:r>
            <w:r w:rsidR="00E533BA" w:rsidRPr="003C5723">
              <w:rPr>
                <w:rFonts w:ascii="Book Antiqua" w:hAnsi="Book Antiqua" w:cs="Arial"/>
                <w:b/>
                <w:color w:val="000000"/>
              </w:rPr>
              <w:t>De</w:t>
            </w:r>
            <w:r w:rsidR="00611FEE">
              <w:rPr>
                <w:rFonts w:ascii="Book Antiqua" w:hAnsi="Book Antiqua" w:cs="Arial"/>
                <w:b/>
                <w:color w:val="000000"/>
              </w:rPr>
              <w:t>cision</w:t>
            </w:r>
            <w:r w:rsidR="00C6445D">
              <w:rPr>
                <w:rFonts w:ascii="Book Antiqua" w:hAnsi="Book Antiqua" w:cs="Arial"/>
                <w:b/>
                <w:color w:val="000000"/>
              </w:rPr>
              <w:t xml:space="preserve"> &amp; Reasons</w:t>
            </w:r>
            <w:r w:rsidR="00611FEE">
              <w:rPr>
                <w:rFonts w:ascii="Book Antiqua" w:hAnsi="Book Antiqua" w:cs="Arial"/>
                <w:b/>
                <w:color w:val="000000"/>
              </w:rPr>
              <w:t xml:space="preserve"> p</w:t>
            </w:r>
            <w:r w:rsidR="00E533BA" w:rsidRPr="003C5723">
              <w:rPr>
                <w:rFonts w:ascii="Book Antiqua" w:hAnsi="Book Antiqua" w:cs="Arial"/>
                <w:b/>
                <w:color w:val="000000"/>
              </w:rPr>
              <w:t>romulgated</w:t>
            </w:r>
          </w:p>
        </w:tc>
      </w:tr>
      <w:tr w:rsidR="00E533BA" w:rsidRPr="003C5723" w:rsidTr="00C6445D">
        <w:tc>
          <w:tcPr>
            <w:tcW w:w="4928"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on </w:t>
            </w:r>
            <w:r w:rsidR="00611FEE">
              <w:rPr>
                <w:rFonts w:ascii="Book Antiqua" w:hAnsi="Book Antiqua" w:cs="Arial"/>
                <w:b/>
              </w:rPr>
              <w:t>2 August 2018</w:t>
            </w:r>
          </w:p>
        </w:tc>
        <w:tc>
          <w:tcPr>
            <w:tcW w:w="4900" w:type="dxa"/>
            <w:shd w:val="clear" w:color="auto" w:fill="auto"/>
          </w:tcPr>
          <w:p w:rsidR="00E533BA" w:rsidRPr="003C5723" w:rsidRDefault="00F13605" w:rsidP="003C5723">
            <w:pPr>
              <w:jc w:val="both"/>
              <w:rPr>
                <w:rFonts w:ascii="Book Antiqua" w:hAnsi="Book Antiqua" w:cs="Arial"/>
                <w:b/>
              </w:rPr>
            </w:pPr>
            <w:r>
              <w:rPr>
                <w:rFonts w:ascii="Book Antiqua" w:hAnsi="Book Antiqua" w:cs="Arial"/>
                <w:b/>
              </w:rPr>
              <w:t xml:space="preserve">        </w:t>
            </w:r>
            <w:r w:rsidR="00C6445D">
              <w:rPr>
                <w:rFonts w:ascii="Book Antiqua" w:hAnsi="Book Antiqua" w:cs="Arial"/>
                <w:b/>
              </w:rPr>
              <w:t>on 17 August 2018</w:t>
            </w:r>
          </w:p>
        </w:tc>
      </w:tr>
    </w:tbl>
    <w:p w:rsidR="008D52FD" w:rsidRDefault="008D52FD" w:rsidP="00B467EA">
      <w:pPr>
        <w:jc w:val="center"/>
        <w:outlineLvl w:val="0"/>
        <w:rPr>
          <w:rFonts w:ascii="Book Antiqua" w:hAnsi="Book Antiqua" w:cs="Arial"/>
          <w:b/>
        </w:rPr>
      </w:pPr>
    </w:p>
    <w:p w:rsidR="00263B29" w:rsidRDefault="00263B29" w:rsidP="00B467EA">
      <w:pPr>
        <w:jc w:val="center"/>
        <w:outlineLvl w:val="0"/>
        <w:rPr>
          <w:rFonts w:ascii="Book Antiqua" w:hAnsi="Book Antiqua" w:cs="Arial"/>
          <w:b/>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8D52FD" w:rsidRDefault="008D52FD" w:rsidP="00B467EA">
      <w:pPr>
        <w:jc w:val="center"/>
        <w:outlineLvl w:val="0"/>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611FEE" w:rsidRPr="00D32B8A" w:rsidRDefault="00611FEE" w:rsidP="00B467EA">
      <w:pPr>
        <w:jc w:val="center"/>
        <w:outlineLvl w:val="0"/>
        <w:rPr>
          <w:rFonts w:ascii="Book Antiqua" w:hAnsi="Book Antiqua" w:cs="Arial"/>
          <w:b/>
        </w:rPr>
      </w:pPr>
    </w:p>
    <w:p w:rsidR="00A845DC" w:rsidRDefault="00611FEE" w:rsidP="00A15234">
      <w:pPr>
        <w:jc w:val="center"/>
        <w:rPr>
          <w:rFonts w:ascii="Book Antiqua" w:hAnsi="Book Antiqua" w:cs="Arial"/>
          <w:b/>
        </w:rPr>
      </w:pPr>
      <w:r>
        <w:rPr>
          <w:rFonts w:ascii="Book Antiqua" w:hAnsi="Book Antiqua" w:cs="Arial"/>
          <w:b/>
        </w:rPr>
        <w:t>FARID AHMAD</w:t>
      </w:r>
    </w:p>
    <w:p w:rsidR="00611FEE" w:rsidRPr="00611FEE" w:rsidRDefault="00F13605" w:rsidP="00A15234">
      <w:pPr>
        <w:jc w:val="center"/>
        <w:rPr>
          <w:rFonts w:ascii="Book Antiqua" w:hAnsi="Book Antiqua" w:cs="Arial"/>
        </w:rPr>
      </w:pPr>
      <w:r>
        <w:rPr>
          <w:rFonts w:ascii="Book Antiqua" w:hAnsi="Book Antiqua" w:cs="Arial"/>
          <w:b/>
        </w:rPr>
        <w:t>(</w:t>
      </w:r>
      <w:r>
        <w:rPr>
          <w:rFonts w:ascii="Book Antiqua" w:hAnsi="Book Antiqua" w:cs="Arial"/>
        </w:rPr>
        <w:t>ANONYMITY DIRECTION NOT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F13605" w:rsidRDefault="00F13605" w:rsidP="00704B61">
      <w:pPr>
        <w:jc w:val="center"/>
        <w:rPr>
          <w:rFonts w:ascii="Book Antiqua" w:hAnsi="Book Antiqua" w:cs="Arial"/>
          <w:b/>
        </w:rPr>
      </w:pP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Default="00DD5071" w:rsidP="00704B61">
      <w:pPr>
        <w:jc w:val="center"/>
        <w:rPr>
          <w:rFonts w:ascii="Book Antiqua" w:hAnsi="Book Antiqua" w:cs="Arial"/>
          <w:b/>
        </w:rPr>
      </w:pPr>
    </w:p>
    <w:p w:rsidR="00F13605" w:rsidRPr="00D32B8A" w:rsidRDefault="00F13605" w:rsidP="00704B61">
      <w:pPr>
        <w:jc w:val="center"/>
        <w:rPr>
          <w:rFonts w:ascii="Book Antiqua" w:hAnsi="Book Antiqua" w:cs="Arial"/>
          <w:b/>
        </w:rPr>
      </w:pPr>
      <w:r>
        <w:rPr>
          <w:rFonts w:ascii="Book Antiqua" w:hAnsi="Book Antiqua" w:cs="Arial"/>
          <w:b/>
        </w:rPr>
        <w:t>THE SECRETARY OF STATE FOR THE HOME DEPARTMENT</w:t>
      </w:r>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Default="00DD5071" w:rsidP="00DD5071">
      <w:pPr>
        <w:rPr>
          <w:rFonts w:ascii="Book Antiqua" w:hAnsi="Book Antiqua" w:cs="Arial"/>
          <w:u w:val="single"/>
        </w:rPr>
      </w:pPr>
    </w:p>
    <w:p w:rsidR="00DD5071" w:rsidRDefault="00DE7DB7" w:rsidP="00B467EA">
      <w:pPr>
        <w:outlineLvl w:val="0"/>
        <w:rPr>
          <w:rFonts w:ascii="Book Antiqua" w:hAnsi="Book Antiqua" w:cs="Arial"/>
          <w:b/>
        </w:rPr>
      </w:pPr>
      <w:r w:rsidRPr="00D32B8A">
        <w:rPr>
          <w:rFonts w:ascii="Book Antiqua" w:hAnsi="Book Antiqua" w:cs="Arial"/>
          <w:b/>
          <w:u w:val="single"/>
        </w:rPr>
        <w:t>Representation</w:t>
      </w:r>
      <w:r w:rsidRPr="00D32B8A">
        <w:rPr>
          <w:rFonts w:ascii="Book Antiqua" w:hAnsi="Book Antiqua" w:cs="Arial"/>
          <w:b/>
        </w:rPr>
        <w:t>:</w:t>
      </w:r>
    </w:p>
    <w:p w:rsidR="00F13605" w:rsidRPr="00D32B8A" w:rsidRDefault="00F13605" w:rsidP="00B467EA">
      <w:pPr>
        <w:outlineLvl w:val="0"/>
        <w:rPr>
          <w:rFonts w:ascii="Book Antiqua" w:hAnsi="Book Antiqua" w:cs="Arial"/>
        </w:rPr>
      </w:pPr>
    </w:p>
    <w:p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C0050B">
        <w:rPr>
          <w:rFonts w:ascii="Book Antiqua" w:hAnsi="Book Antiqua" w:cs="Arial"/>
        </w:rPr>
        <w:t xml:space="preserve"> </w:t>
      </w:r>
      <w:r w:rsidR="00F13605">
        <w:rPr>
          <w:rFonts w:ascii="Book Antiqua" w:hAnsi="Book Antiqua" w:cs="Arial"/>
        </w:rPr>
        <w:t xml:space="preserve">          </w:t>
      </w:r>
      <w:r w:rsidR="00C0050B">
        <w:rPr>
          <w:rFonts w:ascii="Book Antiqua" w:hAnsi="Book Antiqua" w:cs="Arial"/>
        </w:rPr>
        <w:t>Mr Brown instructed by Citizens Advice Bureau (Bolton)</w:t>
      </w:r>
      <w:r w:rsidRPr="00D32B8A">
        <w:rPr>
          <w:rFonts w:ascii="Book Antiqua" w:hAnsi="Book Antiqua" w:cs="Arial"/>
        </w:rPr>
        <w:tab/>
      </w:r>
    </w:p>
    <w:p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C0050B">
        <w:rPr>
          <w:rFonts w:ascii="Book Antiqua" w:hAnsi="Book Antiqua" w:cs="Arial"/>
        </w:rPr>
        <w:t xml:space="preserve"> </w:t>
      </w:r>
      <w:r w:rsidR="00F13605">
        <w:rPr>
          <w:rFonts w:ascii="Book Antiqua" w:hAnsi="Book Antiqua" w:cs="Arial"/>
        </w:rPr>
        <w:t xml:space="preserve">       </w:t>
      </w:r>
      <w:r w:rsidR="00C0050B">
        <w:rPr>
          <w:rFonts w:ascii="Book Antiqua" w:hAnsi="Book Antiqua" w:cs="Arial"/>
        </w:rPr>
        <w:t>Mr T</w:t>
      </w:r>
      <w:r w:rsidR="0008569A">
        <w:rPr>
          <w:rFonts w:ascii="Book Antiqua" w:hAnsi="Book Antiqua" w:cs="Arial"/>
        </w:rPr>
        <w:t>a</w:t>
      </w:r>
      <w:r w:rsidR="00C0050B">
        <w:rPr>
          <w:rFonts w:ascii="Book Antiqua" w:hAnsi="Book Antiqua" w:cs="Arial"/>
        </w:rPr>
        <w:t>n Senior Home Office Presenting Officer</w:t>
      </w:r>
      <w:r w:rsidRPr="00D32B8A">
        <w:rPr>
          <w:rFonts w:ascii="Book Antiqua" w:hAnsi="Book Antiqua" w:cs="Arial"/>
        </w:rPr>
        <w:tab/>
      </w:r>
    </w:p>
    <w:p w:rsidR="008D52FD" w:rsidRPr="00D32B8A" w:rsidRDefault="008D52FD"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DE</w:t>
      </w:r>
      <w:r w:rsidR="00C0050B">
        <w:rPr>
          <w:rFonts w:ascii="Book Antiqua" w:hAnsi="Book Antiqua"/>
          <w:b/>
          <w:u w:val="single"/>
        </w:rPr>
        <w:t xml:space="preserve">CISION AND </w:t>
      </w:r>
      <w:r>
        <w:rPr>
          <w:rFonts w:ascii="Book Antiqua" w:hAnsi="Book Antiqua"/>
          <w:b/>
          <w:u w:val="single"/>
        </w:rPr>
        <w:t>REASONS</w:t>
      </w:r>
    </w:p>
    <w:p w:rsidR="00BE485D" w:rsidRDefault="00BE485D" w:rsidP="00BE485D">
      <w:pPr>
        <w:tabs>
          <w:tab w:val="left" w:pos="2520"/>
        </w:tabs>
        <w:ind w:left="360"/>
        <w:jc w:val="both"/>
        <w:rPr>
          <w:rFonts w:ascii="Book Antiqua" w:hAnsi="Book Antiqua" w:cs="Arial"/>
        </w:rPr>
      </w:pPr>
    </w:p>
    <w:p w:rsidR="00C0050B" w:rsidRDefault="00C0050B" w:rsidP="0008569A">
      <w:pPr>
        <w:numPr>
          <w:ilvl w:val="0"/>
          <w:numId w:val="3"/>
        </w:numPr>
        <w:tabs>
          <w:tab w:val="left" w:pos="2520"/>
        </w:tabs>
        <w:jc w:val="both"/>
        <w:rPr>
          <w:rFonts w:ascii="Book Antiqua" w:hAnsi="Book Antiqua" w:cs="Arial"/>
        </w:rPr>
      </w:pPr>
      <w:r>
        <w:rPr>
          <w:rFonts w:ascii="Book Antiqua" w:hAnsi="Book Antiqua" w:cs="Arial"/>
        </w:rPr>
        <w:t>On 3 August 2017 First-tier Tribunal Judge Bannerman</w:t>
      </w:r>
      <w:r w:rsidR="0008569A">
        <w:rPr>
          <w:rFonts w:ascii="Book Antiqua" w:hAnsi="Book Antiqua" w:cs="Arial"/>
        </w:rPr>
        <w:t xml:space="preserve"> (‘the Judge’)</w:t>
      </w:r>
      <w:r>
        <w:rPr>
          <w:rFonts w:ascii="Book Antiqua" w:hAnsi="Book Antiqua" w:cs="Arial"/>
        </w:rPr>
        <w:t xml:space="preserve"> dismissed the appellant’s appeal on protection on human rights grounds. Permission to appeal was refused by another judge of the First-tier Tribunal </w:t>
      </w:r>
      <w:r w:rsidR="0008569A">
        <w:rPr>
          <w:rFonts w:ascii="Book Antiqua" w:hAnsi="Book Antiqua" w:cs="Arial"/>
        </w:rPr>
        <w:t xml:space="preserve">but </w:t>
      </w:r>
      <w:r>
        <w:rPr>
          <w:rFonts w:ascii="Book Antiqua" w:hAnsi="Book Antiqua" w:cs="Arial"/>
        </w:rPr>
        <w:t>granted on a renewed application to the Upper Tribunal on 3 January 2018</w:t>
      </w:r>
      <w:r w:rsidR="0008569A">
        <w:rPr>
          <w:rFonts w:ascii="Book Antiqua" w:hAnsi="Book Antiqua" w:cs="Arial"/>
        </w:rPr>
        <w:t>;</w:t>
      </w:r>
      <w:r>
        <w:rPr>
          <w:rFonts w:ascii="Book Antiqua" w:hAnsi="Book Antiqua" w:cs="Arial"/>
        </w:rPr>
        <w:t xml:space="preserve"> the operative part of the grant being in the following terms:</w:t>
      </w:r>
    </w:p>
    <w:p w:rsidR="00BE485D" w:rsidRDefault="00BE485D" w:rsidP="005F14D4">
      <w:pPr>
        <w:ind w:left="1701"/>
        <w:jc w:val="both"/>
        <w:rPr>
          <w:rFonts w:ascii="Book Antiqua" w:hAnsi="Book Antiqua" w:cs="Arial"/>
        </w:rPr>
      </w:pPr>
    </w:p>
    <w:p w:rsidR="00C0050B" w:rsidRPr="0008569A" w:rsidRDefault="00C0050B" w:rsidP="005F14D4">
      <w:pPr>
        <w:ind w:left="1701"/>
        <w:jc w:val="both"/>
        <w:rPr>
          <w:rFonts w:ascii="Book Antiqua" w:hAnsi="Book Antiqua" w:cs="Arial"/>
          <w:sz w:val="20"/>
          <w:szCs w:val="20"/>
        </w:rPr>
      </w:pPr>
      <w:r>
        <w:rPr>
          <w:rFonts w:ascii="Book Antiqua" w:hAnsi="Book Antiqua" w:cs="Arial"/>
          <w:sz w:val="20"/>
        </w:rPr>
        <w:t>“having accepted that the appellant was in the Afghan army [54], it is at least arguable that the judge failed to make a clear finding as to whether he accepted that the appellant was a deserter, and if so, what the consequences would be. Although it is unclear what evidence, if any, was put forward in support of the argument that he may be at risk on return from the Afghan government, the point is sufficiently arguable to merit further consideration at a hearing. It is also arguable that the judge failed to give sufficient reasons to explain why the background evidence relied upon by the appellant did not “tip me away” from the existing country guidance in</w:t>
      </w:r>
      <w:r>
        <w:rPr>
          <w:rFonts w:ascii="Book Antiqua" w:hAnsi="Book Antiqua" w:cs="Arial"/>
          <w:i/>
          <w:sz w:val="20"/>
        </w:rPr>
        <w:t xml:space="preserve"> AK (Afghanistan) </w:t>
      </w:r>
      <w:r w:rsidR="0008569A">
        <w:rPr>
          <w:rFonts w:ascii="Book Antiqua" w:hAnsi="Book Antiqua" w:cs="Arial"/>
          <w:sz w:val="20"/>
        </w:rPr>
        <w:t>[65]. A country guidance decision is pending on the second issue. This appeal will be listed for hearing after the decision is published.”</w:t>
      </w:r>
    </w:p>
    <w:p w:rsidR="00402B9E" w:rsidRPr="00D32B8A" w:rsidRDefault="00402B9E" w:rsidP="005F14D4">
      <w:pPr>
        <w:ind w:left="1701"/>
        <w:jc w:val="both"/>
        <w:rPr>
          <w:rFonts w:ascii="Book Antiqua" w:hAnsi="Book Antiqua" w:cs="Arial"/>
        </w:rPr>
      </w:pPr>
    </w:p>
    <w:p w:rsidR="00D32B8A" w:rsidRDefault="0008569A" w:rsidP="0008569A">
      <w:pPr>
        <w:pStyle w:val="Heading5"/>
        <w:jc w:val="both"/>
        <w:rPr>
          <w:rFonts w:ascii="Book Antiqua" w:hAnsi="Book Antiqua" w:cs="Arial"/>
          <w:sz w:val="24"/>
        </w:rPr>
      </w:pPr>
      <w:r>
        <w:rPr>
          <w:rFonts w:ascii="Book Antiqua" w:hAnsi="Book Antiqua" w:cs="Arial"/>
          <w:sz w:val="24"/>
        </w:rPr>
        <w:t>Error of Law</w:t>
      </w:r>
    </w:p>
    <w:p w:rsidR="00BE485D" w:rsidRPr="00BE485D" w:rsidRDefault="00BE485D" w:rsidP="0008569A">
      <w:pPr>
        <w:jc w:val="both"/>
        <w:rPr>
          <w:lang w:eastAsia="en-US"/>
        </w:rPr>
      </w:pPr>
    </w:p>
    <w:p w:rsidR="00FD1BDB" w:rsidRDefault="0008569A" w:rsidP="0008569A">
      <w:pPr>
        <w:numPr>
          <w:ilvl w:val="0"/>
          <w:numId w:val="3"/>
        </w:numPr>
        <w:jc w:val="both"/>
        <w:rPr>
          <w:rFonts w:ascii="Book Antiqua" w:hAnsi="Book Antiqua" w:cs="Arial"/>
        </w:rPr>
      </w:pPr>
      <w:r>
        <w:rPr>
          <w:rFonts w:ascii="Book Antiqua" w:hAnsi="Book Antiqua" w:cs="Arial"/>
        </w:rPr>
        <w:t>The appellant is a citizen of Afghanistan born on the 1 January 1987. Having considered the evidence Judge Bannerman set out findings of fact from [51] of his decision, the core finding being that it was not found that the appellant is credible [52].</w:t>
      </w:r>
    </w:p>
    <w:p w:rsidR="0008569A" w:rsidRDefault="0008569A" w:rsidP="0008569A">
      <w:pPr>
        <w:numPr>
          <w:ilvl w:val="0"/>
          <w:numId w:val="3"/>
        </w:numPr>
        <w:jc w:val="both"/>
        <w:rPr>
          <w:rFonts w:ascii="Book Antiqua" w:hAnsi="Book Antiqua" w:cs="Arial"/>
        </w:rPr>
      </w:pPr>
      <w:r>
        <w:rPr>
          <w:rFonts w:ascii="Book Antiqua" w:hAnsi="Book Antiqua" w:cs="Arial"/>
        </w:rPr>
        <w:t>The Judge did accept the appellant is an Afghani and specifically finds that he was in the Afghan army, but beyond that there was very little in his story that, even to the lower standard of proof, was credible [54].</w:t>
      </w:r>
    </w:p>
    <w:p w:rsidR="0008569A" w:rsidRDefault="0008569A" w:rsidP="0008569A">
      <w:pPr>
        <w:numPr>
          <w:ilvl w:val="0"/>
          <w:numId w:val="3"/>
        </w:numPr>
        <w:jc w:val="both"/>
        <w:rPr>
          <w:rFonts w:ascii="Book Antiqua" w:hAnsi="Book Antiqua" w:cs="Arial"/>
        </w:rPr>
      </w:pPr>
      <w:r>
        <w:rPr>
          <w:rFonts w:ascii="Book Antiqua" w:hAnsi="Book Antiqua" w:cs="Arial"/>
        </w:rPr>
        <w:t>At [58] the Judge does not find the appellant is already at risk from the Taliban and went on to consider the issue of relocating to Afghanistan having left the army and considered the availability of a sufficiency of protection and relocation.</w:t>
      </w:r>
    </w:p>
    <w:p w:rsidR="0008569A" w:rsidRDefault="0008569A" w:rsidP="0008569A">
      <w:pPr>
        <w:numPr>
          <w:ilvl w:val="0"/>
          <w:numId w:val="3"/>
        </w:numPr>
        <w:jc w:val="both"/>
        <w:rPr>
          <w:rFonts w:ascii="Book Antiqua" w:hAnsi="Book Antiqua" w:cs="Arial"/>
        </w:rPr>
      </w:pPr>
      <w:r>
        <w:rPr>
          <w:rFonts w:ascii="Book Antiqua" w:hAnsi="Book Antiqua" w:cs="Arial"/>
        </w:rPr>
        <w:t>The Judge finds that as a soldier in Afghanistan there was no reason whatsoever why the appellant will be prejudiced by returning to his home state where it was found he was likely to receive appropriate care when returning to Afghanistan and to Kabul, in particular from the army.</w:t>
      </w:r>
    </w:p>
    <w:p w:rsidR="0008569A" w:rsidRDefault="0008569A" w:rsidP="0008569A">
      <w:pPr>
        <w:numPr>
          <w:ilvl w:val="0"/>
          <w:numId w:val="3"/>
        </w:numPr>
        <w:jc w:val="both"/>
        <w:rPr>
          <w:rFonts w:ascii="Book Antiqua" w:hAnsi="Book Antiqua" w:cs="Arial"/>
        </w:rPr>
      </w:pPr>
      <w:r>
        <w:rPr>
          <w:rFonts w:ascii="Book Antiqua" w:hAnsi="Book Antiqua" w:cs="Arial"/>
        </w:rPr>
        <w:t>The Judge accepted the submission made by Mr Brown at the hearing that the appellant’s home area of Badakhshan is in an area where there are security threats and is a Taliban stronghold, but finds that [60] that the appellant will be going back to Kabul, a place he has stayed in previously. At [62] the Judge finds:</w:t>
      </w:r>
    </w:p>
    <w:p w:rsidR="0008569A" w:rsidRDefault="0008569A" w:rsidP="005F14D4">
      <w:pPr>
        <w:ind w:left="1701"/>
        <w:jc w:val="both"/>
        <w:rPr>
          <w:rFonts w:ascii="Book Antiqua" w:hAnsi="Book Antiqua" w:cs="Arial"/>
        </w:rPr>
      </w:pPr>
    </w:p>
    <w:p w:rsidR="0008569A" w:rsidRDefault="0008569A" w:rsidP="005F14D4">
      <w:pPr>
        <w:ind w:left="1701"/>
        <w:jc w:val="both"/>
        <w:rPr>
          <w:rFonts w:ascii="Book Antiqua" w:hAnsi="Book Antiqua" w:cs="Arial"/>
          <w:sz w:val="20"/>
          <w:szCs w:val="20"/>
        </w:rPr>
      </w:pPr>
      <w:r>
        <w:rPr>
          <w:rFonts w:ascii="Book Antiqua" w:hAnsi="Book Antiqua" w:cs="Arial"/>
          <w:sz w:val="20"/>
          <w:szCs w:val="20"/>
        </w:rPr>
        <w:t>“This relocation to Kabul, if one can call it a relocation though his family is in Badakhshan but he has stayed in Kabul, would be entirely reasonable and Kabul is an area that is appropriate for him to relocate to. I consider that there is a sufficiency of protection having regard to the country guidance and refer to paragraph 13 above regarding country information”.</w:t>
      </w:r>
    </w:p>
    <w:p w:rsidR="0008569A" w:rsidRPr="0008569A" w:rsidRDefault="0008569A" w:rsidP="005F14D4">
      <w:pPr>
        <w:ind w:left="1701"/>
        <w:jc w:val="both"/>
        <w:rPr>
          <w:rFonts w:ascii="Book Antiqua" w:hAnsi="Book Antiqua" w:cs="Arial"/>
          <w:sz w:val="20"/>
          <w:szCs w:val="20"/>
        </w:rPr>
      </w:pPr>
    </w:p>
    <w:p w:rsidR="00FD1BDB" w:rsidRDefault="0008569A" w:rsidP="0008569A">
      <w:pPr>
        <w:numPr>
          <w:ilvl w:val="0"/>
          <w:numId w:val="3"/>
        </w:numPr>
        <w:jc w:val="both"/>
        <w:rPr>
          <w:rFonts w:ascii="Book Antiqua" w:hAnsi="Book Antiqua" w:cs="Arial"/>
        </w:rPr>
      </w:pPr>
      <w:r>
        <w:rPr>
          <w:rFonts w:ascii="Book Antiqua" w:hAnsi="Book Antiqua" w:cs="Arial"/>
        </w:rPr>
        <w:t>The appeal was relisted prior to the handing down of the country guidance case and therefore adjourned to today’s hearing.</w:t>
      </w:r>
    </w:p>
    <w:p w:rsidR="0008569A" w:rsidRDefault="0008569A" w:rsidP="0008569A">
      <w:pPr>
        <w:numPr>
          <w:ilvl w:val="0"/>
          <w:numId w:val="3"/>
        </w:numPr>
        <w:jc w:val="both"/>
        <w:rPr>
          <w:rFonts w:ascii="Book Antiqua" w:hAnsi="Book Antiqua" w:cs="Arial"/>
        </w:rPr>
      </w:pPr>
      <w:r w:rsidRPr="0008569A">
        <w:rPr>
          <w:rFonts w:ascii="Book Antiqua" w:hAnsi="Book Antiqua" w:cs="Arial"/>
        </w:rPr>
        <w:t xml:space="preserve">In </w:t>
      </w:r>
      <w:r w:rsidRPr="0008569A">
        <w:rPr>
          <w:rFonts w:ascii="Book Antiqua" w:hAnsi="Book Antiqua" w:cs="Arial"/>
          <w:i/>
        </w:rPr>
        <w:t>AS (safety of Kabul) Afghanistan CG [2018] UKUT 00118</w:t>
      </w:r>
      <w:r w:rsidRPr="0008569A">
        <w:rPr>
          <w:rFonts w:ascii="Book Antiqua" w:hAnsi="Book Antiqua" w:cs="Arial"/>
        </w:rPr>
        <w:t xml:space="preserve"> the Upper Tribunal held that having regard to the security and humanitarian situation in Kabul as well as the difficulties faced by the population living there (primarily the urban poor but also IDPs and other returnees, which are not dissimilar to the conditions faced throughout may other parts of Afghanistan); it will not, in general be unreasonable or unduly harsh for a single adult male in good health to relocate to Kabul even if he does not have any specific connections or support network in Kabul.  However, the particular circumstances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that general position.  A person with a support network or specific connections in Kabul is likely to be in a more advantageous position on return, which may counter a particular vulnerability of an individual on return.</w:t>
      </w:r>
    </w:p>
    <w:p w:rsidR="0008569A" w:rsidRDefault="0008569A" w:rsidP="0008569A">
      <w:pPr>
        <w:numPr>
          <w:ilvl w:val="0"/>
          <w:numId w:val="3"/>
        </w:numPr>
        <w:jc w:val="both"/>
        <w:rPr>
          <w:rFonts w:ascii="Book Antiqua" w:hAnsi="Book Antiqua" w:cs="Arial"/>
        </w:rPr>
      </w:pPr>
      <w:r>
        <w:rPr>
          <w:rFonts w:ascii="Book Antiqua" w:hAnsi="Book Antiqua" w:cs="Arial"/>
        </w:rPr>
        <w:t xml:space="preserve">The case of </w:t>
      </w:r>
      <w:r w:rsidRPr="0008569A">
        <w:rPr>
          <w:rFonts w:ascii="Book Antiqua" w:hAnsi="Book Antiqua" w:cs="Arial"/>
          <w:i/>
        </w:rPr>
        <w:t>AK (Afghanistan)</w:t>
      </w:r>
      <w:r>
        <w:rPr>
          <w:rFonts w:ascii="Book Antiqua" w:hAnsi="Book Antiqua" w:cs="Arial"/>
        </w:rPr>
        <w:t xml:space="preserve"> remains good law and the ground of challenge asserting the Judge erred in following the guidance set out in that case, despite Mr Brown inviting the Judge to do otherwise, has not been shown to be infected by arguable legal error.</w:t>
      </w:r>
    </w:p>
    <w:p w:rsidR="0008569A" w:rsidRDefault="0008569A" w:rsidP="0008569A">
      <w:pPr>
        <w:numPr>
          <w:ilvl w:val="0"/>
          <w:numId w:val="3"/>
        </w:numPr>
        <w:jc w:val="both"/>
        <w:rPr>
          <w:rFonts w:ascii="Book Antiqua" w:hAnsi="Book Antiqua" w:cs="Arial"/>
        </w:rPr>
      </w:pPr>
      <w:r>
        <w:rPr>
          <w:rFonts w:ascii="Book Antiqua" w:hAnsi="Book Antiqua" w:cs="Arial"/>
        </w:rPr>
        <w:lastRenderedPageBreak/>
        <w:t xml:space="preserve">Mr Brown sought to challenge the proposition that </w:t>
      </w:r>
      <w:r w:rsidRPr="0008569A">
        <w:rPr>
          <w:rFonts w:ascii="Book Antiqua" w:hAnsi="Book Antiqua" w:cs="Arial"/>
          <w:i/>
        </w:rPr>
        <w:t>AS (Safety of Kabul)</w:t>
      </w:r>
      <w:r>
        <w:rPr>
          <w:rFonts w:ascii="Book Antiqua" w:hAnsi="Book Antiqua" w:cs="Arial"/>
        </w:rPr>
        <w:t xml:space="preserve"> meant his client must fail with his appeal. Mr Brown submitted the starting point was paragraph 230 in which the Upper Tribunal deciding the country guidance case emphasise that whether internal relocation is reasonable for a particular person requires case-by-case consideration; which requires consideration of a number of specific factors set out in that paragraph.</w:t>
      </w:r>
    </w:p>
    <w:p w:rsidR="0008569A" w:rsidRDefault="0008569A" w:rsidP="0008569A">
      <w:pPr>
        <w:numPr>
          <w:ilvl w:val="0"/>
          <w:numId w:val="3"/>
        </w:numPr>
        <w:jc w:val="both"/>
        <w:rPr>
          <w:rFonts w:ascii="Book Antiqua" w:hAnsi="Book Antiqua" w:cs="Arial"/>
        </w:rPr>
      </w:pPr>
      <w:r>
        <w:rPr>
          <w:rFonts w:ascii="Book Antiqua" w:hAnsi="Book Antiqua" w:cs="Arial"/>
        </w:rPr>
        <w:t xml:space="preserve">Mr Brown referred to a number of paragraphs in the earlier section of the country guidance decision in which it was noted that finding the appellant in </w:t>
      </w:r>
      <w:r w:rsidRPr="0008569A">
        <w:rPr>
          <w:rFonts w:ascii="Book Antiqua" w:hAnsi="Book Antiqua" w:cs="Arial"/>
          <w:i/>
        </w:rPr>
        <w:t>AS</w:t>
      </w:r>
      <w:r>
        <w:rPr>
          <w:rFonts w:ascii="Book Antiqua" w:hAnsi="Book Antiqua" w:cs="Arial"/>
        </w:rPr>
        <w:t xml:space="preserve"> was not at risk on return to his home area or elsewhere from the Afghan government had not been challenged and stands, that it was not the appellant’s case in </w:t>
      </w:r>
      <w:r w:rsidRPr="0008569A">
        <w:rPr>
          <w:rFonts w:ascii="Book Antiqua" w:hAnsi="Book Antiqua" w:cs="Arial"/>
          <w:i/>
        </w:rPr>
        <w:t>AS</w:t>
      </w:r>
      <w:r>
        <w:rPr>
          <w:rFonts w:ascii="Book Antiqua" w:hAnsi="Book Antiqua" w:cs="Arial"/>
        </w:rPr>
        <w:t xml:space="preserve"> that treatment in Kabul would be in breach of article 3 ECHR or Article 15(c) of the Qualification Directive. Mr Brown also referred to [77] in which the Tribunal recalled “a person could not be targeted simply because they were a relative of a person who is a target or a threat to the Taliban”. It was submitted that even if this is the case it will be necessary to look at other family members in the area and that there was limited evidence of risk although certain categories have enhanced risk category such as journalism, educationalists, and members of the security forces. Mr Brown submitted the appellant was at risk as a member of the security forces which was not a category specifically looked at in the country guidance decision - see also [95].</w:t>
      </w:r>
    </w:p>
    <w:p w:rsidR="0008569A" w:rsidRDefault="0008569A" w:rsidP="0008569A">
      <w:pPr>
        <w:numPr>
          <w:ilvl w:val="0"/>
          <w:numId w:val="3"/>
        </w:numPr>
        <w:jc w:val="both"/>
        <w:rPr>
          <w:rFonts w:ascii="Book Antiqua" w:hAnsi="Book Antiqua" w:cs="Arial"/>
        </w:rPr>
      </w:pPr>
      <w:r>
        <w:rPr>
          <w:rFonts w:ascii="Book Antiqua" w:hAnsi="Book Antiqua" w:cs="Arial"/>
        </w:rPr>
        <w:t>The above paragraphs fall within the section of the country guidance case in which the Tribunal was setting out the evidence received, and submissions made. General findings in relation to risk start at [173]. Mr Brown specifically refers to [174] in which the Tribunal writes:</w:t>
      </w:r>
    </w:p>
    <w:p w:rsidR="0008569A" w:rsidRDefault="0008569A" w:rsidP="0008569A">
      <w:pPr>
        <w:ind w:left="1080"/>
        <w:jc w:val="both"/>
        <w:rPr>
          <w:rFonts w:ascii="Book Antiqua" w:hAnsi="Book Antiqua" w:cs="Arial"/>
        </w:rPr>
      </w:pPr>
    </w:p>
    <w:p w:rsidR="0008569A" w:rsidRDefault="0008569A" w:rsidP="0008569A">
      <w:pPr>
        <w:ind w:left="2265" w:hanging="564"/>
        <w:jc w:val="both"/>
        <w:rPr>
          <w:rFonts w:ascii="Book Antiqua" w:hAnsi="Book Antiqua" w:cs="Arial"/>
          <w:sz w:val="20"/>
          <w:szCs w:val="20"/>
        </w:rPr>
      </w:pPr>
      <w:r>
        <w:rPr>
          <w:rFonts w:ascii="Book Antiqua" w:hAnsi="Book Antiqua" w:cs="Arial"/>
          <w:sz w:val="20"/>
          <w:szCs w:val="20"/>
        </w:rPr>
        <w:t xml:space="preserve">174. </w:t>
      </w:r>
      <w:r>
        <w:rPr>
          <w:rFonts w:ascii="Book Antiqua" w:hAnsi="Book Antiqua" w:cs="Arial"/>
          <w:sz w:val="20"/>
          <w:szCs w:val="20"/>
        </w:rPr>
        <w:tab/>
        <w:t>The risk of a specific individual being successfully targeted depends upon their identification as a target (for example, due to past or present actions/circumstances) and the ability of the Taliban to locate and then carry out an attack on that person, as well as their will or priorities in doing so. The evidence was broadly in agreement as to the order of importance of targets for the Taliban in Afghanistan being (i) senior serving government officials and the security services, (ii) spies, and at the lower level, (iii) other collaborators (including the wider security forces, government authorities, foreign embassies, the UN, NGOs and anyone passing information to the government about the Taliban) and deserters. Dr Giustozzi’s evidence was that the Taliban keep a blacklist of all those who are wanted by the Taliban/identified as legitimate targets, some of whom are included just because of their high-profile position and others at a lower level are identified because they have been through a system of sentencing and only then are they a legitimate target.</w:t>
      </w:r>
    </w:p>
    <w:p w:rsidR="0008569A" w:rsidRPr="0008569A" w:rsidRDefault="0008569A" w:rsidP="0008569A">
      <w:pPr>
        <w:ind w:left="1701"/>
        <w:jc w:val="both"/>
        <w:rPr>
          <w:rFonts w:ascii="Book Antiqua" w:hAnsi="Book Antiqua" w:cs="Arial"/>
          <w:sz w:val="20"/>
          <w:szCs w:val="20"/>
        </w:rPr>
      </w:pPr>
    </w:p>
    <w:p w:rsidR="0008569A" w:rsidRDefault="0008569A" w:rsidP="0008569A">
      <w:pPr>
        <w:numPr>
          <w:ilvl w:val="0"/>
          <w:numId w:val="3"/>
        </w:numPr>
        <w:jc w:val="both"/>
        <w:rPr>
          <w:rFonts w:ascii="Book Antiqua" w:hAnsi="Book Antiqua" w:cs="Arial"/>
        </w:rPr>
      </w:pPr>
      <w:r>
        <w:rPr>
          <w:rFonts w:ascii="Book Antiqua" w:hAnsi="Book Antiqua" w:cs="Arial"/>
        </w:rPr>
        <w:t>Mr Brown submitted the country guidance indicated there was an element of reasonableness that had to be taken into account when considering internal relocation. It was submitted the Judge accepted the appellant was in the army, but it was unclear if any findings were made that risk may follow.</w:t>
      </w:r>
    </w:p>
    <w:p w:rsidR="0008569A" w:rsidRDefault="0008569A" w:rsidP="0008569A">
      <w:pPr>
        <w:numPr>
          <w:ilvl w:val="0"/>
          <w:numId w:val="3"/>
        </w:numPr>
        <w:jc w:val="both"/>
        <w:rPr>
          <w:rFonts w:ascii="Book Antiqua" w:hAnsi="Book Antiqua" w:cs="Arial"/>
        </w:rPr>
      </w:pPr>
      <w:r>
        <w:rPr>
          <w:rFonts w:ascii="Book Antiqua" w:hAnsi="Book Antiqua" w:cs="Arial"/>
        </w:rPr>
        <w:t xml:space="preserve">The Judge clearly records that Mr Brown made submissions at the original hearing in relation to what was said to be the appellant’s home area. The submission by Mr Brown that his client was entitled to know whether the judge had found he would face a real risk in that area, which was required, and that as no specific finding had been made, the Judge had erred. On this point the Judge considers risk on return to Kabul clearly finding it [62] that it was doubtful whether the appellant returning to Kabul would be an act of internal relocation </w:t>
      </w:r>
      <w:r>
        <w:rPr>
          <w:rFonts w:ascii="Book Antiqua" w:hAnsi="Book Antiqua" w:cs="Arial"/>
        </w:rPr>
        <w:lastRenderedPageBreak/>
        <w:t>for although his family lived in the stated home area the appellant had stayed in Kabul. The Judge seems to be finding that Kabul is to be treated at the appellant’s home area for the purposes of assessing risk on return. The alternative, that the judge considered Kabul as a place of internal relocation on the basis the appellant could not return to his family area, clearly implies a finding that the appellant did face a real risk at that location. The Judge did not find the appellant could return to Badakhshan.</w:t>
      </w:r>
    </w:p>
    <w:p w:rsidR="0008569A" w:rsidRDefault="0008569A" w:rsidP="0008569A">
      <w:pPr>
        <w:numPr>
          <w:ilvl w:val="0"/>
          <w:numId w:val="3"/>
        </w:numPr>
        <w:jc w:val="both"/>
        <w:rPr>
          <w:rFonts w:ascii="Book Antiqua" w:hAnsi="Book Antiqua" w:cs="Arial"/>
        </w:rPr>
      </w:pPr>
      <w:r>
        <w:rPr>
          <w:rFonts w:ascii="Book Antiqua" w:hAnsi="Book Antiqua" w:cs="Arial"/>
        </w:rPr>
        <w:t>The claim the appellant would face a real risk as a result of his profile is a claim that was found to lack credibility by the Judge. The Judge did not find the appellant had established that he had been targeted at all, even when he was in the army. Mr Tan referred to the fact the appellant was at the lowest level of recruit who had not been deployed to fight the Taliban by the army and who left Afghanistan in 2012. The finding by the Judge about the lack of risk in the past has not been shown to be infected by arguable legal error.</w:t>
      </w:r>
    </w:p>
    <w:p w:rsidR="0008569A" w:rsidRDefault="0008569A" w:rsidP="0008569A">
      <w:pPr>
        <w:numPr>
          <w:ilvl w:val="0"/>
          <w:numId w:val="3"/>
        </w:numPr>
        <w:jc w:val="both"/>
        <w:rPr>
          <w:rFonts w:ascii="Book Antiqua" w:hAnsi="Book Antiqua" w:cs="Arial"/>
        </w:rPr>
      </w:pPr>
      <w:r>
        <w:rPr>
          <w:rFonts w:ascii="Book Antiqua" w:hAnsi="Book Antiqua" w:cs="Arial"/>
        </w:rPr>
        <w:t>The Judge has made sustainable findings that the appellant can return to Kabul in light of his profile as found. The recent country guidance case, when undertaking the fact specific assessment required in cases of this nature, reinforces the findings of the Judge on this point.</w:t>
      </w:r>
    </w:p>
    <w:p w:rsidR="0008569A" w:rsidRDefault="0008569A" w:rsidP="0008569A">
      <w:pPr>
        <w:numPr>
          <w:ilvl w:val="0"/>
          <w:numId w:val="3"/>
        </w:numPr>
        <w:jc w:val="both"/>
        <w:rPr>
          <w:rFonts w:ascii="Book Antiqua" w:hAnsi="Book Antiqua" w:cs="Arial"/>
        </w:rPr>
      </w:pPr>
      <w:r>
        <w:rPr>
          <w:rFonts w:ascii="Book Antiqua" w:hAnsi="Book Antiqua" w:cs="Arial"/>
        </w:rPr>
        <w:t>Mr Brown’s submission the Judge failed to consider risk that will be faced by the appellant as a deserter from the army has no arguable merit as a considerable number of recruits’ dessert each month from the Afghan army and there is no evidence that a deserter from the army will face any risk from the Afghan authorities as a result of this fact on return, per se. More importance in this case is that Judge did not find that the appellant’s claims with regard to risk on return were true. The Judge found the appellant was in the army and that he left the army but, beyond that, any further claim was not shown to be credible.</w:t>
      </w:r>
    </w:p>
    <w:p w:rsidR="0008569A" w:rsidRDefault="0008569A" w:rsidP="0008569A">
      <w:pPr>
        <w:numPr>
          <w:ilvl w:val="0"/>
          <w:numId w:val="3"/>
        </w:numPr>
        <w:jc w:val="both"/>
        <w:rPr>
          <w:rFonts w:ascii="Book Antiqua" w:hAnsi="Book Antiqua" w:cs="Arial"/>
        </w:rPr>
      </w:pPr>
      <w:r>
        <w:rPr>
          <w:rFonts w:ascii="Book Antiqua" w:hAnsi="Book Antiqua" w:cs="Arial"/>
        </w:rPr>
        <w:t>Having considered the original decision, evidence provided to the Judge, current country guidance case, and submissions made, I find the appellant has failed to establish the Judge has erred in law in a manner material to the decision to dismiss the appeal.</w:t>
      </w:r>
    </w:p>
    <w:p w:rsidR="0008569A" w:rsidRDefault="0008569A" w:rsidP="0008569A">
      <w:pPr>
        <w:ind w:left="360"/>
        <w:jc w:val="both"/>
        <w:rPr>
          <w:rFonts w:ascii="Book Antiqua" w:hAnsi="Book Antiqua" w:cs="Arial"/>
        </w:rPr>
      </w:pPr>
    </w:p>
    <w:p w:rsidR="00D32B8A" w:rsidRPr="00D32B8A" w:rsidRDefault="00D32B8A" w:rsidP="0008569A">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08569A">
      <w:pPr>
        <w:pStyle w:val="BodyTextIndent"/>
        <w:ind w:left="0"/>
        <w:jc w:val="both"/>
        <w:rPr>
          <w:rFonts w:ascii="Book Antiqua" w:hAnsi="Book Antiqua" w:cs="Arial"/>
          <w:b/>
          <w:bCs/>
          <w:sz w:val="24"/>
          <w:u w:val="single"/>
        </w:rPr>
      </w:pPr>
    </w:p>
    <w:p w:rsidR="00D32B8A" w:rsidRPr="00D32B8A" w:rsidRDefault="00D32B8A" w:rsidP="0008569A">
      <w:pPr>
        <w:pStyle w:val="BodyTextIndent"/>
        <w:numPr>
          <w:ilvl w:val="0"/>
          <w:numId w:val="3"/>
        </w:numPr>
        <w:jc w:val="both"/>
        <w:rPr>
          <w:rFonts w:ascii="Book Antiqua" w:hAnsi="Book Antiqua" w:cs="Arial"/>
          <w:sz w:val="24"/>
          <w:u w:val="single"/>
        </w:rPr>
      </w:pPr>
      <w:r w:rsidRPr="00D32B8A">
        <w:rPr>
          <w:rFonts w:ascii="Book Antiqua" w:hAnsi="Book Antiqua" w:cs="Arial"/>
          <w:b/>
          <w:sz w:val="24"/>
        </w:rPr>
        <w:t xml:space="preserve">There is no material error of law in the Immigration Judge’s decision. The determination shall stand. </w:t>
      </w:r>
    </w:p>
    <w:p w:rsidR="00813355" w:rsidRDefault="00813355" w:rsidP="0008569A">
      <w:pPr>
        <w:pStyle w:val="BodyTextIndent"/>
        <w:jc w:val="both"/>
        <w:rPr>
          <w:rFonts w:ascii="Book Antiqua" w:hAnsi="Book Antiqua" w:cs="Arial"/>
          <w:b/>
          <w:sz w:val="24"/>
        </w:rPr>
      </w:pPr>
    </w:p>
    <w:p w:rsidR="00813355" w:rsidRPr="00DB5024" w:rsidRDefault="00813355" w:rsidP="0008569A">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263B29">
      <w:pPr>
        <w:pStyle w:val="BodyTextIndent"/>
        <w:ind w:left="357"/>
        <w:jc w:val="both"/>
        <w:rPr>
          <w:rFonts w:ascii="Book Antiqua" w:hAnsi="Book Antiqua" w:cs="Arial"/>
          <w:sz w:val="24"/>
        </w:rPr>
      </w:pPr>
    </w:p>
    <w:p w:rsidR="00813355" w:rsidRPr="00DB5024" w:rsidRDefault="00813355" w:rsidP="0008569A">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rsidR="00813355" w:rsidRPr="00DB5024" w:rsidRDefault="00813355" w:rsidP="0008569A">
      <w:pPr>
        <w:pStyle w:val="BodyTextIndent"/>
        <w:ind w:left="360"/>
        <w:jc w:val="both"/>
        <w:rPr>
          <w:rFonts w:ascii="Book Antiqua" w:hAnsi="Book Antiqua" w:cs="Arial"/>
          <w:sz w:val="24"/>
        </w:rPr>
      </w:pPr>
    </w:p>
    <w:p w:rsidR="00813355" w:rsidRDefault="00813355" w:rsidP="0008569A">
      <w:pPr>
        <w:pStyle w:val="BodyTextIndent"/>
        <w:jc w:val="both"/>
        <w:rPr>
          <w:rFonts w:ascii="Book Antiqua" w:eastAsia="Book Antiqua,Arial" w:hAnsi="Book Antiqua" w:cs="Book Antiqua,Arial"/>
          <w:sz w:val="24"/>
        </w:rPr>
      </w:pPr>
      <w:r>
        <w:rPr>
          <w:rFonts w:ascii="Book Antiqua" w:hAnsi="Book Antiqua" w:cs="Arial"/>
          <w:sz w:val="24"/>
        </w:rPr>
        <w:t xml:space="preserve">I make no such </w:t>
      </w:r>
      <w:r w:rsidRPr="00DB5024">
        <w:rPr>
          <w:rFonts w:ascii="Book Antiqua" w:eastAsia="Book Antiqua,Arial" w:hAnsi="Book Antiqua" w:cs="Book Antiqua,Arial"/>
          <w:sz w:val="24"/>
        </w:rPr>
        <w:t>order pursuant to rule 14 of the Tribunal Procedure</w:t>
      </w:r>
      <w:r w:rsidR="0008569A">
        <w:rPr>
          <w:rFonts w:ascii="Book Antiqua" w:eastAsia="Book Antiqua,Arial" w:hAnsi="Book Antiqua" w:cs="Book Antiqua,Arial"/>
          <w:sz w:val="24"/>
        </w:rPr>
        <w:t xml:space="preserve"> </w:t>
      </w:r>
      <w:r>
        <w:rPr>
          <w:rFonts w:ascii="Book Antiqua" w:eastAsia="Book Antiqua,Arial" w:hAnsi="Book Antiqua" w:cs="Book Antiqua,Arial"/>
          <w:sz w:val="24"/>
        </w:rPr>
        <w:t>(Upper Tribunal) Rules 2008</w:t>
      </w:r>
      <w:r w:rsidR="0008569A">
        <w:rPr>
          <w:rFonts w:ascii="Book Antiqua" w:eastAsia="Book Antiqua,Arial" w:hAnsi="Book Antiqua" w:cs="Book Antiqua,Arial"/>
          <w:sz w:val="24"/>
        </w:rPr>
        <w:t>.</w:t>
      </w:r>
    </w:p>
    <w:p w:rsidR="0008569A" w:rsidRPr="008E55FE" w:rsidRDefault="0008569A" w:rsidP="00813355">
      <w:pPr>
        <w:pStyle w:val="BodyTextIndent"/>
        <w:rPr>
          <w:rFonts w:ascii="Book Antiqua" w:hAnsi="Book Antiqua" w:cs="Arial"/>
          <w:sz w:val="24"/>
          <w:u w:val="single"/>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08569A">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B95326" w:rsidRPr="00F97703" w:rsidRDefault="00D32B8A" w:rsidP="00263B29">
      <w:pPr>
        <w:pStyle w:val="BodyTextIndent"/>
        <w:ind w:left="0"/>
        <w:rPr>
          <w:rFonts w:ascii="Book Antiqua" w:hAnsi="Book Antiqua" w:cs="Arial"/>
          <w:color w:val="000000"/>
        </w:rPr>
      </w:pPr>
      <w:r w:rsidRPr="00D32B8A">
        <w:rPr>
          <w:rFonts w:ascii="Book Antiqua" w:hAnsi="Book Antiqua" w:cs="Arial"/>
          <w:sz w:val="24"/>
        </w:rPr>
        <w:t xml:space="preserve">Dated the </w:t>
      </w:r>
      <w:r w:rsidR="0008569A">
        <w:rPr>
          <w:rFonts w:ascii="Book Antiqua" w:hAnsi="Book Antiqua" w:cs="Arial"/>
          <w:sz w:val="24"/>
        </w:rPr>
        <w:t>7 August 2018</w:t>
      </w:r>
      <w:r w:rsidR="00263B29">
        <w:rPr>
          <w:rFonts w:ascii="Book Antiqua" w:hAnsi="Book Antiqua" w:cs="Arial"/>
          <w:sz w:val="24"/>
        </w:rPr>
        <w:t xml:space="preserve">  </w:t>
      </w:r>
      <w:bookmarkStart w:id="0" w:name="_GoBack"/>
      <w:bookmarkEnd w:id="0"/>
    </w:p>
    <w:sectPr w:rsidR="00B95326" w:rsidRPr="00F97703" w:rsidSect="00263B29">
      <w:headerReference w:type="default" r:id="rId8"/>
      <w:footerReference w:type="default" r:id="rId9"/>
      <w:footerReference w:type="first" r:id="rId10"/>
      <w:pgSz w:w="11906" w:h="16838"/>
      <w:pgMar w:top="567"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B51" w:rsidRDefault="00434B51">
      <w:r>
        <w:separator/>
      </w:r>
    </w:p>
  </w:endnote>
  <w:endnote w:type="continuationSeparator" w:id="0">
    <w:p w:rsidR="00434B51" w:rsidRDefault="0043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1C155C" w:rsidRDefault="00FD1BDB" w:rsidP="00593795">
    <w:pPr>
      <w:pStyle w:val="Footer"/>
      <w:jc w:val="center"/>
      <w:rPr>
        <w:rFonts w:ascii="Book Antiqua" w:hAnsi="Book Antiqua" w:cs="Arial"/>
      </w:rPr>
    </w:pPr>
    <w:r w:rsidRPr="001C155C">
      <w:rPr>
        <w:rStyle w:val="PageNumber"/>
        <w:rFonts w:ascii="Book Antiqua" w:hAnsi="Book Antiqua" w:cs="Arial"/>
      </w:rPr>
      <w:fldChar w:fldCharType="begin"/>
    </w:r>
    <w:r w:rsidRPr="001C155C">
      <w:rPr>
        <w:rStyle w:val="PageNumber"/>
        <w:rFonts w:ascii="Book Antiqua" w:hAnsi="Book Antiqua" w:cs="Arial"/>
      </w:rPr>
      <w:instrText xml:space="preserve"> PAGE </w:instrText>
    </w:r>
    <w:r w:rsidRPr="001C155C">
      <w:rPr>
        <w:rStyle w:val="PageNumber"/>
        <w:rFonts w:ascii="Book Antiqua" w:hAnsi="Book Antiqua" w:cs="Arial"/>
      </w:rPr>
      <w:fldChar w:fldCharType="separate"/>
    </w:r>
    <w:r w:rsidR="009A5F69">
      <w:rPr>
        <w:rStyle w:val="PageNumber"/>
        <w:rFonts w:ascii="Book Antiqua" w:hAnsi="Book Antiqua" w:cs="Arial"/>
        <w:noProof/>
      </w:rPr>
      <w:t>4</w:t>
    </w:r>
    <w:r w:rsidRPr="001C155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1C155C" w:rsidRDefault="00FD1BDB" w:rsidP="00090CF9">
    <w:pPr>
      <w:jc w:val="center"/>
      <w:rPr>
        <w:rFonts w:ascii="Book Antiqua" w:hAnsi="Book Antiqua" w:cs="Arial"/>
        <w:b/>
      </w:rPr>
    </w:pPr>
    <w:r w:rsidRPr="001C155C">
      <w:rPr>
        <w:rFonts w:ascii="Book Antiqua" w:hAnsi="Book Antiqua" w:cs="Arial"/>
        <w:b/>
        <w:spacing w:val="-6"/>
      </w:rPr>
      <w:t>©</w:t>
    </w:r>
    <w:r w:rsidR="00FB3BB0" w:rsidRPr="001C155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B51" w:rsidRDefault="00434B51">
      <w:r>
        <w:separator/>
      </w:r>
    </w:p>
  </w:footnote>
  <w:footnote w:type="continuationSeparator" w:id="0">
    <w:p w:rsidR="00434B51" w:rsidRDefault="00434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Default="00FD1BDB" w:rsidP="00593795">
    <w:pPr>
      <w:pStyle w:val="Header"/>
      <w:jc w:val="right"/>
      <w:rPr>
        <w:rFonts w:ascii="Book Antiqua" w:hAnsi="Book Antiqua" w:cs="Arial"/>
        <w:sz w:val="16"/>
        <w:szCs w:val="16"/>
      </w:rPr>
    </w:pPr>
    <w:r w:rsidRPr="001C155C">
      <w:rPr>
        <w:rFonts w:ascii="Book Antiqua" w:hAnsi="Book Antiqua" w:cs="Arial"/>
        <w:sz w:val="16"/>
        <w:szCs w:val="16"/>
      </w:rPr>
      <w:t xml:space="preserve">Appeal Number: </w:t>
    </w:r>
    <w:r w:rsidR="0008569A" w:rsidRPr="001C155C">
      <w:rPr>
        <w:rFonts w:ascii="Book Antiqua" w:hAnsi="Book Antiqua" w:cs="Arial"/>
        <w:sz w:val="16"/>
        <w:szCs w:val="16"/>
      </w:rPr>
      <w:t>PA/04968/2017</w:t>
    </w:r>
  </w:p>
  <w:p w:rsidR="001C155C" w:rsidRPr="001C155C" w:rsidRDefault="001C155C"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604A4DA-4816-4D16-8C19-82B8318A9B79}"/>
    <w:docVar w:name="dgnword-eventsink" w:val="419614312"/>
  </w:docVars>
  <w:rsids>
    <w:rsidRoot w:val="00C26032"/>
    <w:rsid w:val="00000621"/>
    <w:rsid w:val="0000285C"/>
    <w:rsid w:val="000036C2"/>
    <w:rsid w:val="00033D3D"/>
    <w:rsid w:val="00057601"/>
    <w:rsid w:val="00062F02"/>
    <w:rsid w:val="00071A7E"/>
    <w:rsid w:val="000746C0"/>
    <w:rsid w:val="00074D1D"/>
    <w:rsid w:val="0008569A"/>
    <w:rsid w:val="00090CF9"/>
    <w:rsid w:val="00092580"/>
    <w:rsid w:val="00093D4D"/>
    <w:rsid w:val="000D5D94"/>
    <w:rsid w:val="000F1A0E"/>
    <w:rsid w:val="001165A7"/>
    <w:rsid w:val="00167D3A"/>
    <w:rsid w:val="001A3082"/>
    <w:rsid w:val="001B186A"/>
    <w:rsid w:val="001B2F75"/>
    <w:rsid w:val="001C155C"/>
    <w:rsid w:val="001F2716"/>
    <w:rsid w:val="00207617"/>
    <w:rsid w:val="0023134B"/>
    <w:rsid w:val="00237CDE"/>
    <w:rsid w:val="00243EB4"/>
    <w:rsid w:val="0026015E"/>
    <w:rsid w:val="00263B29"/>
    <w:rsid w:val="002667BE"/>
    <w:rsid w:val="00270E13"/>
    <w:rsid w:val="00283659"/>
    <w:rsid w:val="002B5149"/>
    <w:rsid w:val="002C6BD4"/>
    <w:rsid w:val="002D68BF"/>
    <w:rsid w:val="002F6B98"/>
    <w:rsid w:val="00324B30"/>
    <w:rsid w:val="00336CBF"/>
    <w:rsid w:val="00343FE3"/>
    <w:rsid w:val="003446EF"/>
    <w:rsid w:val="003546C8"/>
    <w:rsid w:val="003A7CF2"/>
    <w:rsid w:val="003C5723"/>
    <w:rsid w:val="003C5CE5"/>
    <w:rsid w:val="003E267B"/>
    <w:rsid w:val="003E5773"/>
    <w:rsid w:val="003E7CD1"/>
    <w:rsid w:val="00402B9E"/>
    <w:rsid w:val="00412714"/>
    <w:rsid w:val="00420643"/>
    <w:rsid w:val="00422BF2"/>
    <w:rsid w:val="004249CB"/>
    <w:rsid w:val="00434B51"/>
    <w:rsid w:val="0044127D"/>
    <w:rsid w:val="004448DB"/>
    <w:rsid w:val="00446C9A"/>
    <w:rsid w:val="00452F2B"/>
    <w:rsid w:val="00477193"/>
    <w:rsid w:val="004A1848"/>
    <w:rsid w:val="004A6F4A"/>
    <w:rsid w:val="004B5930"/>
    <w:rsid w:val="004E4717"/>
    <w:rsid w:val="005035E7"/>
    <w:rsid w:val="00507FEC"/>
    <w:rsid w:val="00510F0E"/>
    <w:rsid w:val="00520CF2"/>
    <w:rsid w:val="00542C29"/>
    <w:rsid w:val="005479E1"/>
    <w:rsid w:val="00553E0A"/>
    <w:rsid w:val="005570FD"/>
    <w:rsid w:val="005575EA"/>
    <w:rsid w:val="0057790C"/>
    <w:rsid w:val="00593795"/>
    <w:rsid w:val="00593821"/>
    <w:rsid w:val="005A549B"/>
    <w:rsid w:val="005A75FF"/>
    <w:rsid w:val="005D10AB"/>
    <w:rsid w:val="005F14D4"/>
    <w:rsid w:val="005F1F19"/>
    <w:rsid w:val="00601D8F"/>
    <w:rsid w:val="00611011"/>
    <w:rsid w:val="00611B31"/>
    <w:rsid w:val="00611FEE"/>
    <w:rsid w:val="00653E97"/>
    <w:rsid w:val="00676204"/>
    <w:rsid w:val="00684A74"/>
    <w:rsid w:val="00690B8A"/>
    <w:rsid w:val="006F2CF1"/>
    <w:rsid w:val="007038ED"/>
    <w:rsid w:val="00703BC3"/>
    <w:rsid w:val="00704B61"/>
    <w:rsid w:val="007334B3"/>
    <w:rsid w:val="007552A9"/>
    <w:rsid w:val="00761858"/>
    <w:rsid w:val="00767D59"/>
    <w:rsid w:val="00776E97"/>
    <w:rsid w:val="00780F86"/>
    <w:rsid w:val="007912AD"/>
    <w:rsid w:val="007A37E8"/>
    <w:rsid w:val="007B0824"/>
    <w:rsid w:val="007B5D3C"/>
    <w:rsid w:val="007F7816"/>
    <w:rsid w:val="0080410F"/>
    <w:rsid w:val="00807F69"/>
    <w:rsid w:val="00813355"/>
    <w:rsid w:val="00821B72"/>
    <w:rsid w:val="00823EF2"/>
    <w:rsid w:val="00825708"/>
    <w:rsid w:val="00827E1E"/>
    <w:rsid w:val="008303B8"/>
    <w:rsid w:val="00833DCE"/>
    <w:rsid w:val="00870C49"/>
    <w:rsid w:val="00871D34"/>
    <w:rsid w:val="008B270C"/>
    <w:rsid w:val="008B382D"/>
    <w:rsid w:val="008B5078"/>
    <w:rsid w:val="008C3D3D"/>
    <w:rsid w:val="008D4131"/>
    <w:rsid w:val="008D52FD"/>
    <w:rsid w:val="008E55FE"/>
    <w:rsid w:val="008F1932"/>
    <w:rsid w:val="008F2F5B"/>
    <w:rsid w:val="00907F6B"/>
    <w:rsid w:val="00921062"/>
    <w:rsid w:val="00925AB2"/>
    <w:rsid w:val="009722BC"/>
    <w:rsid w:val="009727A3"/>
    <w:rsid w:val="00987774"/>
    <w:rsid w:val="009A11E8"/>
    <w:rsid w:val="009A5F69"/>
    <w:rsid w:val="009D595D"/>
    <w:rsid w:val="009F5220"/>
    <w:rsid w:val="00A15234"/>
    <w:rsid w:val="00A201AB"/>
    <w:rsid w:val="00A240AA"/>
    <w:rsid w:val="00A253BF"/>
    <w:rsid w:val="00A31C8B"/>
    <w:rsid w:val="00A509FA"/>
    <w:rsid w:val="00A845DC"/>
    <w:rsid w:val="00AE582E"/>
    <w:rsid w:val="00AF2141"/>
    <w:rsid w:val="00B26AA2"/>
    <w:rsid w:val="00B3524D"/>
    <w:rsid w:val="00B40F69"/>
    <w:rsid w:val="00B414F3"/>
    <w:rsid w:val="00B46616"/>
    <w:rsid w:val="00B467EA"/>
    <w:rsid w:val="00B7040A"/>
    <w:rsid w:val="00B83391"/>
    <w:rsid w:val="00B95326"/>
    <w:rsid w:val="00BD4196"/>
    <w:rsid w:val="00BE485D"/>
    <w:rsid w:val="00BF22CA"/>
    <w:rsid w:val="00BF23BB"/>
    <w:rsid w:val="00C0050B"/>
    <w:rsid w:val="00C12F97"/>
    <w:rsid w:val="00C26032"/>
    <w:rsid w:val="00C345E1"/>
    <w:rsid w:val="00C43BFD"/>
    <w:rsid w:val="00C51218"/>
    <w:rsid w:val="00C6445D"/>
    <w:rsid w:val="00CB6E35"/>
    <w:rsid w:val="00CE1A46"/>
    <w:rsid w:val="00D20757"/>
    <w:rsid w:val="00D22636"/>
    <w:rsid w:val="00D32B8A"/>
    <w:rsid w:val="00D40FD9"/>
    <w:rsid w:val="00D53769"/>
    <w:rsid w:val="00D63887"/>
    <w:rsid w:val="00D85C13"/>
    <w:rsid w:val="00D9111A"/>
    <w:rsid w:val="00D91BE3"/>
    <w:rsid w:val="00D94AFC"/>
    <w:rsid w:val="00DB70AE"/>
    <w:rsid w:val="00DD5071"/>
    <w:rsid w:val="00DD5C39"/>
    <w:rsid w:val="00DE7DB7"/>
    <w:rsid w:val="00E00A0A"/>
    <w:rsid w:val="00E066DE"/>
    <w:rsid w:val="00E07F57"/>
    <w:rsid w:val="00E303E0"/>
    <w:rsid w:val="00E30683"/>
    <w:rsid w:val="00E453D8"/>
    <w:rsid w:val="00E50BCE"/>
    <w:rsid w:val="00E533BA"/>
    <w:rsid w:val="00E54934"/>
    <w:rsid w:val="00E574BF"/>
    <w:rsid w:val="00E61292"/>
    <w:rsid w:val="00E77C4D"/>
    <w:rsid w:val="00E80AD9"/>
    <w:rsid w:val="00E81D01"/>
    <w:rsid w:val="00EE43F3"/>
    <w:rsid w:val="00EE45D8"/>
    <w:rsid w:val="00F13605"/>
    <w:rsid w:val="00F22EDA"/>
    <w:rsid w:val="00F86899"/>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B64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1945</Words>
  <Characters>9467</Characters>
  <Application>Microsoft Office Word</Application>
  <DocSecurity>0</DocSecurity>
  <Lines>78</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2018-09-03T10:49:00Z</dcterms:created>
  <dcterms:modified xsi:type="dcterms:W3CDTF">2018-09-03T10:50:00Z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