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275CFC" w:rsidP="0010335F">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FC6028"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FC6028">
        <w:rPr>
          <w:rFonts w:ascii="Book Antiqua" w:hAnsi="Book Antiqua" w:cs="Arial"/>
          <w:b/>
          <w:color w:val="000000"/>
        </w:rPr>
        <w:t xml:space="preserve">   </w:t>
      </w:r>
      <w:proofErr w:type="gramEnd"/>
      <w:r w:rsidR="00FC6028">
        <w:rPr>
          <w:rFonts w:ascii="Book Antiqua" w:hAnsi="Book Antiqua" w:cs="Arial"/>
          <w:b/>
          <w:color w:val="000000"/>
        </w:rPr>
        <w:t xml:space="preserve">                    </w:t>
      </w:r>
      <w:r w:rsidR="00B3524D" w:rsidRPr="00FC6028">
        <w:rPr>
          <w:rFonts w:ascii="Book Antiqua" w:hAnsi="Book Antiqua" w:cs="Arial"/>
          <w:b/>
          <w:color w:val="000000"/>
        </w:rPr>
        <w:t>Appeal Number</w:t>
      </w:r>
      <w:r w:rsidR="00D53769" w:rsidRPr="00FC6028">
        <w:rPr>
          <w:rFonts w:ascii="Book Antiqua" w:hAnsi="Book Antiqua" w:cs="Arial"/>
          <w:b/>
          <w:color w:val="000000"/>
        </w:rPr>
        <w:t>:</w:t>
      </w:r>
      <w:r w:rsidR="00B3524D" w:rsidRPr="00FC6028">
        <w:rPr>
          <w:rFonts w:ascii="Book Antiqua" w:hAnsi="Book Antiqua" w:cs="Arial"/>
          <w:b/>
          <w:color w:val="000000"/>
        </w:rPr>
        <w:t xml:space="preserve"> </w:t>
      </w:r>
      <w:r w:rsidR="00606132" w:rsidRPr="00FC6028">
        <w:rPr>
          <w:rFonts w:ascii="Book Antiqua" w:hAnsi="Book Antiqua" w:cs="Arial"/>
          <w:b/>
          <w:color w:val="000000"/>
        </w:rPr>
        <w:t>PA/04999/2017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6"/>
        <w:gridCol w:w="1262"/>
        <w:gridCol w:w="3960"/>
      </w:tblGrid>
      <w:tr w:rsidR="00D22636" w:rsidRPr="00DF2C5B" w:rsidTr="00D05936">
        <w:tc>
          <w:tcPr>
            <w:tcW w:w="4786" w:type="dxa"/>
            <w:shd w:val="clear" w:color="auto" w:fill="auto"/>
          </w:tcPr>
          <w:p w:rsidR="00D22636" w:rsidRPr="00DF2C5B" w:rsidRDefault="00D22636" w:rsidP="00DF2C5B">
            <w:pPr>
              <w:jc w:val="both"/>
              <w:rPr>
                <w:rFonts w:ascii="Book Antiqua" w:hAnsi="Book Antiqua" w:cs="Arial"/>
                <w:b/>
              </w:rPr>
            </w:pPr>
            <w:r w:rsidRPr="00DF2C5B">
              <w:rPr>
                <w:rFonts w:ascii="Book Antiqua" w:hAnsi="Book Antiqua" w:cs="Arial"/>
                <w:b/>
              </w:rPr>
              <w:t>Heard at</w:t>
            </w:r>
            <w:r w:rsidR="00606132" w:rsidRPr="00DF2C5B">
              <w:rPr>
                <w:rFonts w:ascii="Book Antiqua" w:hAnsi="Book Antiqua" w:cs="Arial"/>
                <w:b/>
              </w:rPr>
              <w:t xml:space="preserve"> Field House </w:t>
            </w:r>
          </w:p>
        </w:tc>
        <w:tc>
          <w:tcPr>
            <w:tcW w:w="5222" w:type="dxa"/>
            <w:gridSpan w:val="2"/>
            <w:shd w:val="clear" w:color="auto" w:fill="auto"/>
          </w:tcPr>
          <w:p w:rsidR="00D22636" w:rsidRPr="00DF2C5B" w:rsidRDefault="00FC6028" w:rsidP="00DF2C5B">
            <w:pPr>
              <w:jc w:val="both"/>
              <w:rPr>
                <w:rFonts w:ascii="Book Antiqua" w:hAnsi="Book Antiqua" w:cs="Arial"/>
                <w:b/>
                <w:color w:val="000000"/>
              </w:rPr>
            </w:pPr>
            <w:r>
              <w:rPr>
                <w:rFonts w:ascii="Book Antiqua" w:hAnsi="Book Antiqua" w:cs="Arial"/>
                <w:b/>
                <w:color w:val="000000"/>
              </w:rPr>
              <w:t xml:space="preserve">        </w:t>
            </w:r>
            <w:r w:rsidR="00D6134E" w:rsidRPr="00DF2C5B">
              <w:rPr>
                <w:rFonts w:ascii="Book Antiqua" w:hAnsi="Book Antiqua" w:cs="Arial"/>
                <w:b/>
                <w:color w:val="000000"/>
              </w:rPr>
              <w:t>Decision &amp; Reasons</w:t>
            </w:r>
            <w:r w:rsidR="00283659" w:rsidRPr="00DF2C5B">
              <w:rPr>
                <w:rFonts w:ascii="Book Antiqua" w:hAnsi="Book Antiqua" w:cs="Arial"/>
                <w:b/>
                <w:color w:val="000000"/>
              </w:rPr>
              <w:t xml:space="preserve"> Promulgated</w:t>
            </w:r>
          </w:p>
        </w:tc>
      </w:tr>
      <w:tr w:rsidR="00D22636" w:rsidRPr="00DF2C5B" w:rsidTr="00D05936">
        <w:tc>
          <w:tcPr>
            <w:tcW w:w="4786" w:type="dxa"/>
            <w:shd w:val="clear" w:color="auto" w:fill="auto"/>
          </w:tcPr>
          <w:p w:rsidR="00D22636" w:rsidRPr="00DF2C5B" w:rsidRDefault="00D22636" w:rsidP="00DF2C5B">
            <w:pPr>
              <w:jc w:val="both"/>
              <w:rPr>
                <w:rFonts w:ascii="Book Antiqua" w:hAnsi="Book Antiqua" w:cs="Arial"/>
                <w:b/>
              </w:rPr>
            </w:pPr>
            <w:r w:rsidRPr="00DF2C5B">
              <w:rPr>
                <w:rFonts w:ascii="Book Antiqua" w:hAnsi="Book Antiqua" w:cs="Arial"/>
                <w:b/>
              </w:rPr>
              <w:t xml:space="preserve">On </w:t>
            </w:r>
            <w:r w:rsidR="00606132" w:rsidRPr="00DF2C5B">
              <w:rPr>
                <w:rFonts w:ascii="Book Antiqua" w:hAnsi="Book Antiqua" w:cs="Arial"/>
                <w:b/>
              </w:rPr>
              <w:t>31 May 2018</w:t>
            </w:r>
          </w:p>
        </w:tc>
        <w:tc>
          <w:tcPr>
            <w:tcW w:w="5222" w:type="dxa"/>
            <w:gridSpan w:val="2"/>
            <w:shd w:val="clear" w:color="auto" w:fill="auto"/>
          </w:tcPr>
          <w:p w:rsidR="00D22636" w:rsidRPr="00DF2C5B" w:rsidRDefault="00FC6028" w:rsidP="00DF2C5B">
            <w:pPr>
              <w:jc w:val="both"/>
              <w:rPr>
                <w:rFonts w:ascii="Book Antiqua" w:hAnsi="Book Antiqua" w:cs="Arial"/>
                <w:b/>
              </w:rPr>
            </w:pPr>
            <w:r>
              <w:rPr>
                <w:rFonts w:ascii="Book Antiqua" w:hAnsi="Book Antiqua" w:cs="Arial"/>
                <w:b/>
              </w:rPr>
              <w:t xml:space="preserve">        </w:t>
            </w:r>
            <w:r w:rsidR="00D05936">
              <w:rPr>
                <w:rFonts w:ascii="Book Antiqua" w:hAnsi="Book Antiqua" w:cs="Arial"/>
                <w:b/>
              </w:rPr>
              <w:t xml:space="preserve">On 06 June 2018 </w:t>
            </w:r>
          </w:p>
        </w:tc>
      </w:tr>
      <w:tr w:rsidR="00D05936" w:rsidRPr="00DF2C5B" w:rsidTr="00DF2C5B">
        <w:trPr>
          <w:gridAfter w:val="1"/>
          <w:wAfter w:w="3960" w:type="dxa"/>
        </w:trPr>
        <w:tc>
          <w:tcPr>
            <w:tcW w:w="6048" w:type="dxa"/>
            <w:gridSpan w:val="2"/>
            <w:shd w:val="clear" w:color="auto" w:fill="auto"/>
          </w:tcPr>
          <w:p w:rsidR="00D05936" w:rsidRPr="00DF2C5B" w:rsidRDefault="00D05936" w:rsidP="00DF2C5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Default="00A15234" w:rsidP="00A15234">
      <w:pPr>
        <w:jc w:val="center"/>
        <w:rPr>
          <w:rFonts w:ascii="Book Antiqua" w:hAnsi="Book Antiqua" w:cs="Arial"/>
        </w:rPr>
      </w:pPr>
    </w:p>
    <w:p w:rsidR="00A15234"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606132" w:rsidRDefault="00606132" w:rsidP="00A15234">
      <w:pPr>
        <w:jc w:val="center"/>
        <w:rPr>
          <w:rFonts w:ascii="Book Antiqua" w:hAnsi="Book Antiqua" w:cs="Arial"/>
          <w:b/>
        </w:rPr>
      </w:pPr>
    </w:p>
    <w:p w:rsidR="00606132" w:rsidRDefault="00606132" w:rsidP="00606132">
      <w:pPr>
        <w:jc w:val="center"/>
        <w:rPr>
          <w:rFonts w:ascii="Book Antiqua" w:hAnsi="Book Antiqua" w:cs="Arial"/>
          <w:b/>
        </w:rPr>
      </w:pPr>
      <w:r>
        <w:rPr>
          <w:rFonts w:ascii="Book Antiqua" w:hAnsi="Book Antiqua" w:cs="Arial"/>
          <w:b/>
        </w:rPr>
        <w:t>LORD UIST SITTING AS A JUDGE OF THE UPPER TRIBUNAL</w:t>
      </w:r>
    </w:p>
    <w:p w:rsidR="00D20757" w:rsidRPr="00606132" w:rsidRDefault="003543A1" w:rsidP="00606132">
      <w:pPr>
        <w:jc w:val="center"/>
        <w:rPr>
          <w:rFonts w:ascii="Book Antiqua" w:hAnsi="Book Antiqua" w:cs="Arial"/>
          <w:b/>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606132">
        <w:rPr>
          <w:rFonts w:ascii="Book Antiqua" w:hAnsi="Book Antiqua" w:cs="Arial"/>
          <w:b/>
          <w:color w:val="000000"/>
        </w:rPr>
        <w:t>FREEMAN</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D6134E" w:rsidRDefault="00606132" w:rsidP="00606132">
      <w:pPr>
        <w:jc w:val="center"/>
        <w:rPr>
          <w:rFonts w:ascii="Book Antiqua" w:hAnsi="Book Antiqua" w:cs="Arial"/>
          <w:b/>
          <w:caps/>
        </w:rPr>
      </w:pPr>
      <w:r>
        <w:rPr>
          <w:rFonts w:ascii="Book Antiqua" w:hAnsi="Book Antiqua" w:cs="Arial"/>
          <w:b/>
          <w:caps/>
        </w:rPr>
        <w:t xml:space="preserve">SECRETARY OF STATE FOR THE HOME DEPARTMENT </w:t>
      </w:r>
    </w:p>
    <w:p w:rsidR="00606132" w:rsidRDefault="00704B61" w:rsidP="00606132">
      <w:pPr>
        <w:jc w:val="right"/>
        <w:rPr>
          <w:rFonts w:ascii="Book Antiqua" w:hAnsi="Book Antiqua" w:cs="Arial"/>
          <w:u w:val="single"/>
        </w:rPr>
      </w:pPr>
      <w:r w:rsidRPr="001C5703">
        <w:rPr>
          <w:rFonts w:ascii="Book Antiqua" w:hAnsi="Book Antiqua" w:cs="Arial"/>
          <w:u w:val="single"/>
        </w:rPr>
        <w:t>Appellant</w:t>
      </w:r>
    </w:p>
    <w:p w:rsidR="00606132" w:rsidRDefault="00606132" w:rsidP="00606132">
      <w:pPr>
        <w:jc w:val="right"/>
        <w:rPr>
          <w:rFonts w:ascii="Book Antiqua" w:hAnsi="Book Antiqua" w:cs="Arial"/>
          <w:u w:val="single"/>
        </w:rPr>
      </w:pPr>
    </w:p>
    <w:p w:rsidR="00606132" w:rsidRPr="00D05936" w:rsidRDefault="001E2535" w:rsidP="00D05936">
      <w:pPr>
        <w:jc w:val="center"/>
        <w:rPr>
          <w:rFonts w:ascii="Book Antiqua" w:hAnsi="Book Antiqua" w:cs="Arial"/>
          <w:b/>
        </w:rPr>
      </w:pPr>
      <w:r w:rsidRPr="00D05936">
        <w:rPr>
          <w:rFonts w:ascii="Book Antiqua" w:hAnsi="Book Antiqua" w:cs="Arial"/>
          <w:b/>
        </w:rPr>
        <w:t>and</w:t>
      </w:r>
    </w:p>
    <w:p w:rsidR="00DD5071" w:rsidRPr="001C5703" w:rsidRDefault="00DD5071" w:rsidP="00704B61">
      <w:pPr>
        <w:jc w:val="center"/>
        <w:rPr>
          <w:rFonts w:ascii="Book Antiqua" w:hAnsi="Book Antiqua" w:cs="Arial"/>
          <w:b/>
        </w:rPr>
      </w:pPr>
    </w:p>
    <w:p w:rsidR="00D05936" w:rsidRPr="00FC6028" w:rsidRDefault="00606132" w:rsidP="00606132">
      <w:pPr>
        <w:jc w:val="center"/>
        <w:rPr>
          <w:rFonts w:ascii="Book Antiqua" w:hAnsi="Book Antiqua" w:cs="Arial"/>
          <w:b/>
        </w:rPr>
      </w:pPr>
      <w:r w:rsidRPr="00FC6028">
        <w:rPr>
          <w:rFonts w:ascii="Book Antiqua" w:hAnsi="Book Antiqua" w:cs="Arial"/>
          <w:b/>
        </w:rPr>
        <w:t>DEAN</w:t>
      </w:r>
      <w:r w:rsidR="001E2535" w:rsidRPr="00FC6028">
        <w:rPr>
          <w:rFonts w:ascii="Book Antiqua" w:hAnsi="Book Antiqua" w:cs="Arial"/>
          <w:b/>
        </w:rPr>
        <w:t xml:space="preserve"> RAMSEY</w:t>
      </w:r>
    </w:p>
    <w:p w:rsidR="001E2535" w:rsidRPr="00FC6028" w:rsidRDefault="00FC6028" w:rsidP="00606132">
      <w:pPr>
        <w:jc w:val="center"/>
        <w:rPr>
          <w:rFonts w:ascii="Book Antiqua" w:hAnsi="Book Antiqua" w:cs="Arial"/>
        </w:rPr>
      </w:pPr>
      <w:r w:rsidRPr="00FC6028">
        <w:rPr>
          <w:rFonts w:ascii="Book Antiqua" w:hAnsi="Book Antiqua" w:cs="Arial"/>
        </w:rPr>
        <w:t xml:space="preserve">(ANONYMITY DIRECTION NOT MADE) </w:t>
      </w:r>
    </w:p>
    <w:p w:rsidR="00DD5071" w:rsidRPr="001C5703" w:rsidRDefault="00DD5071" w:rsidP="00D05936">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606132">
        <w:rPr>
          <w:rFonts w:ascii="Book Antiqua" w:hAnsi="Book Antiqua" w:cs="Arial"/>
        </w:rPr>
        <w:t xml:space="preserve">Mr Duffy, </w:t>
      </w:r>
      <w:r w:rsidR="0026743E">
        <w:rPr>
          <w:rFonts w:ascii="Book Antiqua" w:hAnsi="Book Antiqua" w:cs="Arial"/>
        </w:rPr>
        <w:t xml:space="preserve">Home Office </w:t>
      </w:r>
      <w:r w:rsidR="00606132">
        <w:rPr>
          <w:rFonts w:ascii="Book Antiqua" w:hAnsi="Book Antiqua" w:cs="Arial"/>
        </w:rPr>
        <w:t xml:space="preserve">Presenting Officer </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606132">
        <w:rPr>
          <w:rFonts w:ascii="Book Antiqua" w:hAnsi="Book Antiqua" w:cs="Arial"/>
        </w:rPr>
        <w:t xml:space="preserve">Mr </w:t>
      </w:r>
      <w:proofErr w:type="spellStart"/>
      <w:r w:rsidR="00606132">
        <w:rPr>
          <w:rFonts w:ascii="Book Antiqua" w:hAnsi="Book Antiqua" w:cs="Arial"/>
        </w:rPr>
        <w:t>Hawkin</w:t>
      </w:r>
      <w:proofErr w:type="spellEnd"/>
      <w:r w:rsidR="00606132">
        <w:rPr>
          <w:rFonts w:ascii="Book Antiqua" w:hAnsi="Book Antiqua" w:cs="Arial"/>
        </w:rPr>
        <w:t xml:space="preserve">, </w:t>
      </w:r>
      <w:r w:rsidR="0026743E">
        <w:rPr>
          <w:rFonts w:ascii="Book Antiqua" w:hAnsi="Book Antiqua" w:cs="Arial"/>
        </w:rPr>
        <w:t xml:space="preserve">of </w:t>
      </w:r>
      <w:r w:rsidR="00606132">
        <w:rPr>
          <w:rFonts w:ascii="Book Antiqua" w:hAnsi="Book Antiqua" w:cs="Arial"/>
        </w:rPr>
        <w:t xml:space="preserve">Counsel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BF23BB" w:rsidRDefault="00D6134E" w:rsidP="00F7326C">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w:t>
      </w:r>
      <w:r w:rsidR="0013694C">
        <w:rPr>
          <w:rFonts w:ascii="Book Antiqua" w:hAnsi="Book Antiqua" w:cs="Arial"/>
          <w:b/>
          <w:u w:val="single"/>
        </w:rPr>
        <w:t>SONS</w:t>
      </w:r>
    </w:p>
    <w:p w:rsidR="002E1FC1" w:rsidRDefault="00F7326C"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Dean Ramsay (the claimant) </w:t>
      </w:r>
      <w:r w:rsidR="002E1FC1">
        <w:rPr>
          <w:rFonts w:ascii="Book Antiqua" w:hAnsi="Book Antiqua" w:cs="Arial"/>
        </w:rPr>
        <w:t xml:space="preserve">is an Iraqi national who was born on 18 September 1959. He arrived in the </w:t>
      </w:r>
      <w:smartTag w:uri="urn:schemas-microsoft-com:office:smarttags" w:element="country-region">
        <w:smartTag w:uri="urn:schemas-microsoft-com:office:smarttags" w:element="place">
          <w:r w:rsidR="002E1FC1">
            <w:rPr>
              <w:rFonts w:ascii="Book Antiqua" w:hAnsi="Book Antiqua" w:cs="Arial"/>
            </w:rPr>
            <w:t>United Kingdom</w:t>
          </w:r>
        </w:smartTag>
      </w:smartTag>
      <w:r w:rsidR="002E1FC1">
        <w:rPr>
          <w:rFonts w:ascii="Book Antiqua" w:hAnsi="Book Antiqua" w:cs="Arial"/>
        </w:rPr>
        <w:t xml:space="preserve"> on 28 September 1978 on a student visa, which was renewed annually until 1984. On 12 August</w:t>
      </w:r>
      <w:r w:rsidR="00B12125">
        <w:rPr>
          <w:rFonts w:ascii="Book Antiqua" w:hAnsi="Book Antiqua" w:cs="Arial"/>
        </w:rPr>
        <w:t xml:space="preserve"> 1992 he changed his name from </w:t>
      </w:r>
      <w:proofErr w:type="spellStart"/>
      <w:r w:rsidR="00B12125">
        <w:rPr>
          <w:rFonts w:ascii="Book Antiqua" w:hAnsi="Book Antiqua" w:cs="Arial"/>
        </w:rPr>
        <w:t>R</w:t>
      </w:r>
      <w:r w:rsidR="002E1FC1">
        <w:rPr>
          <w:rFonts w:ascii="Book Antiqua" w:hAnsi="Book Antiqua" w:cs="Arial"/>
        </w:rPr>
        <w:t>idah</w:t>
      </w:r>
      <w:proofErr w:type="spellEnd"/>
      <w:r w:rsidR="002E1FC1">
        <w:rPr>
          <w:rFonts w:ascii="Book Antiqua" w:hAnsi="Book Antiqua" w:cs="Arial"/>
        </w:rPr>
        <w:t xml:space="preserve"> </w:t>
      </w:r>
      <w:proofErr w:type="spellStart"/>
      <w:r w:rsidR="002E1FC1">
        <w:rPr>
          <w:rFonts w:ascii="Book Antiqua" w:hAnsi="Book Antiqua" w:cs="Arial"/>
        </w:rPr>
        <w:t>Sadik</w:t>
      </w:r>
      <w:proofErr w:type="spellEnd"/>
      <w:r w:rsidR="002E1FC1">
        <w:rPr>
          <w:rFonts w:ascii="Book Antiqua" w:hAnsi="Book Antiqua" w:cs="Arial"/>
        </w:rPr>
        <w:t xml:space="preserve"> Mohammed to Dean </w:t>
      </w:r>
      <w:proofErr w:type="spellStart"/>
      <w:r w:rsidR="002E1FC1">
        <w:rPr>
          <w:rFonts w:ascii="Book Antiqua" w:hAnsi="Book Antiqua" w:cs="Arial"/>
        </w:rPr>
        <w:t>Mazen</w:t>
      </w:r>
      <w:proofErr w:type="spellEnd"/>
      <w:r w:rsidR="002E1FC1">
        <w:rPr>
          <w:rFonts w:ascii="Book Antiqua" w:hAnsi="Book Antiqua" w:cs="Arial"/>
        </w:rPr>
        <w:t xml:space="preserve"> Ramsay.</w:t>
      </w:r>
      <w:r w:rsidR="00B12125">
        <w:rPr>
          <w:rFonts w:ascii="Book Antiqua" w:hAnsi="Book Antiqua" w:cs="Arial"/>
        </w:rPr>
        <w:t xml:space="preserve"> On 4 February 1989 he made an application to be naturalised as a British citizen. It was refused on 18 January 2001 as there was no record that his tax and national insurance contributions were up-to-date. On 21 July 2009 his representatives wrote to the Home Office requesting the issue of a document verifying his status. On 20 November 2009 the Home Office replied to the </w:t>
      </w:r>
      <w:r w:rsidR="00B12125">
        <w:rPr>
          <w:rFonts w:ascii="Book Antiqua" w:hAnsi="Book Antiqua" w:cs="Arial"/>
        </w:rPr>
        <w:lastRenderedPageBreak/>
        <w:t>effect that his status could not be verified</w:t>
      </w:r>
      <w:r w:rsidR="00BC279D">
        <w:rPr>
          <w:rFonts w:ascii="Book Antiqua" w:hAnsi="Book Antiqua" w:cs="Arial"/>
        </w:rPr>
        <w:t>. On 18 March 2011 he was convicted of the offence of “damaging property being reckless as to whether life was endangered” in September 2010 and sentenced to seven years imprisonment. The offence involved his setting fire to a flat in a residential building that had been co</w:t>
      </w:r>
      <w:r w:rsidR="0026743E">
        <w:rPr>
          <w:rFonts w:ascii="Book Antiqua" w:hAnsi="Book Antiqua" w:cs="Arial"/>
        </w:rPr>
        <w:t xml:space="preserve">nverted into </w:t>
      </w:r>
      <w:proofErr w:type="gramStart"/>
      <w:r w:rsidR="0026743E">
        <w:rPr>
          <w:rFonts w:ascii="Book Antiqua" w:hAnsi="Book Antiqua" w:cs="Arial"/>
        </w:rPr>
        <w:t>a number of</w:t>
      </w:r>
      <w:proofErr w:type="gramEnd"/>
      <w:r w:rsidR="0026743E">
        <w:rPr>
          <w:rFonts w:ascii="Book Antiqua" w:hAnsi="Book Antiqua" w:cs="Arial"/>
        </w:rPr>
        <w:t xml:space="preserve"> flats</w:t>
      </w:r>
      <w:r w:rsidR="00645C06">
        <w:rPr>
          <w:rFonts w:ascii="Book Antiqua" w:hAnsi="Book Antiqua" w:cs="Arial"/>
        </w:rPr>
        <w:t xml:space="preserve">, all of which were occupied by families, including children. By good fortune </w:t>
      </w:r>
      <w:proofErr w:type="gramStart"/>
      <w:r w:rsidR="00645C06">
        <w:rPr>
          <w:rFonts w:ascii="Book Antiqua" w:hAnsi="Book Antiqua" w:cs="Arial"/>
        </w:rPr>
        <w:t>all of</w:t>
      </w:r>
      <w:proofErr w:type="gramEnd"/>
      <w:r w:rsidR="00645C06">
        <w:rPr>
          <w:rFonts w:ascii="Book Antiqua" w:hAnsi="Book Antiqua" w:cs="Arial"/>
        </w:rPr>
        <w:t xml:space="preserve"> the occupants of the building managed to escape the fire without coming to any harm, but they were nevertheless exposed to the real risk of serious harm or death. Moreover, the fire caused extensive damage to the building and a neighbouring property. The sentencing judge remarked that it was a major incident in which the actions of the claimant resulted in an extremely high fin</w:t>
      </w:r>
      <w:r w:rsidR="002505EF">
        <w:rPr>
          <w:rFonts w:ascii="Book Antiqua" w:hAnsi="Book Antiqua" w:cs="Arial"/>
        </w:rPr>
        <w:t xml:space="preserve">ancial cost </w:t>
      </w:r>
      <w:r w:rsidR="0026743E">
        <w:rPr>
          <w:rFonts w:ascii="Book Antiqua" w:hAnsi="Book Antiqua" w:cs="Arial"/>
        </w:rPr>
        <w:t xml:space="preserve">to </w:t>
      </w:r>
      <w:r w:rsidR="00645C06">
        <w:rPr>
          <w:rFonts w:ascii="Book Antiqua" w:hAnsi="Book Antiqua" w:cs="Arial"/>
        </w:rPr>
        <w:t>the authorities, the landlord, and, relative to their circumstances, the occupants of the property.</w:t>
      </w:r>
      <w:r w:rsidR="00BC279D">
        <w:rPr>
          <w:rFonts w:ascii="Book Antiqua" w:hAnsi="Book Antiqua" w:cs="Arial"/>
        </w:rPr>
        <w:t xml:space="preserve"> On 13 May 2014 a dep</w:t>
      </w:r>
      <w:r w:rsidR="00645C06">
        <w:rPr>
          <w:rFonts w:ascii="Book Antiqua" w:hAnsi="Book Antiqua" w:cs="Arial"/>
        </w:rPr>
        <w:t>ortation order was served on the claimant</w:t>
      </w:r>
      <w:r w:rsidR="00BC279D">
        <w:rPr>
          <w:rFonts w:ascii="Book Antiqua" w:hAnsi="Book Antiqua" w:cs="Arial"/>
        </w:rPr>
        <w:t xml:space="preserve">. His appeal to the First-tier Tribunal </w:t>
      </w:r>
      <w:r w:rsidR="0026743E">
        <w:rPr>
          <w:rFonts w:ascii="Book Antiqua" w:hAnsi="Book Antiqua" w:cs="Arial"/>
        </w:rPr>
        <w:t xml:space="preserve">(FTT) </w:t>
      </w:r>
      <w:r w:rsidR="00BC279D">
        <w:rPr>
          <w:rFonts w:ascii="Book Antiqua" w:hAnsi="Book Antiqua" w:cs="Arial"/>
        </w:rPr>
        <w:t xml:space="preserve">against the making of the deportation order was dismissed on 27 November 2014. </w:t>
      </w:r>
      <w:r w:rsidR="00645C06">
        <w:rPr>
          <w:rFonts w:ascii="Book Antiqua" w:hAnsi="Book Antiqua" w:cs="Arial"/>
        </w:rPr>
        <w:t xml:space="preserve">He was granted permission to appeal to the Upper Tribunal but his appeal was dismissed on 17 April 2015. Permission to appeal against that decision </w:t>
      </w:r>
      <w:r w:rsidR="0026743E">
        <w:rPr>
          <w:rFonts w:ascii="Book Antiqua" w:hAnsi="Book Antiqua" w:cs="Arial"/>
        </w:rPr>
        <w:t xml:space="preserve">to the Court of Appeal </w:t>
      </w:r>
      <w:r w:rsidR="00645C06">
        <w:rPr>
          <w:rFonts w:ascii="Book Antiqua" w:hAnsi="Book Antiqua" w:cs="Arial"/>
        </w:rPr>
        <w:t>was r</w:t>
      </w:r>
      <w:r>
        <w:rPr>
          <w:rFonts w:ascii="Book Antiqua" w:hAnsi="Book Antiqua" w:cs="Arial"/>
        </w:rPr>
        <w:t>efused on 26 May 2015</w:t>
      </w:r>
      <w:r w:rsidR="00645C06">
        <w:rPr>
          <w:rFonts w:ascii="Book Antiqua" w:hAnsi="Book Antiqua" w:cs="Arial"/>
        </w:rPr>
        <w:t xml:space="preserve">. His appeal rights became exhausted on 16 May 2015. </w:t>
      </w:r>
      <w:r>
        <w:rPr>
          <w:rFonts w:ascii="Book Antiqua" w:hAnsi="Book Antiqua" w:cs="Arial"/>
        </w:rPr>
        <w:t>T</w:t>
      </w:r>
      <w:r w:rsidR="0026743E">
        <w:rPr>
          <w:rFonts w:ascii="Book Antiqua" w:hAnsi="Book Antiqua" w:cs="Arial"/>
        </w:rPr>
        <w:t xml:space="preserve">hereafter </w:t>
      </w:r>
      <w:r>
        <w:rPr>
          <w:rFonts w:ascii="Book Antiqua" w:hAnsi="Book Antiqua" w:cs="Arial"/>
        </w:rPr>
        <w:t>the S</w:t>
      </w:r>
      <w:r w:rsidR="00645C06">
        <w:rPr>
          <w:rFonts w:ascii="Book Antiqua" w:hAnsi="Book Antiqua" w:cs="Arial"/>
        </w:rPr>
        <w:t>ecretary of State refused his protectio</w:t>
      </w:r>
      <w:r>
        <w:rPr>
          <w:rFonts w:ascii="Book Antiqua" w:hAnsi="Book Antiqua" w:cs="Arial"/>
        </w:rPr>
        <w:t>n and human rights claim on 12 M</w:t>
      </w:r>
      <w:r w:rsidR="00645C06">
        <w:rPr>
          <w:rFonts w:ascii="Book Antiqua" w:hAnsi="Book Antiqua" w:cs="Arial"/>
        </w:rPr>
        <w:t xml:space="preserve">ay 2017. </w:t>
      </w:r>
      <w:r>
        <w:rPr>
          <w:rFonts w:ascii="Book Antiqua" w:hAnsi="Book Antiqua" w:cs="Arial"/>
        </w:rPr>
        <w:t xml:space="preserve">On 17 January 2018 </w:t>
      </w:r>
      <w:r w:rsidR="0026743E">
        <w:rPr>
          <w:rFonts w:ascii="Book Antiqua" w:hAnsi="Book Antiqua" w:cs="Arial"/>
        </w:rPr>
        <w:t>First-tier Tribunal Judge (FTTJ)</w:t>
      </w:r>
      <w:r>
        <w:rPr>
          <w:rFonts w:ascii="Book Antiqua" w:hAnsi="Book Antiqua" w:cs="Arial"/>
        </w:rPr>
        <w:t xml:space="preserve"> </w:t>
      </w:r>
      <w:smartTag w:uri="urn:schemas-microsoft-com:office:smarttags" w:element="City">
        <w:smartTag w:uri="urn:schemas-microsoft-com:office:smarttags" w:element="place">
          <w:r>
            <w:rPr>
              <w:rFonts w:ascii="Book Antiqua" w:hAnsi="Book Antiqua" w:cs="Arial"/>
            </w:rPr>
            <w:t>Bartlett</w:t>
          </w:r>
        </w:smartTag>
      </w:smartTag>
      <w:r>
        <w:rPr>
          <w:rFonts w:ascii="Book Antiqua" w:hAnsi="Book Antiqua" w:cs="Arial"/>
        </w:rPr>
        <w:t xml:space="preserve"> allowed an appeal against that decision. The Secretary of State now appeals against the decision of </w:t>
      </w:r>
      <w:r w:rsidR="0026743E">
        <w:rPr>
          <w:rFonts w:ascii="Book Antiqua" w:hAnsi="Book Antiqua" w:cs="Arial"/>
        </w:rPr>
        <w:t>FTTJ</w:t>
      </w:r>
      <w:r>
        <w:rPr>
          <w:rFonts w:ascii="Book Antiqua" w:hAnsi="Book Antiqua" w:cs="Arial"/>
        </w:rPr>
        <w:t xml:space="preserve"> Bartlett. </w:t>
      </w:r>
    </w:p>
    <w:p w:rsidR="00F7326C" w:rsidRDefault="0079208F"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her</w:t>
      </w:r>
      <w:r w:rsidR="00F7326C">
        <w:rPr>
          <w:rFonts w:ascii="Book Antiqua" w:hAnsi="Book Antiqua" w:cs="Arial"/>
        </w:rPr>
        <w:t xml:space="preserve"> decision </w:t>
      </w:r>
      <w:r w:rsidR="0026743E">
        <w:rPr>
          <w:rFonts w:ascii="Book Antiqua" w:hAnsi="Book Antiqua" w:cs="Arial"/>
        </w:rPr>
        <w:t>FTTJ</w:t>
      </w:r>
      <w:r w:rsidR="00F7326C">
        <w:rPr>
          <w:rFonts w:ascii="Book Antiqua" w:hAnsi="Book Antiqua" w:cs="Arial"/>
        </w:rPr>
        <w:t xml:space="preserve"> Bartlett found that the claimant has been an atheist since at least 1992, when he changed his name by deed poll, and that, not only was he an atheist, but he expressed his atheist views, which were an important part of his identity. He had demonstrated a consistent history of going out of his way to express his view</w:t>
      </w:r>
      <w:r>
        <w:rPr>
          <w:rFonts w:ascii="Book Antiqua" w:hAnsi="Book Antiqua" w:cs="Arial"/>
        </w:rPr>
        <w:t xml:space="preserve">s and to take issue with those </w:t>
      </w:r>
      <w:r w:rsidR="00F7326C">
        <w:rPr>
          <w:rFonts w:ascii="Book Antiqua" w:hAnsi="Book Antiqua" w:cs="Arial"/>
        </w:rPr>
        <w:t xml:space="preserve">with religious beliefs, as demonstrated by his actions at Speakers’ Corner and his actions in prison. The </w:t>
      </w:r>
      <w:r w:rsidR="0026743E">
        <w:rPr>
          <w:rFonts w:ascii="Book Antiqua" w:hAnsi="Book Antiqua" w:cs="Arial"/>
        </w:rPr>
        <w:t>FTTJ</w:t>
      </w:r>
      <w:r w:rsidR="00F7326C">
        <w:rPr>
          <w:rFonts w:ascii="Book Antiqua" w:hAnsi="Book Antiqua" w:cs="Arial"/>
        </w:rPr>
        <w:t xml:space="preserve"> accepted the claimant’s evidence </w:t>
      </w:r>
      <w:r w:rsidR="004E6FD8">
        <w:rPr>
          <w:rFonts w:ascii="Book Antiqua" w:hAnsi="Book Antiqua" w:cs="Arial"/>
        </w:rPr>
        <w:t>that atheism was a core part of his identity and noted that he had changed his name over 25 years ago, long before any issues about deportation or his immigration sta</w:t>
      </w:r>
      <w:r>
        <w:rPr>
          <w:rFonts w:ascii="Book Antiqua" w:hAnsi="Book Antiqua" w:cs="Arial"/>
        </w:rPr>
        <w:t>t</w:t>
      </w:r>
      <w:r w:rsidR="004E6FD8">
        <w:rPr>
          <w:rFonts w:ascii="Book Antiqua" w:hAnsi="Book Antiqua" w:cs="Arial"/>
        </w:rPr>
        <w:t xml:space="preserve">us arose. The </w:t>
      </w:r>
      <w:r w:rsidR="0026743E">
        <w:rPr>
          <w:rFonts w:ascii="Book Antiqua" w:hAnsi="Book Antiqua" w:cs="Arial"/>
        </w:rPr>
        <w:t>FTTJ</w:t>
      </w:r>
      <w:r w:rsidR="004E6FD8">
        <w:rPr>
          <w:rFonts w:ascii="Book Antiqua" w:hAnsi="Book Antiqua" w:cs="Arial"/>
        </w:rPr>
        <w:t xml:space="preserve"> further accepted that the reason for changing his name was to distance himself from his past and so that he did not have a religious name, which he felt contradicted how he felt about himself. Proceeding </w:t>
      </w:r>
      <w:r w:rsidR="0026743E">
        <w:rPr>
          <w:rFonts w:ascii="Book Antiqua" w:hAnsi="Book Antiqua" w:cs="Arial"/>
        </w:rPr>
        <w:t>o</w:t>
      </w:r>
      <w:r w:rsidR="004E6FD8">
        <w:rPr>
          <w:rFonts w:ascii="Book Antiqua" w:hAnsi="Book Antiqua" w:cs="Arial"/>
        </w:rPr>
        <w:t xml:space="preserve">n the basis that the claimant would have little or no family support if he returned to </w:t>
      </w:r>
      <w:smartTag w:uri="urn:schemas-microsoft-com:office:smarttags" w:element="City">
        <w:r w:rsidR="004E6FD8">
          <w:rPr>
            <w:rFonts w:ascii="Book Antiqua" w:hAnsi="Book Antiqua" w:cs="Arial"/>
          </w:rPr>
          <w:t>Baghdad</w:t>
        </w:r>
      </w:smartTag>
      <w:r w:rsidR="004E6FD8">
        <w:rPr>
          <w:rFonts w:ascii="Book Antiqua" w:hAnsi="Book Antiqua" w:cs="Arial"/>
        </w:rPr>
        <w:t xml:space="preserve">, the </w:t>
      </w:r>
      <w:r w:rsidR="0026743E">
        <w:rPr>
          <w:rFonts w:ascii="Book Antiqua" w:hAnsi="Book Antiqua" w:cs="Arial"/>
        </w:rPr>
        <w:t>FTTJ</w:t>
      </w:r>
      <w:r w:rsidR="004E6FD8">
        <w:rPr>
          <w:rFonts w:ascii="Book Antiqua" w:hAnsi="Book Antiqua" w:cs="Arial"/>
        </w:rPr>
        <w:t xml:space="preserve"> went on to consider whether, as an atheist returning to </w:t>
      </w:r>
      <w:smartTag w:uri="urn:schemas-microsoft-com:office:smarttags" w:element="country-region">
        <w:smartTag w:uri="urn:schemas-microsoft-com:office:smarttags" w:element="place">
          <w:r w:rsidR="004E6FD8">
            <w:rPr>
              <w:rFonts w:ascii="Book Antiqua" w:hAnsi="Book Antiqua" w:cs="Arial"/>
            </w:rPr>
            <w:t>Iraq</w:t>
          </w:r>
        </w:smartTag>
      </w:smartTag>
      <w:r w:rsidR="004E6FD8">
        <w:rPr>
          <w:rFonts w:ascii="Book Antiqua" w:hAnsi="Book Antiqua" w:cs="Arial"/>
        </w:rPr>
        <w:t>, he would be</w:t>
      </w:r>
      <w:r>
        <w:rPr>
          <w:rFonts w:ascii="Book Antiqua" w:hAnsi="Book Antiqua" w:cs="Arial"/>
        </w:rPr>
        <w:t xml:space="preserve"> at real risk of serious harm. Sh</w:t>
      </w:r>
      <w:r w:rsidR="004E6FD8">
        <w:rPr>
          <w:rFonts w:ascii="Book Antiqua" w:hAnsi="Book Antiqua" w:cs="Arial"/>
        </w:rPr>
        <w:t xml:space="preserve">e concluded, for the ten separate reasons set out in </w:t>
      </w:r>
      <w:r>
        <w:rPr>
          <w:rFonts w:ascii="Book Antiqua" w:hAnsi="Book Antiqua" w:cs="Arial"/>
        </w:rPr>
        <w:t>detail a</w:t>
      </w:r>
      <w:r w:rsidR="0026743E">
        <w:rPr>
          <w:rFonts w:ascii="Book Antiqua" w:hAnsi="Book Antiqua" w:cs="Arial"/>
        </w:rPr>
        <w:t xml:space="preserve">t paragraph 44 of her decision, </w:t>
      </w:r>
      <w:r w:rsidR="004E6FD8">
        <w:rPr>
          <w:rFonts w:ascii="Book Antiqua" w:hAnsi="Book Antiqua" w:cs="Arial"/>
        </w:rPr>
        <w:t xml:space="preserve">that the claimant would be at real risk of serious harm amounting to persecution if he returned to </w:t>
      </w:r>
      <w:smartTag w:uri="urn:schemas-microsoft-com:office:smarttags" w:element="country-region">
        <w:smartTag w:uri="urn:schemas-microsoft-com:office:smarttags" w:element="place">
          <w:r w:rsidR="004E6FD8">
            <w:rPr>
              <w:rFonts w:ascii="Book Antiqua" w:hAnsi="Book Antiqua" w:cs="Arial"/>
            </w:rPr>
            <w:t>Iraq</w:t>
          </w:r>
        </w:smartTag>
      </w:smartTag>
      <w:r>
        <w:rPr>
          <w:rFonts w:ascii="Book Antiqua" w:hAnsi="Book Antiqua" w:cs="Arial"/>
        </w:rPr>
        <w:t>. Sh</w:t>
      </w:r>
      <w:r w:rsidR="004E6FD8">
        <w:rPr>
          <w:rFonts w:ascii="Book Antiqua" w:hAnsi="Book Antiqua" w:cs="Arial"/>
        </w:rPr>
        <w:t>e found that, if the claimant returned to Iraq, he would n</w:t>
      </w:r>
      <w:r w:rsidR="00CA6BCF">
        <w:rPr>
          <w:rFonts w:ascii="Book Antiqua" w:hAnsi="Book Antiqua" w:cs="Arial"/>
        </w:rPr>
        <w:t>o</w:t>
      </w:r>
      <w:r>
        <w:rPr>
          <w:rFonts w:ascii="Book Antiqua" w:hAnsi="Book Antiqua" w:cs="Arial"/>
        </w:rPr>
        <w:t>t suppress his atheist beliefs,</w:t>
      </w:r>
      <w:r w:rsidR="0026743E">
        <w:rPr>
          <w:rFonts w:ascii="Book Antiqua" w:hAnsi="Book Antiqua" w:cs="Arial"/>
        </w:rPr>
        <w:t xml:space="preserve"> </w:t>
      </w:r>
      <w:r w:rsidR="00CA6BCF">
        <w:rPr>
          <w:rFonts w:ascii="Book Antiqua" w:hAnsi="Book Antiqua" w:cs="Arial"/>
        </w:rPr>
        <w:t xml:space="preserve">that he would want to express them, and that therefore, pursuant to </w:t>
      </w:r>
      <w:r w:rsidR="00D2514F" w:rsidRPr="00D2514F">
        <w:rPr>
          <w:rFonts w:ascii="Sylfaen" w:hAnsi="Sylfaen" w:cs="Arial"/>
          <w:b/>
          <w:i/>
          <w:color w:val="000000"/>
        </w:rPr>
        <w:t>HJ (Iran)</w:t>
      </w:r>
      <w:r w:rsidR="00D2514F" w:rsidRPr="00D2514F">
        <w:rPr>
          <w:rFonts w:ascii="Sylfaen" w:hAnsi="Sylfaen" w:cs="Arial"/>
          <w:b/>
          <w:color w:val="000000"/>
        </w:rPr>
        <w:t xml:space="preserve"> [2010] UKSC 31</w:t>
      </w:r>
      <w:r w:rsidR="00CA6BCF">
        <w:rPr>
          <w:rFonts w:ascii="Book Antiqua" w:hAnsi="Book Antiqua" w:cs="Arial"/>
        </w:rPr>
        <w:t xml:space="preserve"> he could not be required to pretend that he is not an atheist and to adopt religious behaviour to protect</w:t>
      </w:r>
      <w:r>
        <w:rPr>
          <w:rFonts w:ascii="Book Antiqua" w:hAnsi="Book Antiqua" w:cs="Arial"/>
        </w:rPr>
        <w:t xml:space="preserve"> himself. Sh</w:t>
      </w:r>
      <w:r w:rsidR="00CA6BCF">
        <w:rPr>
          <w:rFonts w:ascii="Book Antiqua" w:hAnsi="Book Antiqua" w:cs="Arial"/>
        </w:rPr>
        <w:t>e also found that the real risk of serious harm, if</w:t>
      </w:r>
      <w:r w:rsidR="0026743E">
        <w:rPr>
          <w:rFonts w:ascii="Book Antiqua" w:hAnsi="Book Antiqua" w:cs="Arial"/>
        </w:rPr>
        <w:t xml:space="preserve"> not death, which would face </w:t>
      </w:r>
      <w:proofErr w:type="gramStart"/>
      <w:r w:rsidR="0026743E">
        <w:rPr>
          <w:rFonts w:ascii="Book Antiqua" w:hAnsi="Book Antiqua" w:cs="Arial"/>
        </w:rPr>
        <w:t>him</w:t>
      </w:r>
      <w:r w:rsidR="00CA6BCF">
        <w:rPr>
          <w:rFonts w:ascii="Book Antiqua" w:hAnsi="Book Antiqua" w:cs="Arial"/>
        </w:rPr>
        <w:t xml:space="preserve"> </w:t>
      </w:r>
      <w:r>
        <w:rPr>
          <w:rFonts w:ascii="Book Antiqua" w:hAnsi="Book Antiqua" w:cs="Arial"/>
        </w:rPr>
        <w:t xml:space="preserve"> if</w:t>
      </w:r>
      <w:proofErr w:type="gramEnd"/>
      <w:r>
        <w:rPr>
          <w:rFonts w:ascii="Book Antiqua" w:hAnsi="Book Antiqua" w:cs="Arial"/>
        </w:rPr>
        <w:t xml:space="preserve"> he were to return to Iraq</w:t>
      </w:r>
      <w:r w:rsidR="00CA6BCF">
        <w:rPr>
          <w:rFonts w:ascii="Book Antiqua" w:hAnsi="Book Antiqua" w:cs="Arial"/>
        </w:rPr>
        <w:t xml:space="preserve"> was a very compelling reason going beyond the exceptions set out in section 117 of the Nationality, Immigration and Asylum Act 200</w:t>
      </w:r>
      <w:r w:rsidR="0026743E">
        <w:rPr>
          <w:rFonts w:ascii="Book Antiqua" w:hAnsi="Book Antiqua" w:cs="Arial"/>
        </w:rPr>
        <w:t>0</w:t>
      </w:r>
      <w:r w:rsidR="00CA6BCF">
        <w:rPr>
          <w:rFonts w:ascii="Book Antiqua" w:hAnsi="Book Antiqua" w:cs="Arial"/>
        </w:rPr>
        <w:t xml:space="preserve"> and beyond the considerations set out in paragraphs 399 and </w:t>
      </w:r>
      <w:r>
        <w:rPr>
          <w:rFonts w:ascii="Book Antiqua" w:hAnsi="Book Antiqua" w:cs="Arial"/>
        </w:rPr>
        <w:t>399A of the immigration rules. Sh</w:t>
      </w:r>
      <w:r w:rsidR="00CA6BCF">
        <w:rPr>
          <w:rFonts w:ascii="Book Antiqua" w:hAnsi="Book Antiqua" w:cs="Arial"/>
        </w:rPr>
        <w:t xml:space="preserve">e found that exception 1 of section 33 of the UK Borders Act 2007 applied and that the claim under Articles 3 and 8 outside the immigration rules and for humanitarian protection succeeded. </w:t>
      </w:r>
      <w:r w:rsidR="004E6FD8">
        <w:rPr>
          <w:rFonts w:ascii="Book Antiqua" w:hAnsi="Book Antiqua" w:cs="Arial"/>
        </w:rPr>
        <w:t xml:space="preserve"> </w:t>
      </w:r>
    </w:p>
    <w:p w:rsidR="0026743E" w:rsidRDefault="00CA6BCF"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In presenting the appeal Mr Duffy for the Secretary of State conceded that the expert evidence </w:t>
      </w:r>
      <w:r w:rsidR="0026743E">
        <w:rPr>
          <w:rFonts w:ascii="Book Antiqua" w:hAnsi="Book Antiqua" w:cs="Arial"/>
        </w:rPr>
        <w:t xml:space="preserve">provided to the FTTJ </w:t>
      </w:r>
      <w:r>
        <w:rPr>
          <w:rFonts w:ascii="Book Antiqua" w:hAnsi="Book Antiqua" w:cs="Arial"/>
        </w:rPr>
        <w:t>did not add anything to the refusal letter</w:t>
      </w:r>
      <w:r w:rsidR="001E2535">
        <w:rPr>
          <w:rFonts w:ascii="Book Antiqua" w:hAnsi="Book Antiqua" w:cs="Arial"/>
        </w:rPr>
        <w:t>, in which it had been conceded that an outspoken atheist would be at risk on return to Iraq</w:t>
      </w:r>
      <w:r>
        <w:rPr>
          <w:rFonts w:ascii="Book Antiqua" w:hAnsi="Book Antiqua" w:cs="Arial"/>
        </w:rPr>
        <w:t xml:space="preserve">. He submitted that the </w:t>
      </w:r>
      <w:r w:rsidR="0026743E">
        <w:rPr>
          <w:rFonts w:ascii="Book Antiqua" w:hAnsi="Book Antiqua" w:cs="Arial"/>
        </w:rPr>
        <w:t>FTTJ</w:t>
      </w:r>
      <w:r>
        <w:rPr>
          <w:rFonts w:ascii="Book Antiqua" w:hAnsi="Book Antiqua" w:cs="Arial"/>
        </w:rPr>
        <w:t xml:space="preserve"> had not made adequate findings about how the claimant would behave on his return to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w:t>
      </w:r>
      <w:r w:rsidR="0074416C">
        <w:rPr>
          <w:rFonts w:ascii="Book Antiqua" w:hAnsi="Book Antiqua" w:cs="Arial"/>
        </w:rPr>
        <w:t xml:space="preserve">The claimant had expressed his atheist views in the past in the </w:t>
      </w:r>
      <w:smartTag w:uri="urn:schemas-microsoft-com:office:smarttags" w:element="country-region">
        <w:r w:rsidR="0074416C">
          <w:rPr>
            <w:rFonts w:ascii="Book Antiqua" w:hAnsi="Book Antiqua" w:cs="Arial"/>
          </w:rPr>
          <w:t>UK</w:t>
        </w:r>
      </w:smartTag>
      <w:r w:rsidR="0074416C">
        <w:rPr>
          <w:rFonts w:ascii="Book Antiqua" w:hAnsi="Book Antiqua" w:cs="Arial"/>
        </w:rPr>
        <w:t xml:space="preserve">, but would he challenge people’s religious views if returned to </w:t>
      </w:r>
      <w:smartTag w:uri="urn:schemas-microsoft-com:office:smarttags" w:element="country-region">
        <w:smartTag w:uri="urn:schemas-microsoft-com:office:smarttags" w:element="place">
          <w:r w:rsidR="0074416C">
            <w:rPr>
              <w:rFonts w:ascii="Book Antiqua" w:hAnsi="Book Antiqua" w:cs="Arial"/>
            </w:rPr>
            <w:t>Iraq</w:t>
          </w:r>
        </w:smartTag>
      </w:smartTag>
      <w:r w:rsidR="0074416C">
        <w:rPr>
          <w:rFonts w:ascii="Book Antiqua" w:hAnsi="Book Antiqua" w:cs="Arial"/>
        </w:rPr>
        <w:t xml:space="preserve">? </w:t>
      </w:r>
      <w:r w:rsidR="0079208F">
        <w:rPr>
          <w:rFonts w:ascii="Book Antiqua" w:hAnsi="Book Antiqua" w:cs="Arial"/>
        </w:rPr>
        <w:t xml:space="preserve"> It was submitted that the </w:t>
      </w:r>
      <w:r w:rsidR="0026743E">
        <w:rPr>
          <w:rFonts w:ascii="Book Antiqua" w:hAnsi="Book Antiqua" w:cs="Arial"/>
        </w:rPr>
        <w:t>FTTJ</w:t>
      </w:r>
      <w:r w:rsidR="0079208F">
        <w:rPr>
          <w:rFonts w:ascii="Book Antiqua" w:hAnsi="Book Antiqua" w:cs="Arial"/>
        </w:rPr>
        <w:t xml:space="preserve"> had failed to give clear reasons as to why the objective background evidence relied on by the claimant demonstrated that he would be at real risk </w:t>
      </w:r>
      <w:proofErr w:type="gramStart"/>
      <w:r w:rsidR="0079208F">
        <w:rPr>
          <w:rFonts w:ascii="Book Antiqua" w:hAnsi="Book Antiqua" w:cs="Arial"/>
        </w:rPr>
        <w:t>on the basis of</w:t>
      </w:r>
      <w:proofErr w:type="gramEnd"/>
      <w:r w:rsidR="0079208F">
        <w:rPr>
          <w:rFonts w:ascii="Book Antiqua" w:hAnsi="Book Antiqua" w:cs="Arial"/>
        </w:rPr>
        <w:t xml:space="preserve"> being an atheist. </w:t>
      </w:r>
    </w:p>
    <w:p w:rsidR="00CA6BCF" w:rsidRDefault="0026743E"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w:t>
      </w:r>
      <w:r w:rsidR="0079208F">
        <w:rPr>
          <w:rFonts w:ascii="Book Antiqua" w:hAnsi="Book Antiqua" w:cs="Arial"/>
        </w:rPr>
        <w:t xml:space="preserve">n response Mr </w:t>
      </w:r>
      <w:proofErr w:type="spellStart"/>
      <w:r w:rsidR="0079208F">
        <w:rPr>
          <w:rFonts w:ascii="Book Antiqua" w:hAnsi="Book Antiqua" w:cs="Arial"/>
        </w:rPr>
        <w:t>Hawkin</w:t>
      </w:r>
      <w:proofErr w:type="spellEnd"/>
      <w:r w:rsidR="0079208F">
        <w:rPr>
          <w:rFonts w:ascii="Book Antiqua" w:hAnsi="Book Antiqua" w:cs="Arial"/>
        </w:rPr>
        <w:t xml:space="preserve"> for the claimant submitted that the decision of </w:t>
      </w:r>
      <w:r>
        <w:rPr>
          <w:rFonts w:ascii="Book Antiqua" w:hAnsi="Book Antiqua" w:cs="Arial"/>
        </w:rPr>
        <w:t>FTTJ</w:t>
      </w:r>
      <w:r w:rsidR="0079208F">
        <w:rPr>
          <w:rFonts w:ascii="Book Antiqua" w:hAnsi="Book Antiqua" w:cs="Arial"/>
        </w:rPr>
        <w:t xml:space="preserve"> Bartlett was a thoughtful, careful and balanced one and that her findings and conclusions were clearly open to her. </w:t>
      </w:r>
      <w:r>
        <w:rPr>
          <w:rFonts w:ascii="Book Antiqua" w:hAnsi="Book Antiqua" w:cs="Arial"/>
        </w:rPr>
        <w:t>The U</w:t>
      </w:r>
      <w:r w:rsidR="00752C2D">
        <w:rPr>
          <w:rFonts w:ascii="Book Antiqua" w:hAnsi="Book Antiqua" w:cs="Arial"/>
        </w:rPr>
        <w:t xml:space="preserve">pper Tribunal should be extremely slow to interfere with the decision of the FTT, and should not do so merely because another view might have been taken by another judge or by itself. The Secretary of State’s grounds of appeal disclosed no material errors of law in the decision of the FTTJ and amounted to no more than a disagreement with her findings and conclusions </w:t>
      </w:r>
      <w:proofErr w:type="gramStart"/>
      <w:r w:rsidR="00752C2D">
        <w:rPr>
          <w:rFonts w:ascii="Book Antiqua" w:hAnsi="Book Antiqua" w:cs="Arial"/>
        </w:rPr>
        <w:t>in an attempt to</w:t>
      </w:r>
      <w:proofErr w:type="gramEnd"/>
      <w:r w:rsidR="00752C2D">
        <w:rPr>
          <w:rFonts w:ascii="Book Antiqua" w:hAnsi="Book Antiqua" w:cs="Arial"/>
        </w:rPr>
        <w:t xml:space="preserve"> reargue the issues already decided by her. She had dealt entirely properly at paragraph 41 with the issue of the claimant’s atheism and the resulting risk to him on return to </w:t>
      </w:r>
      <w:smartTag w:uri="urn:schemas-microsoft-com:office:smarttags" w:element="country-region">
        <w:smartTag w:uri="urn:schemas-microsoft-com:office:smarttags" w:element="place">
          <w:r w:rsidR="00752C2D">
            <w:rPr>
              <w:rFonts w:ascii="Book Antiqua" w:hAnsi="Book Antiqua" w:cs="Arial"/>
            </w:rPr>
            <w:t>Iraq</w:t>
          </w:r>
        </w:smartTag>
      </w:smartTag>
      <w:r w:rsidR="00752C2D">
        <w:rPr>
          <w:rFonts w:ascii="Book Antiqua" w:hAnsi="Book Antiqua" w:cs="Arial"/>
        </w:rPr>
        <w:t xml:space="preserve">. She had clearly dealt with the submissions made by the presenting officer about the expert evidence, as recorded at paragraph 20(v)-(vi) of her decision. She had given very clear </w:t>
      </w:r>
      <w:r w:rsidR="00912E80">
        <w:rPr>
          <w:rFonts w:ascii="Book Antiqua" w:hAnsi="Book Antiqua" w:cs="Arial"/>
        </w:rPr>
        <w:t>r</w:t>
      </w:r>
      <w:r w:rsidR="00752C2D">
        <w:rPr>
          <w:rFonts w:ascii="Book Antiqua" w:hAnsi="Book Antiqua" w:cs="Arial"/>
        </w:rPr>
        <w:t>easons at paragraph 44(</w:t>
      </w:r>
      <w:proofErr w:type="spellStart"/>
      <w:r w:rsidR="00752C2D">
        <w:rPr>
          <w:rFonts w:ascii="Book Antiqua" w:hAnsi="Book Antiqua" w:cs="Arial"/>
        </w:rPr>
        <w:t>i</w:t>
      </w:r>
      <w:proofErr w:type="spellEnd"/>
      <w:r w:rsidR="00752C2D">
        <w:rPr>
          <w:rFonts w:ascii="Book Antiqua" w:hAnsi="Book Antiqua" w:cs="Arial"/>
        </w:rPr>
        <w:t>)-(x)of her decision, covering a whole array of evidence, not just that of the experts, why the claimant would be at risk on return to Iraq as an atheist. As she noted at paragraph 44(iv), the Secretary of State’s own decision letter</w:t>
      </w:r>
      <w:r w:rsidR="00912E80">
        <w:rPr>
          <w:rFonts w:ascii="Book Antiqua" w:hAnsi="Book Antiqua" w:cs="Arial"/>
        </w:rPr>
        <w:t xml:space="preserve"> accepted that outspoken atheists might face problems with the Iraqi authorities. She had summarised at paragraphs 8-11 of her decision the claimant’s own evidence regarding his atheist beliefs, including why he changed his name in 1992. </w:t>
      </w:r>
      <w:proofErr w:type="gramStart"/>
      <w:r w:rsidR="00AA6425">
        <w:rPr>
          <w:rFonts w:ascii="Book Antiqua" w:hAnsi="Book Antiqua" w:cs="Arial"/>
        </w:rPr>
        <w:t>In light of</w:t>
      </w:r>
      <w:proofErr w:type="gramEnd"/>
      <w:r w:rsidR="00AA6425">
        <w:rPr>
          <w:rFonts w:ascii="Book Antiqua" w:hAnsi="Book Antiqua" w:cs="Arial"/>
        </w:rPr>
        <w:t xml:space="preserve"> that evidence she was fully entitled to find at paragraph 44(iv) that the appellant was “an outspoken atheist” with a “belligerent and uncompromising attitude” and at paragraph 44(x) that he would be treated as an apostate in </w:t>
      </w:r>
      <w:smartTag w:uri="urn:schemas-microsoft-com:office:smarttags" w:element="country-region">
        <w:smartTag w:uri="urn:schemas-microsoft-com:office:smarttags" w:element="place">
          <w:r w:rsidR="00AA6425">
            <w:rPr>
              <w:rFonts w:ascii="Book Antiqua" w:hAnsi="Book Antiqua" w:cs="Arial"/>
            </w:rPr>
            <w:t>Iraq</w:t>
          </w:r>
        </w:smartTag>
      </w:smartTag>
      <w:r w:rsidR="00AA6425">
        <w:rPr>
          <w:rFonts w:ascii="Book Antiqua" w:hAnsi="Book Antiqua" w:cs="Arial"/>
        </w:rPr>
        <w:t>, putting him at real risk of persecution. She was also entitled to find at p</w:t>
      </w:r>
      <w:r w:rsidR="0013694C">
        <w:rPr>
          <w:rFonts w:ascii="Book Antiqua" w:hAnsi="Book Antiqua" w:cs="Arial"/>
        </w:rPr>
        <w:t>aragraph 45 that he would not sup</w:t>
      </w:r>
      <w:r w:rsidR="00AA6425">
        <w:rPr>
          <w:rFonts w:ascii="Book Antiqua" w:hAnsi="Book Antiqua" w:cs="Arial"/>
        </w:rPr>
        <w:t xml:space="preserve">press his atheist beliefs and that he would want to express them. She had clearly </w:t>
      </w:r>
      <w:proofErr w:type="gramStart"/>
      <w:r w:rsidR="00AA6425">
        <w:rPr>
          <w:rFonts w:ascii="Book Antiqua" w:hAnsi="Book Antiqua" w:cs="Arial"/>
        </w:rPr>
        <w:t>given proper consideration to</w:t>
      </w:r>
      <w:proofErr w:type="gramEnd"/>
      <w:r w:rsidR="00AA6425">
        <w:rPr>
          <w:rFonts w:ascii="Book Antiqua" w:hAnsi="Book Antiqua" w:cs="Arial"/>
        </w:rPr>
        <w:t xml:space="preserve"> the public interest when considering Article 8. She explicitly stated at paragraph 53 that she had to give considerable weight to the public interest in the claimant’s deportation as provided for in the legislation. </w:t>
      </w:r>
    </w:p>
    <w:p w:rsidR="00AA6425" w:rsidRPr="001C5703" w:rsidRDefault="00AA6425" w:rsidP="00F83CC4">
      <w:pPr>
        <w:numPr>
          <w:ilvl w:val="0"/>
          <w:numId w:val="1"/>
        </w:numPr>
        <w:tabs>
          <w:tab w:val="clear" w:pos="720"/>
        </w:tabs>
        <w:spacing w:before="240"/>
        <w:ind w:left="567" w:hanging="567"/>
        <w:jc w:val="both"/>
        <w:rPr>
          <w:rFonts w:ascii="Book Antiqua" w:hAnsi="Book Antiqua" w:cs="Arial"/>
        </w:rPr>
      </w:pPr>
      <w:bookmarkStart w:id="0" w:name="_GoBack"/>
      <w:bookmarkEnd w:id="0"/>
      <w:r>
        <w:rPr>
          <w:rFonts w:ascii="Book Antiqua" w:hAnsi="Book Antiqua" w:cs="Arial"/>
        </w:rPr>
        <w:t xml:space="preserve">Having considered the submissions made we have reached the conclusion that there is no substance in this appeal by the Secretary of State. We do not detect any error of law in the FTTJ’s consideration of the evidence or in her reasoning. </w:t>
      </w:r>
      <w:r w:rsidR="0013694C">
        <w:rPr>
          <w:rFonts w:ascii="Book Antiqua" w:hAnsi="Book Antiqua" w:cs="Arial"/>
        </w:rPr>
        <w:t>The persuasive</w:t>
      </w:r>
      <w:r>
        <w:rPr>
          <w:rFonts w:ascii="Book Antiqua" w:hAnsi="Book Antiqua" w:cs="Arial"/>
        </w:rPr>
        <w:t xml:space="preserve"> submissions on behalf of the claimant must be sustained. The decision which the FTTJ reached was one which was clearly open to her on the evidence which she accepted. </w:t>
      </w:r>
      <w:r w:rsidR="002505EF">
        <w:rPr>
          <w:rFonts w:ascii="Book Antiqua" w:hAnsi="Book Antiqua" w:cs="Arial"/>
        </w:rPr>
        <w:t xml:space="preserve">We agree with Mr </w:t>
      </w:r>
      <w:proofErr w:type="spellStart"/>
      <w:r w:rsidR="002505EF">
        <w:rPr>
          <w:rFonts w:ascii="Book Antiqua" w:hAnsi="Book Antiqua" w:cs="Arial"/>
        </w:rPr>
        <w:t>Hawkin</w:t>
      </w:r>
      <w:proofErr w:type="spellEnd"/>
      <w:r w:rsidR="002505EF">
        <w:rPr>
          <w:rFonts w:ascii="Book Antiqua" w:hAnsi="Book Antiqua" w:cs="Arial"/>
        </w:rPr>
        <w:t xml:space="preserve"> that her decision was a thoughtful, careful and balanced one. Paragraph 44</w:t>
      </w:r>
      <w:proofErr w:type="gramStart"/>
      <w:r w:rsidR="002505EF">
        <w:rPr>
          <w:rFonts w:ascii="Book Antiqua" w:hAnsi="Book Antiqua" w:cs="Arial"/>
        </w:rPr>
        <w:t>, in particular, sets</w:t>
      </w:r>
      <w:proofErr w:type="gramEnd"/>
      <w:r w:rsidR="002505EF">
        <w:rPr>
          <w:rFonts w:ascii="Book Antiqua" w:hAnsi="Book Antiqua" w:cs="Arial"/>
        </w:rPr>
        <w:t xml:space="preserve"> out cogent reasons for her finding that on his return to </w:t>
      </w:r>
      <w:smartTag w:uri="urn:schemas-microsoft-com:office:smarttags" w:element="country-region">
        <w:smartTag w:uri="urn:schemas-microsoft-com:office:smarttags" w:element="place">
          <w:r w:rsidR="002505EF">
            <w:rPr>
              <w:rFonts w:ascii="Book Antiqua" w:hAnsi="Book Antiqua" w:cs="Arial"/>
            </w:rPr>
            <w:t>Iraq</w:t>
          </w:r>
        </w:smartTag>
      </w:smartTag>
      <w:r w:rsidR="002505EF">
        <w:rPr>
          <w:rFonts w:ascii="Book Antiqua" w:hAnsi="Book Antiqua" w:cs="Arial"/>
        </w:rPr>
        <w:t xml:space="preserve"> the claimant would be at real risk of serious harm amounting to persecution. There is no basis upon which we could disturb that finding. Further, she clearly had proper regard to the public interest in the claimant’s deportation when carrying out the balancing exercise under Article 8. The Secretary of State’s appeal must therefore fail. </w:t>
      </w:r>
    </w:p>
    <w:p w:rsidR="001F2716" w:rsidRPr="001C5703" w:rsidRDefault="001F2716" w:rsidP="00780F86">
      <w:pPr>
        <w:ind w:left="540" w:hanging="540"/>
        <w:jc w:val="both"/>
        <w:rPr>
          <w:rFonts w:ascii="Book Antiqua" w:hAnsi="Book Antiqua" w:cs="Arial"/>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Th</w:t>
      </w:r>
      <w:r w:rsidR="002505EF">
        <w:rPr>
          <w:rFonts w:ascii="Book Antiqua" w:hAnsi="Book Antiqua" w:cs="Arial"/>
        </w:rPr>
        <w:t xml:space="preserve">e appeal is dismissed on humanitarian protection and human rights grounds. </w:t>
      </w:r>
    </w:p>
    <w:p w:rsidR="00D6134E" w:rsidRPr="00D6134E" w:rsidRDefault="00D6134E"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D2514F" w:rsidRDefault="00D2514F">
      <w:pPr>
        <w:ind w:left="540" w:hanging="540"/>
        <w:jc w:val="both"/>
        <w:rPr>
          <w:rFonts w:ascii="Sylfaen" w:hAnsi="Sylfaen" w:cs="Arial"/>
          <w:b/>
        </w:rPr>
      </w:pPr>
      <w:r>
        <w:rPr>
          <w:rFonts w:ascii="Sylfaen" w:hAnsi="Sylfaen" w:cs="Arial"/>
          <w:b/>
        </w:rPr>
        <w:t xml:space="preserve">Appeal </w:t>
      </w:r>
      <w:bookmarkStart w:id="1" w:name="Dropdown3"/>
      <w:r>
        <w:rPr>
          <w:rFonts w:ascii="Sylfaen" w:hAnsi="Sylfaen" w:cs="Arial"/>
          <w:b/>
        </w:rPr>
        <w:fldChar w:fldCharType="begin">
          <w:ffData>
            <w:name w:val="Dropdown3"/>
            <w:enabled/>
            <w:calcOnExit w:val="0"/>
            <w:ddList>
              <w:listEntry w:val="dismissed"/>
              <w:listEntry w:val="allowed"/>
            </w:ddList>
          </w:ffData>
        </w:fldChar>
      </w:r>
      <w:r>
        <w:rPr>
          <w:rFonts w:ascii="Sylfaen" w:hAnsi="Sylfaen" w:cs="Arial"/>
          <w:b/>
        </w:rPr>
        <w:instrText xml:space="preserve"> FORMDROPDOWN </w:instrText>
      </w:r>
      <w:r w:rsidR="000A2DD2">
        <w:rPr>
          <w:rFonts w:ascii="Sylfaen" w:hAnsi="Sylfaen" w:cs="Arial"/>
          <w:b/>
        </w:rPr>
      </w:r>
      <w:r w:rsidR="000A2DD2">
        <w:rPr>
          <w:rFonts w:ascii="Sylfaen" w:hAnsi="Sylfaen" w:cs="Arial"/>
          <w:b/>
        </w:rPr>
        <w:fldChar w:fldCharType="separate"/>
      </w:r>
      <w:r>
        <w:rPr>
          <w:rFonts w:ascii="Sylfaen" w:hAnsi="Sylfaen" w:cs="Arial"/>
          <w:b/>
        </w:rPr>
        <w:fldChar w:fldCharType="end"/>
      </w:r>
      <w:bookmarkEnd w:id="1"/>
    </w:p>
    <w:p w:rsidR="000A4532" w:rsidRPr="008F23F4" w:rsidRDefault="000A4532">
      <w:pPr>
        <w:ind w:left="540" w:hanging="540"/>
        <w:jc w:val="both"/>
        <w:rPr>
          <w:rFonts w:ascii="Sylfaen" w:hAnsi="Sylfaen" w:cs="Arial"/>
          <w:b/>
        </w:rPr>
      </w:pPr>
      <w:r>
        <w:rPr>
          <w:rFonts w:ascii="Sylfaen" w:hAnsi="Sylfaen" w:cs="Arial"/>
          <w:b/>
        </w:rPr>
        <w:t xml:space="preserve">(Written by Lord </w:t>
      </w:r>
      <w:proofErr w:type="spellStart"/>
      <w:r>
        <w:rPr>
          <w:rFonts w:ascii="Sylfaen" w:hAnsi="Sylfaen" w:cs="Arial"/>
          <w:b/>
        </w:rPr>
        <w:t>Uist</w:t>
      </w:r>
      <w:proofErr w:type="spellEnd"/>
      <w:r>
        <w:rPr>
          <w:rFonts w:ascii="Sylfaen" w:hAnsi="Sylfaen" w:cs="Arial"/>
          <w:b/>
        </w:rPr>
        <w:t>, and signed by me in his absence)</w:t>
      </w:r>
    </w:p>
    <w:p w:rsidR="00D05936" w:rsidRDefault="00275CFC">
      <w:pPr>
        <w:ind w:left="4508" w:hanging="539"/>
        <w:rPr>
          <w:rFonts w:ascii="Sylfaen" w:hAnsi="Sylfaen" w:cs="Arial"/>
        </w:rPr>
      </w:pPr>
      <w:r w:rsidRPr="00A544A8">
        <w:rPr>
          <w:rFonts w:ascii="Sylfaen" w:hAnsi="Sylfaen" w:cs="Arial"/>
          <w:b/>
          <w:noProof/>
        </w:rPr>
        <w:drawing>
          <wp:inline distT="0" distB="0" distL="0" distR="0">
            <wp:extent cx="2139950" cy="104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D2514F" w:rsidRPr="00A544A8">
        <w:rPr>
          <w:rFonts w:ascii="Sylfaen" w:hAnsi="Sylfaen" w:cs="Arial"/>
        </w:rPr>
        <w:tab/>
      </w:r>
      <w:r w:rsidR="00D2514F" w:rsidRPr="00A544A8">
        <w:rPr>
          <w:rFonts w:ascii="Sylfaen" w:hAnsi="Sylfaen" w:cs="Arial"/>
        </w:rPr>
        <w:tab/>
      </w:r>
      <w:r w:rsidR="00D2514F" w:rsidRPr="00A544A8">
        <w:rPr>
          <w:rFonts w:ascii="Sylfaen" w:hAnsi="Sylfaen" w:cs="Arial"/>
        </w:rPr>
        <w:tab/>
      </w:r>
    </w:p>
    <w:p w:rsidR="00D05936" w:rsidRDefault="00D05936">
      <w:pPr>
        <w:ind w:left="4508" w:hanging="539"/>
        <w:rPr>
          <w:rFonts w:ascii="Sylfaen" w:hAnsi="Sylfaen" w:cs="Arial"/>
        </w:rPr>
      </w:pPr>
    </w:p>
    <w:p w:rsidR="00D05936" w:rsidRDefault="00D05936">
      <w:pPr>
        <w:ind w:left="4508" w:hanging="539"/>
        <w:rPr>
          <w:rFonts w:ascii="Sylfaen" w:hAnsi="Sylfaen" w:cs="Arial"/>
        </w:rPr>
      </w:pPr>
    </w:p>
    <w:p w:rsidR="00D05936" w:rsidRDefault="00D05936">
      <w:pPr>
        <w:ind w:left="4508" w:hanging="539"/>
        <w:rPr>
          <w:rFonts w:ascii="Sylfaen" w:hAnsi="Sylfaen" w:cs="Arial"/>
        </w:rPr>
      </w:pPr>
    </w:p>
    <w:p w:rsidR="00D05936" w:rsidRDefault="00D05936">
      <w:pPr>
        <w:ind w:left="4508" w:hanging="539"/>
        <w:rPr>
          <w:rFonts w:ascii="Sylfaen" w:hAnsi="Sylfaen" w:cs="Arial"/>
        </w:rPr>
      </w:pPr>
    </w:p>
    <w:p w:rsidR="00D05936" w:rsidRDefault="00D2514F">
      <w:pPr>
        <w:ind w:left="4508" w:hanging="539"/>
        <w:rPr>
          <w:rFonts w:ascii="Book Antiqua" w:hAnsi="Book Antiqua" w:cs="Arial"/>
        </w:rPr>
      </w:pPr>
      <w:r>
        <w:rPr>
          <w:rFonts w:ascii="Sylfaen" w:hAnsi="Sylfaen" w:cs="Arial"/>
          <w:color w:val="000000"/>
        </w:rPr>
        <w:t xml:space="preserve">(a </w:t>
      </w:r>
      <w:r w:rsidRPr="00A544A8">
        <w:rPr>
          <w:rFonts w:ascii="Sylfaen" w:hAnsi="Sylfaen" w:cs="Arial"/>
          <w:color w:val="000000"/>
        </w:rPr>
        <w:t xml:space="preserve">judge </w:t>
      </w:r>
      <w:r>
        <w:rPr>
          <w:rFonts w:ascii="Sylfaen" w:hAnsi="Sylfaen" w:cs="Arial"/>
          <w:color w:val="000000"/>
        </w:rPr>
        <w:t>of the Upper Tribunal)</w:t>
      </w:r>
    </w:p>
    <w:p w:rsidR="00D05936" w:rsidRDefault="00D05936">
      <w:pPr>
        <w:ind w:left="4508" w:hanging="539"/>
        <w:rPr>
          <w:rFonts w:ascii="Sylfaen" w:hAnsi="Sylfaen" w:cs="Arial"/>
          <w:color w:val="000000"/>
        </w:rPr>
      </w:pPr>
      <w:r w:rsidRPr="00D05936">
        <w:rPr>
          <w:rFonts w:ascii="Sylfaen" w:hAnsi="Sylfaen" w:cs="Arial"/>
          <w:color w:val="000000"/>
        </w:rPr>
        <w:t>Dated 05 June 2018</w:t>
      </w:r>
    </w:p>
    <w:p w:rsidR="00B95326" w:rsidRPr="001C5703" w:rsidRDefault="00B95326" w:rsidP="00D05936">
      <w:pPr>
        <w:rPr>
          <w:rFonts w:ascii="Book Antiqua" w:hAnsi="Book Antiqua" w:cs="Arial"/>
        </w:rPr>
      </w:pPr>
    </w:p>
    <w:sectPr w:rsidR="00B95326" w:rsidRPr="001C5703" w:rsidSect="00FC6028">
      <w:headerReference w:type="default" r:id="rId10"/>
      <w:footerReference w:type="default" r:id="rId11"/>
      <w:headerReference w:type="first" r:id="rId12"/>
      <w:footerReference w:type="first" r:id="rId13"/>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332" w:rsidRDefault="00175332">
      <w:r>
        <w:separator/>
      </w:r>
    </w:p>
  </w:endnote>
  <w:endnote w:type="continuationSeparator" w:id="0">
    <w:p w:rsidR="00175332" w:rsidRDefault="0017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B9" w:rsidRPr="00FC6028" w:rsidRDefault="006410B9" w:rsidP="00593795">
    <w:pPr>
      <w:pStyle w:val="Footer"/>
      <w:jc w:val="center"/>
      <w:rPr>
        <w:rFonts w:ascii="Book Antiqua" w:hAnsi="Book Antiqua" w:cs="Arial"/>
      </w:rPr>
    </w:pPr>
    <w:r w:rsidRPr="00FC6028">
      <w:rPr>
        <w:rStyle w:val="PageNumber"/>
        <w:rFonts w:ascii="Book Antiqua" w:hAnsi="Book Antiqua" w:cs="Arial"/>
      </w:rPr>
      <w:fldChar w:fldCharType="begin"/>
    </w:r>
    <w:r w:rsidRPr="00FC6028">
      <w:rPr>
        <w:rStyle w:val="PageNumber"/>
        <w:rFonts w:ascii="Book Antiqua" w:hAnsi="Book Antiqua" w:cs="Arial"/>
      </w:rPr>
      <w:instrText xml:space="preserve"> PAGE </w:instrText>
    </w:r>
    <w:r w:rsidRPr="00FC6028">
      <w:rPr>
        <w:rStyle w:val="PageNumber"/>
        <w:rFonts w:ascii="Book Antiqua" w:hAnsi="Book Antiqua" w:cs="Arial"/>
      </w:rPr>
      <w:fldChar w:fldCharType="separate"/>
    </w:r>
    <w:r w:rsidR="000A2DD2">
      <w:rPr>
        <w:rStyle w:val="PageNumber"/>
        <w:rFonts w:ascii="Book Antiqua" w:hAnsi="Book Antiqua" w:cs="Arial"/>
        <w:noProof/>
      </w:rPr>
      <w:t>4</w:t>
    </w:r>
    <w:r w:rsidRPr="00FC602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B9" w:rsidRPr="001C5703" w:rsidRDefault="006410B9"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D2514F">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332" w:rsidRDefault="00175332">
      <w:r>
        <w:separator/>
      </w:r>
    </w:p>
  </w:footnote>
  <w:footnote w:type="continuationSeparator" w:id="0">
    <w:p w:rsidR="00175332" w:rsidRDefault="00175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B9" w:rsidRDefault="00D05936" w:rsidP="00593795">
    <w:pPr>
      <w:pStyle w:val="Header"/>
      <w:jc w:val="right"/>
      <w:rPr>
        <w:rFonts w:ascii="Book Antiqua" w:hAnsi="Book Antiqua" w:cs="Arial"/>
        <w:sz w:val="16"/>
        <w:szCs w:val="16"/>
      </w:rPr>
    </w:pPr>
    <w:r w:rsidRPr="00D05936">
      <w:rPr>
        <w:rFonts w:ascii="Book Antiqua" w:hAnsi="Book Antiqua" w:cs="Arial"/>
        <w:sz w:val="16"/>
        <w:szCs w:val="16"/>
      </w:rPr>
      <w:t>Appeal Number: PA/04999/2017</w:t>
    </w:r>
  </w:p>
  <w:p w:rsidR="00FC6028" w:rsidRPr="001C5703" w:rsidRDefault="00FC602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B9" w:rsidRPr="001C5703" w:rsidRDefault="006410B9">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A"/>
    <w:rsid w:val="00000621"/>
    <w:rsid w:val="000036C2"/>
    <w:rsid w:val="00030015"/>
    <w:rsid w:val="00033D3D"/>
    <w:rsid w:val="00037F2A"/>
    <w:rsid w:val="00062F02"/>
    <w:rsid w:val="00071A7E"/>
    <w:rsid w:val="000746C0"/>
    <w:rsid w:val="00074D1D"/>
    <w:rsid w:val="000848EC"/>
    <w:rsid w:val="00092580"/>
    <w:rsid w:val="00093D4D"/>
    <w:rsid w:val="000A2DD2"/>
    <w:rsid w:val="000A4532"/>
    <w:rsid w:val="000D1A17"/>
    <w:rsid w:val="000D5D94"/>
    <w:rsid w:val="000F1A0E"/>
    <w:rsid w:val="000F2591"/>
    <w:rsid w:val="000F30BD"/>
    <w:rsid w:val="0010335F"/>
    <w:rsid w:val="001165A7"/>
    <w:rsid w:val="0013694C"/>
    <w:rsid w:val="00167D3A"/>
    <w:rsid w:val="00174A01"/>
    <w:rsid w:val="00175332"/>
    <w:rsid w:val="001A3082"/>
    <w:rsid w:val="001B186A"/>
    <w:rsid w:val="001B2F75"/>
    <w:rsid w:val="001C5703"/>
    <w:rsid w:val="001D0FEC"/>
    <w:rsid w:val="001E2535"/>
    <w:rsid w:val="001E61AD"/>
    <w:rsid w:val="001F2716"/>
    <w:rsid w:val="002009E6"/>
    <w:rsid w:val="00207617"/>
    <w:rsid w:val="0023134B"/>
    <w:rsid w:val="00245D80"/>
    <w:rsid w:val="002505EF"/>
    <w:rsid w:val="0026743E"/>
    <w:rsid w:val="00275CFC"/>
    <w:rsid w:val="00283659"/>
    <w:rsid w:val="00284A9E"/>
    <w:rsid w:val="002C6BD4"/>
    <w:rsid w:val="002C78CE"/>
    <w:rsid w:val="002D1957"/>
    <w:rsid w:val="002D68BF"/>
    <w:rsid w:val="002E1FC1"/>
    <w:rsid w:val="002F6B98"/>
    <w:rsid w:val="003205C2"/>
    <w:rsid w:val="00332421"/>
    <w:rsid w:val="00336CBF"/>
    <w:rsid w:val="00343FE3"/>
    <w:rsid w:val="003543A1"/>
    <w:rsid w:val="003546C8"/>
    <w:rsid w:val="00354C90"/>
    <w:rsid w:val="003A7CF2"/>
    <w:rsid w:val="003C5CE5"/>
    <w:rsid w:val="003E267B"/>
    <w:rsid w:val="003E7CD1"/>
    <w:rsid w:val="00402B9E"/>
    <w:rsid w:val="004249CB"/>
    <w:rsid w:val="00435A77"/>
    <w:rsid w:val="0044127D"/>
    <w:rsid w:val="004448DB"/>
    <w:rsid w:val="00446C9A"/>
    <w:rsid w:val="00452F2B"/>
    <w:rsid w:val="00477193"/>
    <w:rsid w:val="004A1848"/>
    <w:rsid w:val="004A6F4A"/>
    <w:rsid w:val="004E4717"/>
    <w:rsid w:val="004E5D2D"/>
    <w:rsid w:val="004E6FD8"/>
    <w:rsid w:val="004F15C6"/>
    <w:rsid w:val="00507FEC"/>
    <w:rsid w:val="00510F0E"/>
    <w:rsid w:val="00520345"/>
    <w:rsid w:val="0052070D"/>
    <w:rsid w:val="005479E1"/>
    <w:rsid w:val="00553E0A"/>
    <w:rsid w:val="005570FD"/>
    <w:rsid w:val="005575EA"/>
    <w:rsid w:val="00573247"/>
    <w:rsid w:val="0057790C"/>
    <w:rsid w:val="00593795"/>
    <w:rsid w:val="005A75FF"/>
    <w:rsid w:val="005B1C60"/>
    <w:rsid w:val="005D10AB"/>
    <w:rsid w:val="00601D8F"/>
    <w:rsid w:val="00606132"/>
    <w:rsid w:val="006410B9"/>
    <w:rsid w:val="00645C06"/>
    <w:rsid w:val="00653E97"/>
    <w:rsid w:val="00684A74"/>
    <w:rsid w:val="00690B8A"/>
    <w:rsid w:val="006D7950"/>
    <w:rsid w:val="006F2CF1"/>
    <w:rsid w:val="006F67B5"/>
    <w:rsid w:val="007038ED"/>
    <w:rsid w:val="00703BC3"/>
    <w:rsid w:val="00704B61"/>
    <w:rsid w:val="00725D05"/>
    <w:rsid w:val="0074416C"/>
    <w:rsid w:val="00752C2D"/>
    <w:rsid w:val="007552A9"/>
    <w:rsid w:val="00761858"/>
    <w:rsid w:val="00767D59"/>
    <w:rsid w:val="00776E97"/>
    <w:rsid w:val="00780F86"/>
    <w:rsid w:val="007912AD"/>
    <w:rsid w:val="0079208F"/>
    <w:rsid w:val="007B0824"/>
    <w:rsid w:val="007B5D3C"/>
    <w:rsid w:val="00821B72"/>
    <w:rsid w:val="00823EF2"/>
    <w:rsid w:val="00825DDF"/>
    <w:rsid w:val="008303B8"/>
    <w:rsid w:val="00833DCE"/>
    <w:rsid w:val="00841409"/>
    <w:rsid w:val="00871D34"/>
    <w:rsid w:val="008B270C"/>
    <w:rsid w:val="008B5078"/>
    <w:rsid w:val="008C3D3D"/>
    <w:rsid w:val="008D0C7E"/>
    <w:rsid w:val="008D4131"/>
    <w:rsid w:val="008F1932"/>
    <w:rsid w:val="00904924"/>
    <w:rsid w:val="00912E80"/>
    <w:rsid w:val="00914D32"/>
    <w:rsid w:val="00921062"/>
    <w:rsid w:val="009405A9"/>
    <w:rsid w:val="009722BC"/>
    <w:rsid w:val="009727A3"/>
    <w:rsid w:val="00987774"/>
    <w:rsid w:val="00995E00"/>
    <w:rsid w:val="009A0C11"/>
    <w:rsid w:val="009A11E8"/>
    <w:rsid w:val="009B6AA6"/>
    <w:rsid w:val="009C0155"/>
    <w:rsid w:val="009F5220"/>
    <w:rsid w:val="009F6DFD"/>
    <w:rsid w:val="00A15234"/>
    <w:rsid w:val="00A201AB"/>
    <w:rsid w:val="00A31C8B"/>
    <w:rsid w:val="00A509FA"/>
    <w:rsid w:val="00A57B3D"/>
    <w:rsid w:val="00A845DC"/>
    <w:rsid w:val="00AA6425"/>
    <w:rsid w:val="00AA7E3A"/>
    <w:rsid w:val="00AB17B1"/>
    <w:rsid w:val="00AE7219"/>
    <w:rsid w:val="00B0578D"/>
    <w:rsid w:val="00B12125"/>
    <w:rsid w:val="00B14834"/>
    <w:rsid w:val="00B26AA2"/>
    <w:rsid w:val="00B3338F"/>
    <w:rsid w:val="00B3524D"/>
    <w:rsid w:val="00B40F69"/>
    <w:rsid w:val="00B46616"/>
    <w:rsid w:val="00B56B2E"/>
    <w:rsid w:val="00B7040A"/>
    <w:rsid w:val="00B83391"/>
    <w:rsid w:val="00B95326"/>
    <w:rsid w:val="00BA3A97"/>
    <w:rsid w:val="00BC279D"/>
    <w:rsid w:val="00BD4196"/>
    <w:rsid w:val="00BE360A"/>
    <w:rsid w:val="00BF22CA"/>
    <w:rsid w:val="00BF23BB"/>
    <w:rsid w:val="00C26032"/>
    <w:rsid w:val="00C345E1"/>
    <w:rsid w:val="00C43BFD"/>
    <w:rsid w:val="00CA6BCF"/>
    <w:rsid w:val="00CB6E35"/>
    <w:rsid w:val="00CE1A46"/>
    <w:rsid w:val="00D05936"/>
    <w:rsid w:val="00D20757"/>
    <w:rsid w:val="00D22636"/>
    <w:rsid w:val="00D2514F"/>
    <w:rsid w:val="00D40FD9"/>
    <w:rsid w:val="00D53769"/>
    <w:rsid w:val="00D6134E"/>
    <w:rsid w:val="00D64505"/>
    <w:rsid w:val="00D85C13"/>
    <w:rsid w:val="00D9111A"/>
    <w:rsid w:val="00D91BE3"/>
    <w:rsid w:val="00D94AFC"/>
    <w:rsid w:val="00DB70AE"/>
    <w:rsid w:val="00DD5071"/>
    <w:rsid w:val="00DD5C39"/>
    <w:rsid w:val="00DE7DB7"/>
    <w:rsid w:val="00DF2C5B"/>
    <w:rsid w:val="00E00A0A"/>
    <w:rsid w:val="00E066DE"/>
    <w:rsid w:val="00E07F57"/>
    <w:rsid w:val="00E27F4A"/>
    <w:rsid w:val="00E30683"/>
    <w:rsid w:val="00E453D8"/>
    <w:rsid w:val="00E50BCE"/>
    <w:rsid w:val="00E574BF"/>
    <w:rsid w:val="00E61292"/>
    <w:rsid w:val="00E61C88"/>
    <w:rsid w:val="00E77C4D"/>
    <w:rsid w:val="00E81D01"/>
    <w:rsid w:val="00E91BE1"/>
    <w:rsid w:val="00E93BF9"/>
    <w:rsid w:val="00EE45D8"/>
    <w:rsid w:val="00F22EDA"/>
    <w:rsid w:val="00F7326C"/>
    <w:rsid w:val="00F83CC4"/>
    <w:rsid w:val="00F9150E"/>
    <w:rsid w:val="00FC6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14:docId w14:val="299529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1CA78-A98B-4C7F-A598-9885992A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1552</Words>
  <Characters>7534</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2018-06-29T16:07:00Z</dcterms:created>
  <dcterms:modified xsi:type="dcterms:W3CDTF">2018-06-29T16:07:00Z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