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445F5" w14:textId="77777777" w:rsidR="00933B65" w:rsidRPr="00AD4520" w:rsidRDefault="00FE0046" w:rsidP="00933B65">
      <w:pPr>
        <w:jc w:val="center"/>
        <w:rPr>
          <w:rFonts w:ascii="Book Antiqua" w:hAnsi="Book Antiqua" w:cs="Arial"/>
          <w:color w:val="000000"/>
          <w:sz w:val="16"/>
          <w:szCs w:val="16"/>
        </w:rPr>
      </w:pPr>
      <w:r w:rsidRPr="00AD4520">
        <w:rPr>
          <w:noProof/>
          <w:sz w:val="16"/>
          <w:szCs w:val="16"/>
        </w:rPr>
        <w:drawing>
          <wp:inline distT="0" distB="0" distL="0" distR="0" wp14:anchorId="60E77BD7" wp14:editId="2B86C72A">
            <wp:extent cx="1495425" cy="1133475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FD36" w14:textId="77777777" w:rsidR="00AD4520" w:rsidRPr="00AD4520" w:rsidRDefault="00AD4520" w:rsidP="00AD4520">
      <w:pPr>
        <w:rPr>
          <w:rFonts w:ascii="Book Antiqua" w:hAnsi="Book Antiqua" w:cs="Arial"/>
          <w:color w:val="000000"/>
          <w:sz w:val="16"/>
          <w:szCs w:val="16"/>
        </w:rPr>
      </w:pPr>
    </w:p>
    <w:p w14:paraId="34DC8393" w14:textId="77777777" w:rsidR="00933B65" w:rsidRPr="00F97703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14:paraId="0AB06164" w14:textId="77777777" w:rsidR="00933B65" w:rsidRPr="00F97703" w:rsidRDefault="00933B65" w:rsidP="008A64A7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Pr="00F97703">
        <w:rPr>
          <w:rFonts w:ascii="Book Antiqua" w:hAnsi="Book Antiqua" w:cs="Arial"/>
          <w:b/>
          <w:color w:val="000000"/>
        </w:rPr>
        <w:tab/>
      </w:r>
      <w:r w:rsidRPr="00F97703">
        <w:rPr>
          <w:rFonts w:ascii="Book Antiqua" w:hAnsi="Book Antiqua" w:cs="Arial"/>
          <w:color w:val="000000"/>
        </w:rPr>
        <w:t xml:space="preserve">Appeal Number: </w:t>
      </w:r>
      <w:bookmarkStart w:id="0" w:name="_GoBack"/>
      <w:r w:rsidR="00947876">
        <w:rPr>
          <w:rFonts w:ascii="Book Antiqua" w:hAnsi="Book Antiqua" w:cs="Arial"/>
          <w:caps/>
          <w:color w:val="000000"/>
        </w:rPr>
        <w:t>PA/05108/2017</w:t>
      </w:r>
      <w:bookmarkEnd w:id="0"/>
    </w:p>
    <w:p w14:paraId="2B94FBA4" w14:textId="77777777" w:rsidR="00933B65" w:rsidRPr="00F97703" w:rsidRDefault="00933B65" w:rsidP="00933B65">
      <w:pPr>
        <w:jc w:val="center"/>
        <w:rPr>
          <w:rFonts w:ascii="Book Antiqua" w:hAnsi="Book Antiqua" w:cs="Arial"/>
          <w:color w:val="000000"/>
        </w:rPr>
      </w:pPr>
    </w:p>
    <w:p w14:paraId="0AC6510A" w14:textId="77777777" w:rsidR="00AD4520" w:rsidRDefault="00AD4520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14:paraId="0D8692E8" w14:textId="751F90E5" w:rsidR="00933B65" w:rsidRDefault="00933B65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57069E19" w14:textId="77777777" w:rsidR="00AD4520" w:rsidRPr="00F97703" w:rsidRDefault="00AD4520" w:rsidP="00933B65">
      <w:pPr>
        <w:jc w:val="center"/>
        <w:rPr>
          <w:rFonts w:ascii="Book Antiqua" w:hAnsi="Book Antiqua" w:cs="Arial"/>
          <w:b/>
          <w:u w:val="single"/>
        </w:rPr>
      </w:pPr>
    </w:p>
    <w:p w14:paraId="7EBE76F7" w14:textId="77777777" w:rsidR="00933B65" w:rsidRPr="00F97703" w:rsidRDefault="00933B65" w:rsidP="00933B65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57"/>
        <w:gridCol w:w="4671"/>
      </w:tblGrid>
      <w:tr w:rsidR="00933B65" w:rsidRPr="002154EF" w14:paraId="5543F702" w14:textId="77777777" w:rsidTr="003F4091">
        <w:tc>
          <w:tcPr>
            <w:tcW w:w="4957" w:type="dxa"/>
            <w:shd w:val="clear" w:color="auto" w:fill="auto"/>
          </w:tcPr>
          <w:p w14:paraId="6BE6D3C5" w14:textId="77777777"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  <w:r w:rsidRPr="002154EF">
              <w:rPr>
                <w:rFonts w:ascii="Book Antiqua" w:hAnsi="Book Antiqua" w:cs="Arial"/>
                <w:b/>
              </w:rPr>
              <w:t xml:space="preserve">Heard at </w:t>
            </w:r>
            <w:r w:rsidR="008B5B9B" w:rsidRPr="002154EF">
              <w:rPr>
                <w:rFonts w:ascii="Book Antiqua" w:hAnsi="Book Antiqua" w:cs="Arial"/>
                <w:b/>
              </w:rPr>
              <w:t xml:space="preserve">Glasgow </w:t>
            </w:r>
          </w:p>
        </w:tc>
        <w:tc>
          <w:tcPr>
            <w:tcW w:w="4671" w:type="dxa"/>
            <w:shd w:val="clear" w:color="auto" w:fill="auto"/>
          </w:tcPr>
          <w:p w14:paraId="11571817" w14:textId="77777777" w:rsidR="00933B65" w:rsidRPr="002154EF" w:rsidRDefault="003F4091" w:rsidP="002154EF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 &amp; Reasons Promulgated</w:t>
            </w:r>
          </w:p>
        </w:tc>
      </w:tr>
      <w:tr w:rsidR="00933B65" w:rsidRPr="002154EF" w14:paraId="2C873CE4" w14:textId="77777777" w:rsidTr="003F4091">
        <w:tc>
          <w:tcPr>
            <w:tcW w:w="4957" w:type="dxa"/>
            <w:shd w:val="clear" w:color="auto" w:fill="auto"/>
          </w:tcPr>
          <w:p w14:paraId="2B67DA99" w14:textId="77777777" w:rsidR="00933B65" w:rsidRPr="002154EF" w:rsidRDefault="006D2D9A" w:rsidP="002154EF">
            <w:pPr>
              <w:jc w:val="both"/>
              <w:rPr>
                <w:rFonts w:ascii="Book Antiqua" w:hAnsi="Book Antiqua" w:cs="Arial"/>
                <w:b/>
              </w:rPr>
            </w:pPr>
            <w:r w:rsidRPr="002154EF">
              <w:rPr>
                <w:rFonts w:ascii="Book Antiqua" w:hAnsi="Book Antiqua" w:cs="Arial"/>
                <w:b/>
              </w:rPr>
              <w:t>o</w:t>
            </w:r>
            <w:r w:rsidR="00933B65" w:rsidRPr="002154EF">
              <w:rPr>
                <w:rFonts w:ascii="Book Antiqua" w:hAnsi="Book Antiqua" w:cs="Arial"/>
                <w:b/>
              </w:rPr>
              <w:t xml:space="preserve">n </w:t>
            </w:r>
            <w:r w:rsidR="00947876">
              <w:rPr>
                <w:rFonts w:ascii="Book Antiqua" w:hAnsi="Book Antiqua" w:cs="Arial"/>
                <w:b/>
              </w:rPr>
              <w:t>5 July 2018</w:t>
            </w:r>
          </w:p>
        </w:tc>
        <w:tc>
          <w:tcPr>
            <w:tcW w:w="4671" w:type="dxa"/>
            <w:shd w:val="clear" w:color="auto" w:fill="auto"/>
          </w:tcPr>
          <w:p w14:paraId="4A39F560" w14:textId="77777777" w:rsidR="00933B65" w:rsidRPr="002154EF" w:rsidRDefault="003F4091" w:rsidP="002154E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9 July 2018</w:t>
            </w:r>
          </w:p>
        </w:tc>
      </w:tr>
      <w:tr w:rsidR="00933B65" w:rsidRPr="002154EF" w14:paraId="2A95F5F2" w14:textId="77777777" w:rsidTr="003F4091">
        <w:tc>
          <w:tcPr>
            <w:tcW w:w="4957" w:type="dxa"/>
            <w:shd w:val="clear" w:color="auto" w:fill="auto"/>
          </w:tcPr>
          <w:p w14:paraId="5B37C893" w14:textId="77777777"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671" w:type="dxa"/>
            <w:shd w:val="clear" w:color="auto" w:fill="auto"/>
          </w:tcPr>
          <w:p w14:paraId="06168FC4" w14:textId="77777777"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7E7482DA" w14:textId="77777777" w:rsidR="00AD4520" w:rsidRDefault="00AD4520" w:rsidP="00933B65">
      <w:pPr>
        <w:jc w:val="center"/>
        <w:rPr>
          <w:rFonts w:ascii="Book Antiqua" w:hAnsi="Book Antiqua" w:cs="Arial"/>
          <w:b/>
        </w:rPr>
      </w:pPr>
    </w:p>
    <w:p w14:paraId="5609110A" w14:textId="33EBF721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14:paraId="34DF9B74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14:paraId="015B7D6C" w14:textId="77777777" w:rsidR="00933B65" w:rsidRPr="00F97703" w:rsidRDefault="00933B65" w:rsidP="00933B6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UPPER TRIBUNAL JUDGE </w:t>
      </w:r>
      <w:r w:rsidR="008B5B9B">
        <w:rPr>
          <w:rFonts w:ascii="Book Antiqua" w:hAnsi="Book Antiqua" w:cs="Arial"/>
          <w:b/>
          <w:color w:val="000000"/>
        </w:rPr>
        <w:t>MACLEMAN</w:t>
      </w:r>
    </w:p>
    <w:p w14:paraId="2DE74844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14:paraId="0E750133" w14:textId="77777777" w:rsidR="00AD4520" w:rsidRDefault="00AD4520" w:rsidP="00933B65">
      <w:pPr>
        <w:jc w:val="center"/>
        <w:rPr>
          <w:rFonts w:ascii="Book Antiqua" w:hAnsi="Book Antiqua" w:cs="Arial"/>
          <w:b/>
        </w:rPr>
      </w:pPr>
    </w:p>
    <w:p w14:paraId="1CCC1CBE" w14:textId="56CCEB8A" w:rsidR="00933B65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14:paraId="5D77614D" w14:textId="77777777" w:rsidR="00933B65" w:rsidRDefault="00933B65" w:rsidP="00933B65">
      <w:pPr>
        <w:jc w:val="center"/>
        <w:rPr>
          <w:rFonts w:ascii="Book Antiqua" w:hAnsi="Book Antiqua" w:cs="Arial"/>
          <w:b/>
        </w:rPr>
      </w:pPr>
    </w:p>
    <w:p w14:paraId="47DCB8FA" w14:textId="1FC72A0F" w:rsidR="00933B65" w:rsidRPr="00F97703" w:rsidRDefault="00BC2BF6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TUAN </w:t>
      </w:r>
      <w:r w:rsidR="00AD4520">
        <w:rPr>
          <w:rFonts w:ascii="Book Antiqua" w:hAnsi="Book Antiqua" w:cs="Arial"/>
          <w:b/>
        </w:rPr>
        <w:t>[</w:t>
      </w:r>
      <w:r>
        <w:rPr>
          <w:rFonts w:ascii="Book Antiqua" w:hAnsi="Book Antiqua" w:cs="Arial"/>
          <w:b/>
        </w:rPr>
        <w:t>P</w:t>
      </w:r>
      <w:r w:rsidR="00AD4520">
        <w:rPr>
          <w:rFonts w:ascii="Book Antiqua" w:hAnsi="Book Antiqua" w:cs="Arial"/>
          <w:b/>
        </w:rPr>
        <w:t>]</w:t>
      </w:r>
    </w:p>
    <w:p w14:paraId="79B1237C" w14:textId="77777777"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</w:p>
    <w:p w14:paraId="1BAB55FE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14:paraId="170EB430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14:paraId="2A2350C8" w14:textId="77777777" w:rsidR="00D44C2B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F97703">
        <w:rPr>
          <w:rFonts w:ascii="Book Antiqua" w:hAnsi="Book Antiqua" w:cs="Arial"/>
          <w:b/>
        </w:rPr>
        <w:instrText xml:space="preserve"> FORMTEXT </w:instrText>
      </w:r>
      <w:r w:rsidRPr="00F97703">
        <w:rPr>
          <w:rFonts w:ascii="Book Antiqua" w:hAnsi="Book Antiqua" w:cs="Arial"/>
          <w:b/>
        </w:rPr>
      </w:r>
      <w:r w:rsidRPr="00F97703">
        <w:rPr>
          <w:rFonts w:ascii="Book Antiqua" w:hAnsi="Book Antiqua" w:cs="Arial"/>
          <w:b/>
        </w:rPr>
        <w:fldChar w:fldCharType="separate"/>
      </w:r>
      <w:r w:rsidRPr="00F97703">
        <w:rPr>
          <w:rFonts w:ascii="Book Antiqua" w:hAnsi="Book Antiqua" w:cs="Arial"/>
          <w:b/>
          <w:noProof/>
        </w:rPr>
        <w:t>THE SECRETARY OF STATE FOR THE HOME DEPARTMENT</w:t>
      </w:r>
      <w:r w:rsidRPr="00F97703">
        <w:rPr>
          <w:rFonts w:ascii="Book Antiqua" w:hAnsi="Book Antiqua" w:cs="Arial"/>
          <w:b/>
        </w:rPr>
        <w:fldChar w:fldCharType="end"/>
      </w:r>
      <w:bookmarkEnd w:id="1"/>
    </w:p>
    <w:p w14:paraId="24FF5D77" w14:textId="77777777" w:rsidR="00933B65" w:rsidRPr="00F97703" w:rsidRDefault="00933B65" w:rsidP="008A64A7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14:paraId="73B1517B" w14:textId="732F811B" w:rsidR="00933B65" w:rsidRDefault="00933B65" w:rsidP="00933B65">
      <w:pPr>
        <w:rPr>
          <w:rFonts w:ascii="Book Antiqua" w:hAnsi="Book Antiqua" w:cs="Arial"/>
        </w:rPr>
      </w:pPr>
    </w:p>
    <w:p w14:paraId="0078ED70" w14:textId="77777777" w:rsidR="00AD4520" w:rsidRPr="00F97703" w:rsidRDefault="00AD4520" w:rsidP="00933B65">
      <w:pPr>
        <w:rPr>
          <w:rFonts w:ascii="Book Antiqua" w:hAnsi="Book Antiqua" w:cs="Arial"/>
        </w:rPr>
      </w:pPr>
    </w:p>
    <w:p w14:paraId="748FBED0" w14:textId="77777777" w:rsidR="00933B65" w:rsidRPr="00F97703" w:rsidRDefault="00933B65" w:rsidP="00933B65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Appellant:</w:t>
      </w:r>
      <w:r w:rsidRPr="00F97703">
        <w:rPr>
          <w:rFonts w:ascii="Book Antiqua" w:hAnsi="Book Antiqua" w:cs="Arial"/>
        </w:rPr>
        <w:tab/>
      </w:r>
      <w:r w:rsidR="00B061C6">
        <w:rPr>
          <w:rFonts w:ascii="Book Antiqua" w:hAnsi="Book Antiqua" w:cs="Arial"/>
        </w:rPr>
        <w:t>Mr J Chau</w:t>
      </w:r>
      <w:r w:rsidR="001C49E9">
        <w:rPr>
          <w:rFonts w:ascii="Book Antiqua" w:hAnsi="Book Antiqua" w:cs="Arial"/>
        </w:rPr>
        <w:t xml:space="preserve">dry, </w:t>
      </w:r>
      <w:r w:rsidR="008C1EA3">
        <w:rPr>
          <w:rFonts w:ascii="Book Antiqua" w:hAnsi="Book Antiqua" w:cs="Arial"/>
        </w:rPr>
        <w:t xml:space="preserve">of </w:t>
      </w:r>
      <w:r w:rsidR="004D4D16">
        <w:rPr>
          <w:rFonts w:ascii="Book Antiqua" w:hAnsi="Book Antiqua" w:cs="Arial"/>
        </w:rPr>
        <w:t xml:space="preserve">Latta &amp; Co, </w:t>
      </w:r>
      <w:r w:rsidR="003D7D3D">
        <w:rPr>
          <w:rFonts w:ascii="Book Antiqua" w:hAnsi="Book Antiqua" w:cs="Arial"/>
        </w:rPr>
        <w:t>Solicitors</w:t>
      </w:r>
    </w:p>
    <w:p w14:paraId="49981764" w14:textId="77777777" w:rsidR="00933B65" w:rsidRPr="00F97703" w:rsidRDefault="00933B65" w:rsidP="008A64A7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Respondent:</w:t>
      </w:r>
      <w:r w:rsidRPr="00F97703">
        <w:rPr>
          <w:rFonts w:ascii="Book Antiqua" w:hAnsi="Book Antiqua" w:cs="Arial"/>
        </w:rPr>
        <w:tab/>
      </w:r>
      <w:r w:rsidR="008C6D4E">
        <w:rPr>
          <w:rFonts w:ascii="Book Antiqua" w:hAnsi="Book Antiqua" w:cs="Arial"/>
        </w:rPr>
        <w:t xml:space="preserve">Mr A Mullen, </w:t>
      </w:r>
      <w:r w:rsidR="003D7D3D">
        <w:rPr>
          <w:rFonts w:ascii="Book Antiqua" w:hAnsi="Book Antiqua" w:cs="Arial"/>
        </w:rPr>
        <w:t>Senior</w:t>
      </w:r>
      <w:r>
        <w:rPr>
          <w:rFonts w:ascii="Book Antiqua" w:hAnsi="Book Antiqua" w:cs="Arial"/>
        </w:rPr>
        <w:t xml:space="preserve"> Home Office Presenting Officer</w:t>
      </w:r>
    </w:p>
    <w:p w14:paraId="6AC62B78" w14:textId="3A398248" w:rsidR="00933B65" w:rsidRDefault="00933B65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4B47DE85" w14:textId="77777777" w:rsidR="00AD4520" w:rsidRPr="00F97703" w:rsidRDefault="00AD4520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4F7E9A1F" w14:textId="77777777" w:rsidR="00321C6F" w:rsidRPr="002B54F9" w:rsidRDefault="00933B65" w:rsidP="00734D2D">
      <w:pPr>
        <w:tabs>
          <w:tab w:val="left" w:pos="2520"/>
        </w:tabs>
        <w:jc w:val="center"/>
        <w:rPr>
          <w:rFonts w:ascii="Book Antiqua" w:hAnsi="Book Antiqua" w:cs="Arial"/>
          <w:sz w:val="20"/>
          <w:szCs w:val="20"/>
        </w:rPr>
      </w:pPr>
      <w:r w:rsidRPr="00F97703">
        <w:rPr>
          <w:rFonts w:ascii="Book Antiqua" w:hAnsi="Book Antiqua" w:cs="Arial"/>
          <w:b/>
          <w:u w:val="single"/>
        </w:rPr>
        <w:t>DETERMINATION AND REASONS</w:t>
      </w:r>
    </w:p>
    <w:p w14:paraId="46EB7718" w14:textId="77777777" w:rsidR="00D31D54" w:rsidRDefault="00007BAC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</w:t>
      </w:r>
      <w:r w:rsidR="00D31D54">
        <w:rPr>
          <w:rFonts w:ascii="Book Antiqua" w:hAnsi="Book Antiqua" w:cs="Arial"/>
        </w:rPr>
        <w:t>is decision is to be read with:</w:t>
      </w:r>
    </w:p>
    <w:p w14:paraId="5244B9C5" w14:textId="77777777" w:rsidR="00007BAC" w:rsidRPr="00D31D54" w:rsidRDefault="00D31D54" w:rsidP="00AD4520">
      <w:pPr>
        <w:numPr>
          <w:ilvl w:val="1"/>
          <w:numId w:val="2"/>
        </w:numPr>
        <w:spacing w:before="120"/>
        <w:jc w:val="both"/>
        <w:rPr>
          <w:rFonts w:ascii="Book Antiqua" w:hAnsi="Book Antiqua" w:cs="Arial"/>
        </w:rPr>
      </w:pPr>
      <w:r w:rsidRPr="00D31D54">
        <w:rPr>
          <w:rFonts w:ascii="Book Antiqua" w:hAnsi="Book Antiqua" w:cs="Arial"/>
        </w:rPr>
        <w:t>The</w:t>
      </w:r>
      <w:r w:rsidR="00007BAC" w:rsidRPr="00D31D54">
        <w:rPr>
          <w:rFonts w:ascii="Book Antiqua" w:hAnsi="Book Antiqua" w:cs="Arial"/>
        </w:rPr>
        <w:t xml:space="preserve"> respondent</w:t>
      </w:r>
      <w:r>
        <w:rPr>
          <w:rFonts w:ascii="Book Antiqua" w:hAnsi="Book Antiqua" w:cs="Arial"/>
        </w:rPr>
        <w:t xml:space="preserve">’s decision dated </w:t>
      </w:r>
      <w:r w:rsidR="00BA6261">
        <w:rPr>
          <w:rFonts w:ascii="Book Antiqua" w:hAnsi="Book Antiqua" w:cs="Arial"/>
        </w:rPr>
        <w:t>16 May 2017,</w:t>
      </w:r>
      <w:r w:rsidR="00007BAC" w:rsidRPr="00D31D54">
        <w:rPr>
          <w:rFonts w:ascii="Book Antiqua" w:hAnsi="Book Antiqua" w:cs="Arial"/>
        </w:rPr>
        <w:t xml:space="preserve"> refus</w:t>
      </w:r>
      <w:r w:rsidR="000777B7">
        <w:rPr>
          <w:rFonts w:ascii="Book Antiqua" w:hAnsi="Book Antiqua" w:cs="Arial"/>
        </w:rPr>
        <w:t>ing the appellant’s</w:t>
      </w:r>
      <w:r w:rsidR="00007BAC" w:rsidRPr="00D31D54">
        <w:rPr>
          <w:rFonts w:ascii="Book Antiqua" w:hAnsi="Book Antiqua" w:cs="Arial"/>
        </w:rPr>
        <w:t xml:space="preserve"> claim</w:t>
      </w:r>
      <w:r w:rsidR="000777B7">
        <w:rPr>
          <w:rFonts w:ascii="Book Antiqua" w:hAnsi="Book Antiqua" w:cs="Arial"/>
        </w:rPr>
        <w:t>.</w:t>
      </w:r>
      <w:r w:rsidR="00007BAC" w:rsidRPr="00D31D54">
        <w:rPr>
          <w:rFonts w:ascii="Book Antiqua" w:hAnsi="Book Antiqua" w:cs="Arial"/>
        </w:rPr>
        <w:t xml:space="preserve"> </w:t>
      </w:r>
    </w:p>
    <w:p w14:paraId="3197A38B" w14:textId="77777777" w:rsidR="000777B7" w:rsidRDefault="000777B7" w:rsidP="00AD4520">
      <w:pPr>
        <w:numPr>
          <w:ilvl w:val="1"/>
          <w:numId w:val="2"/>
        </w:numPr>
        <w:spacing w:before="12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appellant’s grounds of appeal to the First-tier Tribunal.</w:t>
      </w:r>
    </w:p>
    <w:p w14:paraId="2169D155" w14:textId="77777777" w:rsidR="00007BAC" w:rsidRDefault="000777B7" w:rsidP="00AD4520">
      <w:pPr>
        <w:numPr>
          <w:ilvl w:val="1"/>
          <w:numId w:val="2"/>
        </w:numPr>
        <w:spacing w:before="12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decision of FtT</w:t>
      </w:r>
      <w:r w:rsidR="00007BAC">
        <w:rPr>
          <w:rFonts w:ascii="Book Antiqua" w:hAnsi="Book Antiqua" w:cs="Arial"/>
        </w:rPr>
        <w:t xml:space="preserve"> Judge </w:t>
      </w:r>
      <w:r w:rsidR="00DB36FC">
        <w:rPr>
          <w:rFonts w:ascii="Book Antiqua" w:hAnsi="Book Antiqua" w:cs="Arial"/>
        </w:rPr>
        <w:t>S Gillespie,</w:t>
      </w:r>
      <w:r w:rsidR="00007BAC">
        <w:rPr>
          <w:rFonts w:ascii="Book Antiqua" w:hAnsi="Book Antiqua" w:cs="Arial"/>
        </w:rPr>
        <w:t xml:space="preserve"> promulgated on </w:t>
      </w:r>
      <w:r w:rsidR="00DB36FC">
        <w:rPr>
          <w:rFonts w:ascii="Book Antiqua" w:hAnsi="Book Antiqua" w:cs="Arial"/>
        </w:rPr>
        <w:t>16 January 2018.</w:t>
      </w:r>
    </w:p>
    <w:p w14:paraId="73906871" w14:textId="77777777" w:rsidR="00F47052" w:rsidRDefault="00C15A7E" w:rsidP="00AD4520">
      <w:pPr>
        <w:numPr>
          <w:ilvl w:val="1"/>
          <w:numId w:val="2"/>
        </w:numPr>
        <w:spacing w:before="12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The appellant’s grounds of appeal </w:t>
      </w:r>
      <w:r w:rsidR="00F125AD">
        <w:rPr>
          <w:rFonts w:ascii="Book Antiqua" w:hAnsi="Book Antiqua" w:cs="Arial"/>
        </w:rPr>
        <w:t xml:space="preserve">to the UT, stated </w:t>
      </w:r>
      <w:r>
        <w:rPr>
          <w:rFonts w:ascii="Book Antiqua" w:hAnsi="Book Antiqua" w:cs="Arial"/>
        </w:rPr>
        <w:t xml:space="preserve">in the </w:t>
      </w:r>
      <w:r w:rsidRPr="00F1787C">
        <w:rPr>
          <w:rFonts w:ascii="Book Antiqua" w:hAnsi="Book Antiqua"/>
        </w:rPr>
        <w:t>application for permission to appeal</w:t>
      </w:r>
      <w:r w:rsidR="006E3DE1">
        <w:rPr>
          <w:rFonts w:ascii="Book Antiqua" w:hAnsi="Book Antiqua"/>
        </w:rPr>
        <w:t xml:space="preserve"> </w:t>
      </w:r>
      <w:r w:rsidR="00470675">
        <w:rPr>
          <w:rFonts w:ascii="Book Antiqua" w:hAnsi="Book Antiqua"/>
        </w:rPr>
        <w:t>filed on</w:t>
      </w:r>
      <w:r w:rsidR="000D1C17">
        <w:rPr>
          <w:rFonts w:ascii="Book Antiqua" w:hAnsi="Book Antiqua"/>
        </w:rPr>
        <w:t xml:space="preserve"> 2 February 2018.</w:t>
      </w:r>
    </w:p>
    <w:p w14:paraId="0603AA98" w14:textId="77777777" w:rsidR="001C49E9" w:rsidRDefault="00F47052" w:rsidP="00AD4520">
      <w:pPr>
        <w:numPr>
          <w:ilvl w:val="1"/>
          <w:numId w:val="2"/>
        </w:numPr>
        <w:spacing w:before="120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The grant of permission</w:t>
      </w:r>
      <w:r w:rsidR="000D1C17">
        <w:rPr>
          <w:rFonts w:ascii="Book Antiqua" w:hAnsi="Book Antiqua"/>
        </w:rPr>
        <w:t xml:space="preserve"> dated 22 February 2018.</w:t>
      </w:r>
    </w:p>
    <w:p w14:paraId="4F2284E2" w14:textId="77777777" w:rsidR="00C40F28" w:rsidRPr="00C40F28" w:rsidRDefault="00633C76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>The appellant</w:t>
      </w:r>
      <w:r w:rsidR="00C40F28">
        <w:rPr>
          <w:rFonts w:ascii="Book Antiqua" w:hAnsi="Book Antiqua" w:cs="Arial"/>
        </w:rPr>
        <w:t>’s grounds are headed:</w:t>
      </w:r>
    </w:p>
    <w:p w14:paraId="7A50BB99" w14:textId="77777777" w:rsidR="00AE1144" w:rsidRPr="00AD4520" w:rsidRDefault="00AE1144" w:rsidP="00AD4520">
      <w:pPr>
        <w:pStyle w:val="ListParagraph"/>
        <w:numPr>
          <w:ilvl w:val="0"/>
          <w:numId w:val="3"/>
        </w:numPr>
        <w:spacing w:before="120"/>
        <w:ind w:left="1134" w:hanging="567"/>
        <w:contextualSpacing w:val="0"/>
        <w:jc w:val="both"/>
        <w:rPr>
          <w:rFonts w:ascii="Book Antiqua" w:hAnsi="Book Antiqua"/>
        </w:rPr>
      </w:pPr>
      <w:r w:rsidRPr="00AD4520">
        <w:rPr>
          <w:rFonts w:ascii="Book Antiqua" w:hAnsi="Book Antiqua" w:cs="Arial"/>
        </w:rPr>
        <w:t>Use of speculation / error in approach to the case</w:t>
      </w:r>
      <w:r w:rsidR="00FC2B44" w:rsidRPr="00AD4520">
        <w:rPr>
          <w:rFonts w:ascii="Book Antiqua" w:hAnsi="Book Antiqua" w:cs="Arial"/>
        </w:rPr>
        <w:t xml:space="preserve"> – sub-headings (a) and (b)</w:t>
      </w:r>
      <w:r w:rsidRPr="00AD4520">
        <w:rPr>
          <w:rFonts w:ascii="Book Antiqua" w:hAnsi="Book Antiqua" w:cs="Arial"/>
        </w:rPr>
        <w:t>.</w:t>
      </w:r>
    </w:p>
    <w:p w14:paraId="0639D333" w14:textId="77777777" w:rsidR="00FC5370" w:rsidRPr="00AD4520" w:rsidRDefault="00FC5370" w:rsidP="00AD4520">
      <w:pPr>
        <w:pStyle w:val="ListParagraph"/>
        <w:numPr>
          <w:ilvl w:val="0"/>
          <w:numId w:val="3"/>
        </w:numPr>
        <w:spacing w:before="120"/>
        <w:ind w:left="1134" w:hanging="567"/>
        <w:contextualSpacing w:val="0"/>
        <w:jc w:val="both"/>
        <w:rPr>
          <w:rFonts w:ascii="Book Antiqua" w:hAnsi="Book Antiqua"/>
        </w:rPr>
      </w:pPr>
      <w:r w:rsidRPr="00AD4520">
        <w:rPr>
          <w:rFonts w:ascii="Book Antiqua" w:hAnsi="Book Antiqua"/>
        </w:rPr>
        <w:t>Common fairness.</w:t>
      </w:r>
    </w:p>
    <w:p w14:paraId="7367ED51" w14:textId="77777777" w:rsidR="00FC5370" w:rsidRPr="00AD4520" w:rsidRDefault="00FC5370" w:rsidP="00AD4520">
      <w:pPr>
        <w:pStyle w:val="ListParagraph"/>
        <w:numPr>
          <w:ilvl w:val="0"/>
          <w:numId w:val="3"/>
        </w:numPr>
        <w:spacing w:before="120"/>
        <w:ind w:left="1134" w:hanging="567"/>
        <w:contextualSpacing w:val="0"/>
        <w:jc w:val="both"/>
        <w:rPr>
          <w:rFonts w:ascii="Book Antiqua" w:hAnsi="Book Antiqua"/>
        </w:rPr>
      </w:pPr>
      <w:r w:rsidRPr="00AD4520">
        <w:rPr>
          <w:rFonts w:ascii="Book Antiqua" w:hAnsi="Book Antiqua"/>
        </w:rPr>
        <w:t>Failure to engage appropriately with the evidence / provide clear reasons</w:t>
      </w:r>
      <w:r w:rsidR="00B53D15" w:rsidRPr="00AD4520">
        <w:rPr>
          <w:rFonts w:ascii="Book Antiqua" w:hAnsi="Book Antiqua"/>
        </w:rPr>
        <w:t xml:space="preserve"> </w:t>
      </w:r>
      <w:r w:rsidR="007679C7" w:rsidRPr="00AD4520">
        <w:rPr>
          <w:rFonts w:ascii="Book Antiqua" w:hAnsi="Book Antiqua" w:cs="Arial"/>
        </w:rPr>
        <w:t>– sub-headings (a) and (b)</w:t>
      </w:r>
      <w:r w:rsidRPr="00AD4520">
        <w:rPr>
          <w:rFonts w:ascii="Book Antiqua" w:hAnsi="Book Antiqua"/>
        </w:rPr>
        <w:t>.</w:t>
      </w:r>
    </w:p>
    <w:p w14:paraId="7508398E" w14:textId="77777777" w:rsidR="001C49E9" w:rsidRDefault="009C4585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Ground</w:t>
      </w:r>
      <w:r w:rsidR="00334F0A">
        <w:rPr>
          <w:rFonts w:ascii="Book Antiqua" w:hAnsi="Book Antiqua"/>
        </w:rPr>
        <w:t xml:space="preserve"> 1 </w:t>
      </w:r>
      <w:r w:rsidR="00B53D15">
        <w:rPr>
          <w:rFonts w:ascii="Book Antiqua" w:hAnsi="Book Antiqua"/>
        </w:rPr>
        <w:t xml:space="preserve">(a) </w:t>
      </w:r>
      <w:r w:rsidR="006B65B3">
        <w:rPr>
          <w:rFonts w:ascii="Book Antiqua" w:hAnsi="Book Antiqua"/>
        </w:rPr>
        <w:t>quot</w:t>
      </w:r>
      <w:r w:rsidR="00122AB9">
        <w:rPr>
          <w:rFonts w:ascii="Book Antiqua" w:hAnsi="Book Antiqua"/>
        </w:rPr>
        <w:t xml:space="preserve">es from </w:t>
      </w:r>
      <w:r w:rsidR="00122AB9" w:rsidRPr="006B65B3">
        <w:rPr>
          <w:rFonts w:ascii="Book Antiqua" w:hAnsi="Book Antiqua"/>
          <w:i/>
        </w:rPr>
        <w:t>Tanveer Ahmed</w:t>
      </w:r>
      <w:r w:rsidR="00122AB9">
        <w:rPr>
          <w:rFonts w:ascii="Book Antiqua" w:hAnsi="Book Antiqua"/>
        </w:rPr>
        <w:t xml:space="preserve">, which the judge </w:t>
      </w:r>
      <w:r w:rsidR="006B65B3">
        <w:rPr>
          <w:rFonts w:ascii="Book Antiqua" w:hAnsi="Book Antiqua"/>
        </w:rPr>
        <w:t xml:space="preserve">cited, to the effect that judgements are not to be made by UK standards, and </w:t>
      </w:r>
      <w:r w:rsidR="00DA2B5F">
        <w:rPr>
          <w:rFonts w:ascii="Book Antiqua" w:hAnsi="Book Antiqua"/>
        </w:rPr>
        <w:t>says that it was speculative to assume there would be a method of registering property transfers in Vietnam</w:t>
      </w:r>
      <w:r w:rsidR="00D02C7F">
        <w:rPr>
          <w:rFonts w:ascii="Book Antiqua" w:hAnsi="Book Antiqua"/>
        </w:rPr>
        <w:t xml:space="preserve"> without reference to background evidence.</w:t>
      </w:r>
    </w:p>
    <w:p w14:paraId="5794E39C" w14:textId="77777777" w:rsidR="00541A29" w:rsidRDefault="00E24418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judge </w:t>
      </w:r>
      <w:r w:rsidR="00DB06FA">
        <w:rPr>
          <w:rFonts w:ascii="Book Antiqua" w:hAnsi="Book Antiqua"/>
        </w:rPr>
        <w:t xml:space="preserve">at paragraph 36 explicitly recognised that </w:t>
      </w:r>
      <w:r w:rsidR="00FF59A8">
        <w:rPr>
          <w:rFonts w:ascii="Book Antiqua" w:hAnsi="Book Antiqua"/>
        </w:rPr>
        <w:t>any</w:t>
      </w:r>
      <w:r w:rsidR="00DB06FA">
        <w:rPr>
          <w:rFonts w:ascii="Book Antiqua" w:hAnsi="Book Antiqua"/>
        </w:rPr>
        <w:t xml:space="preserve"> metho</w:t>
      </w:r>
      <w:r w:rsidR="00FF59A8">
        <w:rPr>
          <w:rFonts w:ascii="Book Antiqua" w:hAnsi="Book Antiqua"/>
        </w:rPr>
        <w:t xml:space="preserve">d of registering property transfers in Vietnam might be “less </w:t>
      </w:r>
      <w:r w:rsidR="00C44EB3">
        <w:rPr>
          <w:rFonts w:ascii="Book Antiqua" w:hAnsi="Book Antiqua"/>
        </w:rPr>
        <w:t>sophisticated by Western standards”.  It is</w:t>
      </w:r>
      <w:r w:rsidR="00506F8C">
        <w:rPr>
          <w:rFonts w:ascii="Book Antiqua" w:hAnsi="Book Antiqua"/>
        </w:rPr>
        <w:t xml:space="preserve"> hardly speculative to think there must be “some method”</w:t>
      </w:r>
      <w:r w:rsidR="007C3892">
        <w:rPr>
          <w:rFonts w:ascii="Book Antiqua" w:hAnsi="Book Antiqua"/>
        </w:rPr>
        <w:t xml:space="preserve">.  It might be taken as within public and judicial knowledge that </w:t>
      </w:r>
      <w:r w:rsidR="00225036">
        <w:rPr>
          <w:rFonts w:ascii="Book Antiqua" w:hAnsi="Book Antiqua"/>
        </w:rPr>
        <w:t>developed societies in all cu</w:t>
      </w:r>
      <w:r w:rsidR="009518FC">
        <w:rPr>
          <w:rFonts w:ascii="Book Antiqua" w:hAnsi="Book Antiqua"/>
        </w:rPr>
        <w:t>l</w:t>
      </w:r>
      <w:r w:rsidR="00225036">
        <w:rPr>
          <w:rFonts w:ascii="Book Antiqua" w:hAnsi="Book Antiqua"/>
        </w:rPr>
        <w:t xml:space="preserve">tures have had </w:t>
      </w:r>
      <w:r w:rsidR="009518FC">
        <w:rPr>
          <w:rFonts w:ascii="Book Antiqua" w:hAnsi="Book Antiqua"/>
        </w:rPr>
        <w:t>some form of registration of titles or property transfers for many centuries.</w:t>
      </w:r>
    </w:p>
    <w:p w14:paraId="05ECCE96" w14:textId="77777777" w:rsidR="009B277E" w:rsidRDefault="001F5D87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That was not the only reason for doubting the evidence of the transaction.</w:t>
      </w:r>
      <w:r w:rsidR="00F10C82">
        <w:rPr>
          <w:rFonts w:ascii="Book Antiqua" w:hAnsi="Book Antiqua"/>
        </w:rPr>
        <w:t xml:space="preserve">  The judge noted that </w:t>
      </w:r>
      <w:r w:rsidR="00541A29">
        <w:rPr>
          <w:rFonts w:ascii="Book Antiqua" w:hAnsi="Book Antiqua"/>
        </w:rPr>
        <w:t>the document</w:t>
      </w:r>
      <w:r w:rsidR="00F10C82">
        <w:rPr>
          <w:rFonts w:ascii="Book Antiqua" w:hAnsi="Book Antiqua"/>
        </w:rPr>
        <w:t xml:space="preserve"> was only a photocopy; there was nothing in it to persuade him it was an official document; </w:t>
      </w:r>
      <w:r w:rsidR="00541A29">
        <w:rPr>
          <w:rFonts w:ascii="Book Antiqua" w:hAnsi="Book Antiqua"/>
        </w:rPr>
        <w:t xml:space="preserve">and </w:t>
      </w:r>
      <w:r w:rsidR="00F10C82">
        <w:rPr>
          <w:rFonts w:ascii="Book Antiqua" w:hAnsi="Book Antiqua"/>
        </w:rPr>
        <w:t>it was unimpressive on its face, being entire</w:t>
      </w:r>
      <w:r w:rsidR="00E54372">
        <w:rPr>
          <w:rFonts w:ascii="Book Antiqua" w:hAnsi="Book Antiqua"/>
        </w:rPr>
        <w:t>l</w:t>
      </w:r>
      <w:r w:rsidR="00F10C82">
        <w:rPr>
          <w:rFonts w:ascii="Book Antiqua" w:hAnsi="Book Antiqua"/>
        </w:rPr>
        <w:t>y in handwriting</w:t>
      </w:r>
      <w:r w:rsidR="00BA6927">
        <w:rPr>
          <w:rFonts w:ascii="Book Antiqua" w:hAnsi="Book Antiqua"/>
        </w:rPr>
        <w:t>.  He concluded that “absent evidence that such a thing would typically correspond to that used in Vietnam to transfer p</w:t>
      </w:r>
      <w:r w:rsidR="00E54372">
        <w:rPr>
          <w:rFonts w:ascii="Book Antiqua" w:hAnsi="Book Antiqua"/>
        </w:rPr>
        <w:t>r</w:t>
      </w:r>
      <w:r w:rsidR="00BA6927">
        <w:rPr>
          <w:rFonts w:ascii="Book Antiqua" w:hAnsi="Book Antiqua"/>
        </w:rPr>
        <w:t>o</w:t>
      </w:r>
      <w:r w:rsidR="00E54372">
        <w:rPr>
          <w:rFonts w:ascii="Book Antiqua" w:hAnsi="Book Antiqua"/>
        </w:rPr>
        <w:t>p</w:t>
      </w:r>
      <w:r w:rsidR="00BA6927">
        <w:rPr>
          <w:rFonts w:ascii="Book Antiqua" w:hAnsi="Book Antiqua"/>
        </w:rPr>
        <w:t>er</w:t>
      </w:r>
      <w:r w:rsidR="00E54372">
        <w:rPr>
          <w:rFonts w:ascii="Book Antiqua" w:hAnsi="Book Antiqua"/>
        </w:rPr>
        <w:t>t</w:t>
      </w:r>
      <w:r w:rsidR="00BA6927">
        <w:rPr>
          <w:rFonts w:ascii="Book Antiqua" w:hAnsi="Book Antiqua"/>
        </w:rPr>
        <w:t>y I give it little weight</w:t>
      </w:r>
      <w:r w:rsidR="00E54372">
        <w:rPr>
          <w:rFonts w:ascii="Book Antiqua" w:hAnsi="Book Antiqua"/>
        </w:rPr>
        <w:t>.”</w:t>
      </w:r>
    </w:p>
    <w:p w14:paraId="68BE0E15" w14:textId="77777777" w:rsidR="00EE3AF0" w:rsidRDefault="009B277E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This ground does not show that the </w:t>
      </w:r>
      <w:r w:rsidR="0076110D">
        <w:rPr>
          <w:rFonts w:ascii="Book Antiqua" w:hAnsi="Book Antiqua"/>
        </w:rPr>
        <w:t xml:space="preserve">amount of </w:t>
      </w:r>
      <w:r>
        <w:rPr>
          <w:rFonts w:ascii="Book Antiqua" w:hAnsi="Book Antiqua"/>
        </w:rPr>
        <w:t>weight given by the judge to the document</w:t>
      </w:r>
      <w:r w:rsidR="0076110D">
        <w:rPr>
          <w:rFonts w:ascii="Book Antiqua" w:hAnsi="Book Antiqua"/>
        </w:rPr>
        <w:t xml:space="preserve"> was based only on speculation</w:t>
      </w:r>
      <w:r w:rsidR="00EE3AF0">
        <w:rPr>
          <w:rFonts w:ascii="Book Antiqua" w:hAnsi="Book Antiqua"/>
        </w:rPr>
        <w:t>.</w:t>
      </w:r>
    </w:p>
    <w:p w14:paraId="5E2F214E" w14:textId="77777777" w:rsidR="003B344B" w:rsidRDefault="00A31AAB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(</w:t>
      </w:r>
      <w:r w:rsidR="003B344B">
        <w:rPr>
          <w:rFonts w:ascii="Book Antiqua" w:hAnsi="Book Antiqua"/>
        </w:rPr>
        <w:t xml:space="preserve">I note incidentally that since raising the </w:t>
      </w:r>
      <w:r>
        <w:rPr>
          <w:rFonts w:ascii="Book Antiqua" w:hAnsi="Book Antiqua"/>
        </w:rPr>
        <w:t xml:space="preserve">ground, the appellant has not suggested either that there is no official </w:t>
      </w:r>
      <w:r w:rsidR="003B344B">
        <w:rPr>
          <w:rFonts w:ascii="Book Antiqua" w:hAnsi="Book Antiqua"/>
        </w:rPr>
        <w:t>method of registering property transfers in Vietnam</w:t>
      </w:r>
      <w:r>
        <w:rPr>
          <w:rFonts w:ascii="Book Antiqua" w:hAnsi="Book Antiqua"/>
        </w:rPr>
        <w:t>, or that the appellant’s document conforms to the method used.)</w:t>
      </w:r>
    </w:p>
    <w:p w14:paraId="511D99D5" w14:textId="77777777" w:rsidR="008F68C7" w:rsidRDefault="00B63BBC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Ground 1 (b) </w:t>
      </w:r>
      <w:r w:rsidR="00814AB2">
        <w:rPr>
          <w:rFonts w:ascii="Book Antiqua" w:hAnsi="Book Antiqua"/>
        </w:rPr>
        <w:t>disagrees</w:t>
      </w:r>
      <w:r>
        <w:rPr>
          <w:rFonts w:ascii="Book Antiqua" w:hAnsi="Book Antiqua"/>
        </w:rPr>
        <w:t xml:space="preserve"> with the judge’s rejection </w:t>
      </w:r>
      <w:r w:rsidR="000B3627">
        <w:rPr>
          <w:rFonts w:ascii="Book Antiqua" w:hAnsi="Book Antiqua"/>
        </w:rPr>
        <w:t xml:space="preserve">at paragraph 42 </w:t>
      </w:r>
      <w:r>
        <w:rPr>
          <w:rFonts w:ascii="Book Antiqua" w:hAnsi="Book Antiqua"/>
        </w:rPr>
        <w:t xml:space="preserve">of the </w:t>
      </w:r>
      <w:r w:rsidR="00E53DE2">
        <w:rPr>
          <w:rFonts w:ascii="Book Antiqua" w:hAnsi="Book Antiqua"/>
        </w:rPr>
        <w:t>appellant’s</w:t>
      </w:r>
      <w:r>
        <w:rPr>
          <w:rFonts w:ascii="Book Antiqua" w:hAnsi="Book Antiqua"/>
        </w:rPr>
        <w:t xml:space="preserve"> evidence that </w:t>
      </w:r>
      <w:r w:rsidR="00E53DE2">
        <w:rPr>
          <w:rFonts w:ascii="Book Antiqua" w:hAnsi="Book Antiqua"/>
        </w:rPr>
        <w:t xml:space="preserve">he did not know an asylum claim was open to him, and that </w:t>
      </w:r>
      <w:r w:rsidR="00E26076">
        <w:rPr>
          <w:rFonts w:ascii="Book Antiqua" w:hAnsi="Book Antiqua"/>
        </w:rPr>
        <w:t>the late timing counted against him.</w:t>
      </w:r>
      <w:r w:rsidR="000B3627">
        <w:rPr>
          <w:rFonts w:ascii="Book Antiqua" w:hAnsi="Book Antiqua"/>
        </w:rPr>
        <w:t xml:space="preserve">  </w:t>
      </w:r>
      <w:r w:rsidR="00625C56">
        <w:rPr>
          <w:rFonts w:ascii="Book Antiqua" w:hAnsi="Book Antiqua"/>
        </w:rPr>
        <w:t>(</w:t>
      </w:r>
      <w:r w:rsidR="008F68C7">
        <w:rPr>
          <w:rFonts w:ascii="Book Antiqua" w:hAnsi="Book Antiqua"/>
        </w:rPr>
        <w:t>Mr Chaudry in submissions correctly accepted that the suggestion of “a prejudicial approach” was unfortunate.</w:t>
      </w:r>
      <w:r w:rsidR="00625C56">
        <w:rPr>
          <w:rFonts w:ascii="Book Antiqua" w:hAnsi="Book Antiqua"/>
        </w:rPr>
        <w:t>)</w:t>
      </w:r>
    </w:p>
    <w:p w14:paraId="77A35AD0" w14:textId="77777777" w:rsidR="00DD7BCE" w:rsidRDefault="000B3627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finding </w:t>
      </w:r>
      <w:r w:rsidR="008F68C7">
        <w:rPr>
          <w:rFonts w:ascii="Book Antiqua" w:hAnsi="Book Antiqua"/>
        </w:rPr>
        <w:t>at paragraph 4</w:t>
      </w:r>
      <w:r w:rsidR="008A6DF7">
        <w:rPr>
          <w:rFonts w:ascii="Book Antiqua" w:hAnsi="Book Antiqua"/>
        </w:rPr>
        <w:t>2</w:t>
      </w:r>
      <w:r>
        <w:rPr>
          <w:rFonts w:ascii="Book Antiqua" w:hAnsi="Book Antiqua"/>
        </w:rPr>
        <w:t xml:space="preserve"> has to be read in context of the decision as a whole, and </w:t>
      </w:r>
      <w:r w:rsidR="004F320C">
        <w:rPr>
          <w:rFonts w:ascii="Book Antiqua" w:hAnsi="Book Antiqua"/>
        </w:rPr>
        <w:t>of</w:t>
      </w:r>
      <w:r>
        <w:rPr>
          <w:rFonts w:ascii="Book Antiqua" w:hAnsi="Book Antiqua"/>
        </w:rPr>
        <w:t xml:space="preserve"> paragraphs </w:t>
      </w:r>
      <w:r w:rsidR="004F544C">
        <w:rPr>
          <w:rFonts w:ascii="Book Antiqua" w:hAnsi="Book Antiqua"/>
        </w:rPr>
        <w:t>40 – 41 in particular</w:t>
      </w:r>
      <w:r w:rsidR="00814AB2">
        <w:rPr>
          <w:rFonts w:ascii="Book Antiqua" w:hAnsi="Book Antiqua"/>
        </w:rPr>
        <w:t>.</w:t>
      </w:r>
      <w:r w:rsidR="008A6DF7">
        <w:rPr>
          <w:rFonts w:ascii="Book Antiqua" w:hAnsi="Book Antiqua"/>
        </w:rPr>
        <w:t xml:space="preserve">  </w:t>
      </w:r>
      <w:r w:rsidR="00843AA3">
        <w:rPr>
          <w:rFonts w:ascii="Book Antiqua" w:hAnsi="Book Antiqua"/>
        </w:rPr>
        <w:t>The judge notes that the</w:t>
      </w:r>
      <w:r w:rsidR="008A6DF7">
        <w:rPr>
          <w:rFonts w:ascii="Book Antiqua" w:hAnsi="Book Antiqua"/>
        </w:rPr>
        <w:t xml:space="preserve"> appellant ha</w:t>
      </w:r>
      <w:r w:rsidR="00843AA3">
        <w:rPr>
          <w:rFonts w:ascii="Book Antiqua" w:hAnsi="Book Antiqua"/>
        </w:rPr>
        <w:t>d</w:t>
      </w:r>
      <w:r w:rsidR="008A6DF7">
        <w:rPr>
          <w:rFonts w:ascii="Book Antiqua" w:hAnsi="Book Antiqua"/>
        </w:rPr>
        <w:t xml:space="preserve"> lived illegally in the UK</w:t>
      </w:r>
      <w:r w:rsidR="00843AA3">
        <w:rPr>
          <w:rFonts w:ascii="Book Antiqua" w:hAnsi="Book Antiqua"/>
        </w:rPr>
        <w:t xml:space="preserve"> for at least 3 years</w:t>
      </w:r>
      <w:r w:rsidR="00625C56">
        <w:rPr>
          <w:rFonts w:ascii="Book Antiqua" w:hAnsi="Book Antiqua"/>
        </w:rPr>
        <w:t xml:space="preserve"> after curtailment of leave</w:t>
      </w:r>
      <w:r w:rsidR="00843AA3">
        <w:rPr>
          <w:rFonts w:ascii="Book Antiqua" w:hAnsi="Book Antiqua"/>
        </w:rPr>
        <w:t>, sp</w:t>
      </w:r>
      <w:r w:rsidR="004E5CA3">
        <w:rPr>
          <w:rFonts w:ascii="Book Antiqua" w:hAnsi="Book Antiqua"/>
        </w:rPr>
        <w:t>oke</w:t>
      </w:r>
      <w:r w:rsidR="00843AA3">
        <w:rPr>
          <w:rFonts w:ascii="Book Antiqua" w:hAnsi="Book Antiqua"/>
        </w:rPr>
        <w:t xml:space="preserve"> English</w:t>
      </w:r>
      <w:r w:rsidR="004E5CA3">
        <w:rPr>
          <w:rFonts w:ascii="Book Antiqua" w:hAnsi="Book Antiqua"/>
        </w:rPr>
        <w:t>, had studied here</w:t>
      </w:r>
      <w:r w:rsidR="00226ADE">
        <w:rPr>
          <w:rFonts w:ascii="Book Antiqua" w:hAnsi="Book Antiqua"/>
        </w:rPr>
        <w:t xml:space="preserve">, there were many charitable organisations from which advice could </w:t>
      </w:r>
      <w:r w:rsidR="001C7CE9">
        <w:rPr>
          <w:rFonts w:ascii="Book Antiqua" w:hAnsi="Book Antiqua"/>
        </w:rPr>
        <w:t>be</w:t>
      </w:r>
      <w:r w:rsidR="00226ADE">
        <w:rPr>
          <w:rFonts w:ascii="Book Antiqua" w:hAnsi="Book Antiqua"/>
        </w:rPr>
        <w:t xml:space="preserve"> taken, and he claimed only when arrested.  </w:t>
      </w:r>
      <w:r w:rsidR="001C7CE9">
        <w:rPr>
          <w:rFonts w:ascii="Book Antiqua" w:hAnsi="Book Antiqua"/>
        </w:rPr>
        <w:t>T</w:t>
      </w:r>
      <w:r w:rsidR="00500A65">
        <w:rPr>
          <w:rFonts w:ascii="Book Antiqua" w:hAnsi="Book Antiqua"/>
        </w:rPr>
        <w:t xml:space="preserve">he </w:t>
      </w:r>
      <w:r w:rsidR="00097878">
        <w:rPr>
          <w:rFonts w:ascii="Book Antiqua" w:hAnsi="Book Antiqua"/>
        </w:rPr>
        <w:t xml:space="preserve">appellant’s criticism </w:t>
      </w:r>
      <w:r w:rsidR="00500A65">
        <w:rPr>
          <w:rFonts w:ascii="Book Antiqua" w:hAnsi="Book Antiqua"/>
        </w:rPr>
        <w:t>of the finding ignores the reason</w:t>
      </w:r>
      <w:r w:rsidR="001C7CE9">
        <w:rPr>
          <w:rFonts w:ascii="Book Antiqua" w:hAnsi="Book Antiqua"/>
        </w:rPr>
        <w:t>s</w:t>
      </w:r>
      <w:r w:rsidR="00500A65">
        <w:rPr>
          <w:rFonts w:ascii="Book Antiqua" w:hAnsi="Book Antiqua"/>
        </w:rPr>
        <w:t xml:space="preserve"> given</w:t>
      </w:r>
      <w:r w:rsidR="001C7CE9">
        <w:rPr>
          <w:rFonts w:ascii="Book Antiqua" w:hAnsi="Book Antiqua"/>
        </w:rPr>
        <w:t xml:space="preserve"> and does not show that it falls in the realm of speculation.</w:t>
      </w:r>
    </w:p>
    <w:p w14:paraId="50DFE6FB" w14:textId="77777777" w:rsidR="00BF66DB" w:rsidRDefault="00BF66DB" w:rsidP="00BF66DB">
      <w:pPr>
        <w:spacing w:before="240"/>
        <w:jc w:val="both"/>
        <w:rPr>
          <w:rFonts w:ascii="Book Antiqua" w:hAnsi="Book Antiqua"/>
        </w:rPr>
      </w:pPr>
    </w:p>
    <w:p w14:paraId="38AD0A1E" w14:textId="77777777" w:rsidR="008C1EA3" w:rsidRDefault="008C1EA3" w:rsidP="00BF66DB">
      <w:pPr>
        <w:spacing w:before="240"/>
        <w:jc w:val="both"/>
        <w:rPr>
          <w:rFonts w:ascii="Book Antiqua" w:hAnsi="Book Antiqua"/>
        </w:rPr>
      </w:pPr>
    </w:p>
    <w:p w14:paraId="616A000E" w14:textId="77777777" w:rsidR="009E5AE5" w:rsidRPr="00355A6C" w:rsidRDefault="00DD7BCE" w:rsidP="009E5AE5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 w:rsidRPr="00355A6C">
        <w:rPr>
          <w:rFonts w:ascii="Book Antiqua" w:hAnsi="Book Antiqua"/>
        </w:rPr>
        <w:lastRenderedPageBreak/>
        <w:t xml:space="preserve">Ground 2 </w:t>
      </w:r>
      <w:r w:rsidR="00BC6054" w:rsidRPr="00355A6C">
        <w:rPr>
          <w:rFonts w:ascii="Book Antiqua" w:hAnsi="Book Antiqua"/>
        </w:rPr>
        <w:t xml:space="preserve">says that in fairness the judge should have put </w:t>
      </w:r>
      <w:r w:rsidR="00A6334D" w:rsidRPr="00355A6C">
        <w:rPr>
          <w:rFonts w:ascii="Book Antiqua" w:hAnsi="Book Antiqua"/>
        </w:rPr>
        <w:t xml:space="preserve">it </w:t>
      </w:r>
      <w:r w:rsidR="00BC6054" w:rsidRPr="00355A6C">
        <w:rPr>
          <w:rFonts w:ascii="Book Antiqua" w:hAnsi="Book Antiqua"/>
        </w:rPr>
        <w:t xml:space="preserve">to the </w:t>
      </w:r>
      <w:r w:rsidR="00A6334D" w:rsidRPr="00355A6C">
        <w:rPr>
          <w:rFonts w:ascii="Book Antiqua" w:hAnsi="Book Antiqua"/>
        </w:rPr>
        <w:t xml:space="preserve">appellant that he </w:t>
      </w:r>
      <w:r w:rsidR="00794255" w:rsidRPr="00355A6C">
        <w:rPr>
          <w:rFonts w:ascii="Book Antiqua" w:hAnsi="Book Antiqua"/>
        </w:rPr>
        <w:t>had</w:t>
      </w:r>
      <w:r w:rsidR="00A6334D" w:rsidRPr="00355A6C">
        <w:rPr>
          <w:rFonts w:ascii="Book Antiqua" w:hAnsi="Book Antiqua"/>
        </w:rPr>
        <w:t xml:space="preserve"> construc</w:t>
      </w:r>
      <w:r w:rsidR="00794255" w:rsidRPr="00355A6C">
        <w:rPr>
          <w:rFonts w:ascii="Book Antiqua" w:hAnsi="Book Antiqua"/>
        </w:rPr>
        <w:t>t</w:t>
      </w:r>
      <w:r w:rsidR="00A6334D" w:rsidRPr="00355A6C">
        <w:rPr>
          <w:rFonts w:ascii="Book Antiqua" w:hAnsi="Book Antiqua"/>
        </w:rPr>
        <w:t xml:space="preserve">ed a story </w:t>
      </w:r>
      <w:r w:rsidR="00794255" w:rsidRPr="00355A6C">
        <w:rPr>
          <w:rFonts w:ascii="Book Antiqua" w:hAnsi="Book Antiqua"/>
        </w:rPr>
        <w:t>against a known background.</w:t>
      </w:r>
      <w:r w:rsidR="003E49BC" w:rsidRPr="00355A6C">
        <w:rPr>
          <w:rFonts w:ascii="Book Antiqua" w:hAnsi="Book Antiqua"/>
        </w:rPr>
        <w:t xml:space="preserve">  However, the choice posed by the judge at paragraph 46, whether the background supported the claim or merely provided the scen</w:t>
      </w:r>
      <w:r w:rsidR="00AD31CF" w:rsidRPr="00355A6C">
        <w:rPr>
          <w:rFonts w:ascii="Book Antiqua" w:hAnsi="Book Antiqua"/>
        </w:rPr>
        <w:t xml:space="preserve">e, is only another way of putting an issue which was clearly at the heart of the case.  The appellant knew very well that </w:t>
      </w:r>
      <w:r w:rsidR="00F04D76" w:rsidRPr="00355A6C">
        <w:rPr>
          <w:rFonts w:ascii="Book Antiqua" w:hAnsi="Book Antiqua"/>
        </w:rPr>
        <w:t>his credibility was under challenge.</w:t>
      </w:r>
      <w:r w:rsidR="00AD31CF" w:rsidRPr="00355A6C">
        <w:rPr>
          <w:rFonts w:ascii="Book Antiqua" w:hAnsi="Book Antiqua"/>
        </w:rPr>
        <w:t xml:space="preserve"> </w:t>
      </w:r>
      <w:r w:rsidR="00F04D76" w:rsidRPr="00355A6C">
        <w:rPr>
          <w:rFonts w:ascii="Book Antiqua" w:hAnsi="Book Antiqua"/>
        </w:rPr>
        <w:t xml:space="preserve"> Putting it in the way the judge did does not </w:t>
      </w:r>
      <w:r w:rsidR="002D4324" w:rsidRPr="00355A6C">
        <w:rPr>
          <w:rFonts w:ascii="Book Antiqua" w:hAnsi="Book Antiqua"/>
        </w:rPr>
        <w:t>lead the appellant into any different response.</w:t>
      </w:r>
    </w:p>
    <w:p w14:paraId="3A910D27" w14:textId="77777777" w:rsidR="003C38F1" w:rsidRPr="005D318C" w:rsidRDefault="00783E19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 w:rsidRPr="005D318C">
        <w:rPr>
          <w:rFonts w:ascii="Book Antiqua" w:hAnsi="Book Antiqua"/>
        </w:rPr>
        <w:t xml:space="preserve">Mr Chaudry in submissions suggested that the judge erred by taking the </w:t>
      </w:r>
      <w:r w:rsidR="003F4BE6" w:rsidRPr="005D318C">
        <w:rPr>
          <w:rFonts w:ascii="Book Antiqua" w:hAnsi="Book Antiqua"/>
        </w:rPr>
        <w:t xml:space="preserve">congruence with the background as a point against rather than in favour of the appellant, but that is not a fair reading either.  </w:t>
      </w:r>
      <w:r w:rsidR="00D83516" w:rsidRPr="005D318C">
        <w:rPr>
          <w:rFonts w:ascii="Book Antiqua" w:hAnsi="Book Antiqua"/>
        </w:rPr>
        <w:t>Consistency</w:t>
      </w:r>
      <w:r w:rsidR="003F4BE6" w:rsidRPr="005D318C">
        <w:rPr>
          <w:rFonts w:ascii="Book Antiqua" w:hAnsi="Book Antiqua"/>
        </w:rPr>
        <w:t xml:space="preserve"> with the background was </w:t>
      </w:r>
      <w:r w:rsidR="00D83516" w:rsidRPr="005D318C">
        <w:rPr>
          <w:rFonts w:ascii="Book Antiqua" w:hAnsi="Book Antiqua"/>
        </w:rPr>
        <w:t xml:space="preserve">treated as </w:t>
      </w:r>
      <w:r w:rsidR="003F4BE6" w:rsidRPr="005D318C">
        <w:rPr>
          <w:rFonts w:ascii="Book Antiqua" w:hAnsi="Book Antiqua"/>
        </w:rPr>
        <w:t>a point</w:t>
      </w:r>
      <w:r w:rsidR="00D83516" w:rsidRPr="005D318C">
        <w:rPr>
          <w:rFonts w:ascii="Book Antiqua" w:hAnsi="Book Antiqua"/>
        </w:rPr>
        <w:t xml:space="preserve"> either neutral or as tending, although not decisively, in his</w:t>
      </w:r>
      <w:r w:rsidR="00DD7BCE" w:rsidRPr="005D318C">
        <w:rPr>
          <w:rFonts w:ascii="Book Antiqua" w:hAnsi="Book Antiqua"/>
        </w:rPr>
        <w:t xml:space="preserve"> </w:t>
      </w:r>
      <w:r w:rsidR="00D83516" w:rsidRPr="005D318C">
        <w:rPr>
          <w:rFonts w:ascii="Book Antiqua" w:hAnsi="Book Antiqua"/>
        </w:rPr>
        <w:t>favour.  It was not held to be adverse.</w:t>
      </w:r>
    </w:p>
    <w:p w14:paraId="69B25281" w14:textId="77777777" w:rsidR="00DC2E03" w:rsidRDefault="003C38F1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Ground 3 (a) contends that the judge erred</w:t>
      </w:r>
      <w:r w:rsidR="001B5B23">
        <w:rPr>
          <w:rFonts w:ascii="Book Antiqua" w:hAnsi="Book Antiqua"/>
        </w:rPr>
        <w:t xml:space="preserve"> in thinking that the appellant’s </w:t>
      </w:r>
      <w:r w:rsidR="00A84D7D">
        <w:rPr>
          <w:rFonts w:ascii="Book Antiqua" w:hAnsi="Book Antiqua"/>
        </w:rPr>
        <w:t>parents</w:t>
      </w:r>
      <w:r w:rsidR="001B5B23">
        <w:rPr>
          <w:rFonts w:ascii="Book Antiqua" w:hAnsi="Book Antiqua"/>
        </w:rPr>
        <w:t xml:space="preserve"> could not have incurred large debts to loan sharks.</w:t>
      </w:r>
      <w:r w:rsidR="00A84D7D">
        <w:rPr>
          <w:rFonts w:ascii="Book Antiqua" w:hAnsi="Book Antiqua"/>
        </w:rPr>
        <w:t xml:space="preserve">  Mr Chaudry had cited to the FtT evidence showing that to be possible, and Mr Mullen so conceded.</w:t>
      </w:r>
      <w:r w:rsidR="000C2852">
        <w:rPr>
          <w:rFonts w:ascii="Book Antiqua" w:hAnsi="Book Antiqua"/>
        </w:rPr>
        <w:t xml:space="preserve">  However, the decision on this point </w:t>
      </w:r>
      <w:r w:rsidR="00580BBB">
        <w:rPr>
          <w:rFonts w:ascii="Book Antiqua" w:hAnsi="Book Antiqua"/>
        </w:rPr>
        <w:t>does not centre</w:t>
      </w:r>
      <w:r w:rsidR="000C2852">
        <w:rPr>
          <w:rFonts w:ascii="Book Antiqua" w:hAnsi="Book Antiqua"/>
        </w:rPr>
        <w:t xml:space="preserve"> on inherent unlikelihood.  The judge at paragraph 37</w:t>
      </w:r>
      <w:r w:rsidR="005E0FD9">
        <w:rPr>
          <w:rFonts w:ascii="Book Antiqua" w:hAnsi="Book Antiqua"/>
        </w:rPr>
        <w:t xml:space="preserve"> </w:t>
      </w:r>
      <w:r w:rsidR="004C7C3B">
        <w:rPr>
          <w:rFonts w:ascii="Book Antiqua" w:hAnsi="Book Antiqua"/>
        </w:rPr>
        <w:t>sai</w:t>
      </w:r>
      <w:r w:rsidR="005E0FD9">
        <w:rPr>
          <w:rFonts w:ascii="Book Antiqua" w:hAnsi="Book Antiqua"/>
        </w:rPr>
        <w:t xml:space="preserve">d the appellant’s evidence </w:t>
      </w:r>
      <w:r w:rsidR="004C7C3B">
        <w:rPr>
          <w:rFonts w:ascii="Book Antiqua" w:hAnsi="Book Antiqua"/>
        </w:rPr>
        <w:t xml:space="preserve">was </w:t>
      </w:r>
      <w:r w:rsidR="005E0FD9">
        <w:rPr>
          <w:rFonts w:ascii="Book Antiqua" w:hAnsi="Book Antiqua"/>
        </w:rPr>
        <w:t>vague</w:t>
      </w:r>
      <w:r w:rsidR="00D62C6C">
        <w:rPr>
          <w:rFonts w:ascii="Book Antiqua" w:hAnsi="Book Antiqua"/>
        </w:rPr>
        <w:t xml:space="preserve"> and unpersuasive</w:t>
      </w:r>
      <w:r w:rsidR="005E0FD9">
        <w:rPr>
          <w:rFonts w:ascii="Book Antiqua" w:hAnsi="Book Antiqua"/>
        </w:rPr>
        <w:t xml:space="preserve">; the sum was large; </w:t>
      </w:r>
      <w:r w:rsidR="00D62C6C">
        <w:rPr>
          <w:rFonts w:ascii="Book Antiqua" w:hAnsi="Book Antiqua"/>
        </w:rPr>
        <w:t xml:space="preserve">and </w:t>
      </w:r>
      <w:r w:rsidR="004C7C3B">
        <w:rPr>
          <w:rFonts w:ascii="Book Antiqua" w:hAnsi="Book Antiqua"/>
        </w:rPr>
        <w:t xml:space="preserve">that given the other documentation </w:t>
      </w:r>
      <w:r w:rsidR="00047C1F">
        <w:rPr>
          <w:rFonts w:ascii="Book Antiqua" w:hAnsi="Book Antiqua"/>
        </w:rPr>
        <w:t>presented, it was within the appellant’s ability to obtain detailed information.  He went on to doubt the alleged loss of contact with the appellant’s parents</w:t>
      </w:r>
      <w:r w:rsidR="00D85DD3">
        <w:rPr>
          <w:rFonts w:ascii="Book Antiqua" w:hAnsi="Book Antiqua"/>
        </w:rPr>
        <w:t>, and at paragraph 38 to find the account of a facetime call</w:t>
      </w:r>
      <w:r w:rsidR="00691F6D">
        <w:rPr>
          <w:rFonts w:ascii="Book Antiqua" w:hAnsi="Book Antiqua"/>
        </w:rPr>
        <w:t xml:space="preserve"> and the coincidences involved to be beyond credit.</w:t>
      </w:r>
      <w:r w:rsidR="00DC2E03">
        <w:rPr>
          <w:rFonts w:ascii="Book Antiqua" w:hAnsi="Book Antiqua"/>
        </w:rPr>
        <w:t xml:space="preserve">  This ground is a selective disagreement.</w:t>
      </w:r>
    </w:p>
    <w:p w14:paraId="791407AF" w14:textId="77777777" w:rsidR="00DC7C12" w:rsidRDefault="00DC2E03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Ground 3 (b) </w:t>
      </w:r>
      <w:r w:rsidR="00000652">
        <w:rPr>
          <w:rFonts w:ascii="Book Antiqua" w:hAnsi="Book Antiqua"/>
        </w:rPr>
        <w:t>criticises</w:t>
      </w:r>
      <w:r w:rsidR="00B23AF8">
        <w:rPr>
          <w:rFonts w:ascii="Book Antiqua" w:hAnsi="Book Antiqua"/>
        </w:rPr>
        <w:t xml:space="preserve"> the fi</w:t>
      </w:r>
      <w:r w:rsidR="00000652">
        <w:rPr>
          <w:rFonts w:ascii="Book Antiqua" w:hAnsi="Book Antiqua"/>
        </w:rPr>
        <w:t>n</w:t>
      </w:r>
      <w:r w:rsidR="00B23AF8">
        <w:rPr>
          <w:rFonts w:ascii="Book Antiqua" w:hAnsi="Book Antiqua"/>
        </w:rPr>
        <w:t>ding</w:t>
      </w:r>
      <w:r w:rsidR="002D2441">
        <w:rPr>
          <w:rFonts w:ascii="Book Antiqua" w:hAnsi="Book Antiqua"/>
        </w:rPr>
        <w:t xml:space="preserve"> of no risk on return because </w:t>
      </w:r>
      <w:r w:rsidR="00E22171">
        <w:rPr>
          <w:rFonts w:ascii="Book Antiqua" w:hAnsi="Book Antiqua"/>
        </w:rPr>
        <w:t xml:space="preserve">the judge identified “an indirect risk from people known to [the appellant’s] parents in a personal capacity in addition to the risk from loan sharks” and </w:t>
      </w:r>
      <w:r w:rsidR="007F7A9A">
        <w:rPr>
          <w:rFonts w:ascii="Book Antiqua" w:hAnsi="Book Antiqua"/>
        </w:rPr>
        <w:t>unlike the loan sharks, they would know of the appellant’s existence.</w:t>
      </w:r>
      <w:r w:rsidR="00A7162E">
        <w:rPr>
          <w:rFonts w:ascii="Book Antiqua" w:hAnsi="Book Antiqua"/>
        </w:rPr>
        <w:t xml:space="preserve"> This </w:t>
      </w:r>
      <w:r w:rsidR="00DC7C12">
        <w:rPr>
          <w:rFonts w:ascii="Book Antiqua" w:hAnsi="Book Antiqua"/>
        </w:rPr>
        <w:t>is</w:t>
      </w:r>
      <w:r w:rsidR="00A7162E">
        <w:rPr>
          <w:rFonts w:ascii="Book Antiqua" w:hAnsi="Book Antiqua"/>
        </w:rPr>
        <w:t xml:space="preserve"> said to </w:t>
      </w:r>
      <w:r w:rsidR="00DC7C12">
        <w:rPr>
          <w:rFonts w:ascii="Book Antiqua" w:hAnsi="Book Antiqua"/>
        </w:rPr>
        <w:t>be</w:t>
      </w:r>
      <w:r w:rsidR="00A7162E">
        <w:rPr>
          <w:rFonts w:ascii="Book Antiqua" w:hAnsi="Book Antiqua"/>
        </w:rPr>
        <w:t xml:space="preserve"> an error of failing to make fi</w:t>
      </w:r>
      <w:r w:rsidR="00DC7C12">
        <w:rPr>
          <w:rFonts w:ascii="Book Antiqua" w:hAnsi="Book Antiqua"/>
        </w:rPr>
        <w:t>n</w:t>
      </w:r>
      <w:r w:rsidR="00A7162E">
        <w:rPr>
          <w:rFonts w:ascii="Book Antiqua" w:hAnsi="Book Antiqua"/>
        </w:rPr>
        <w:t>dings on “additional risk factors”.</w:t>
      </w:r>
      <w:r w:rsidR="007F7A9A">
        <w:rPr>
          <w:rFonts w:ascii="Book Antiqua" w:hAnsi="Book Antiqua"/>
        </w:rPr>
        <w:t xml:space="preserve"> </w:t>
      </w:r>
      <w:r w:rsidR="00E22171">
        <w:rPr>
          <w:rFonts w:ascii="Book Antiqua" w:hAnsi="Book Antiqua"/>
        </w:rPr>
        <w:t xml:space="preserve"> </w:t>
      </w:r>
    </w:p>
    <w:p w14:paraId="1077C933" w14:textId="77777777" w:rsidR="00417E3F" w:rsidRDefault="00DC7C12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In submissions, Mr Chaudry wid</w:t>
      </w:r>
      <w:r w:rsidR="00FE1670">
        <w:rPr>
          <w:rFonts w:ascii="Book Antiqua" w:hAnsi="Book Antiqua"/>
        </w:rPr>
        <w:t>ened</w:t>
      </w:r>
      <w:r>
        <w:rPr>
          <w:rFonts w:ascii="Book Antiqua" w:hAnsi="Book Antiqua"/>
        </w:rPr>
        <w:t xml:space="preserve"> the challenge</w:t>
      </w:r>
      <w:r w:rsidR="00FE1670">
        <w:rPr>
          <w:rFonts w:ascii="Book Antiqua" w:hAnsi="Book Antiqua"/>
        </w:rPr>
        <w:t xml:space="preserve"> </w:t>
      </w:r>
      <w:r w:rsidR="00D95265">
        <w:rPr>
          <w:rFonts w:ascii="Book Antiqua" w:hAnsi="Book Antiqua"/>
        </w:rPr>
        <w:t>to</w:t>
      </w:r>
      <w:r w:rsidR="00FE1670">
        <w:rPr>
          <w:rFonts w:ascii="Book Antiqua" w:hAnsi="Book Antiqua"/>
        </w:rPr>
        <w:t xml:space="preserve"> go expressly against the judg</w:t>
      </w:r>
      <w:r w:rsidR="00E37C1F">
        <w:rPr>
          <w:rFonts w:ascii="Book Antiqua" w:hAnsi="Book Antiqua"/>
        </w:rPr>
        <w:t>e</w:t>
      </w:r>
      <w:r w:rsidR="00FE1670">
        <w:rPr>
          <w:rFonts w:ascii="Book Antiqua" w:hAnsi="Book Antiqua"/>
        </w:rPr>
        <w:t xml:space="preserve">’s conclusions on legal </w:t>
      </w:r>
      <w:r w:rsidR="00E37C1F">
        <w:rPr>
          <w:rFonts w:ascii="Book Antiqua" w:hAnsi="Book Antiqua"/>
        </w:rPr>
        <w:t>sufficiency</w:t>
      </w:r>
      <w:r w:rsidR="00FE1670">
        <w:rPr>
          <w:rFonts w:ascii="Book Antiqua" w:hAnsi="Book Antiqua"/>
        </w:rPr>
        <w:t xml:space="preserve"> of protection and on internal relocation</w:t>
      </w:r>
      <w:r w:rsidR="00384505">
        <w:rPr>
          <w:rFonts w:ascii="Book Antiqua" w:hAnsi="Book Antiqua"/>
        </w:rPr>
        <w:t>, and against fai</w:t>
      </w:r>
      <w:r w:rsidR="00E37C1F">
        <w:rPr>
          <w:rFonts w:ascii="Book Antiqua" w:hAnsi="Book Antiqua"/>
        </w:rPr>
        <w:t>l</w:t>
      </w:r>
      <w:r w:rsidR="00384505">
        <w:rPr>
          <w:rFonts w:ascii="Book Antiqua" w:hAnsi="Book Antiqua"/>
        </w:rPr>
        <w:t>ure</w:t>
      </w:r>
      <w:r w:rsidR="00417E3F">
        <w:rPr>
          <w:rFonts w:ascii="Book Antiqua" w:hAnsi="Book Antiqua"/>
        </w:rPr>
        <w:t xml:space="preserve"> </w:t>
      </w:r>
      <w:r w:rsidR="00384505">
        <w:rPr>
          <w:rFonts w:ascii="Book Antiqua" w:hAnsi="Book Antiqua"/>
        </w:rPr>
        <w:t xml:space="preserve">to deal with the case on </w:t>
      </w:r>
      <w:r w:rsidR="00FF65BC">
        <w:rPr>
          <w:rFonts w:ascii="Book Antiqua" w:hAnsi="Book Antiqua"/>
        </w:rPr>
        <w:t>humanitarian protection</w:t>
      </w:r>
      <w:r w:rsidR="00E37C1F">
        <w:rPr>
          <w:rFonts w:ascii="Book Antiqua" w:hAnsi="Book Antiqua"/>
        </w:rPr>
        <w:t xml:space="preserve">, article 3 and humanitarian protection as advanced in his </w:t>
      </w:r>
      <w:r w:rsidR="00417E3F">
        <w:rPr>
          <w:rFonts w:ascii="Book Antiqua" w:hAnsi="Book Antiqua"/>
        </w:rPr>
        <w:t>skeleton</w:t>
      </w:r>
      <w:r w:rsidR="00E37C1F">
        <w:rPr>
          <w:rFonts w:ascii="Book Antiqua" w:hAnsi="Book Antiqua"/>
        </w:rPr>
        <w:t xml:space="preserve"> argument in the FtT.</w:t>
      </w:r>
    </w:p>
    <w:p w14:paraId="5E6E707C" w14:textId="77777777" w:rsidR="004F04DB" w:rsidRDefault="00C66229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There is nothing to show a distinction between persons known to his parents and loan sharks in general which bears on risk to the appellant</w:t>
      </w:r>
      <w:r w:rsidR="004F04DB">
        <w:rPr>
          <w:rFonts w:ascii="Book Antiqua" w:hAnsi="Book Antiqua"/>
        </w:rPr>
        <w:t xml:space="preserve"> (</w:t>
      </w:r>
      <w:r>
        <w:rPr>
          <w:rFonts w:ascii="Book Antiqua" w:hAnsi="Book Antiqua"/>
        </w:rPr>
        <w:t>if that had been proved</w:t>
      </w:r>
      <w:r w:rsidR="004F04DB">
        <w:rPr>
          <w:rFonts w:ascii="Book Antiqua" w:hAnsi="Book Antiqua"/>
        </w:rPr>
        <w:t>)</w:t>
      </w:r>
      <w:r>
        <w:rPr>
          <w:rFonts w:ascii="Book Antiqua" w:hAnsi="Book Antiqua"/>
        </w:rPr>
        <w:t xml:space="preserve"> extending throughout Vietnam.</w:t>
      </w:r>
    </w:p>
    <w:p w14:paraId="4DDE1F69" w14:textId="77777777" w:rsidR="00645DB5" w:rsidRPr="00DB7C27" w:rsidRDefault="00C66229" w:rsidP="004161F8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 w:rsidRPr="00DB7C27">
        <w:rPr>
          <w:rFonts w:ascii="Book Antiqua" w:hAnsi="Book Antiqua"/>
        </w:rPr>
        <w:t xml:space="preserve">The judge did not err by </w:t>
      </w:r>
      <w:r w:rsidR="00645DB5" w:rsidRPr="00DB7C27">
        <w:rPr>
          <w:rFonts w:ascii="Book Antiqua" w:hAnsi="Book Antiqua"/>
        </w:rPr>
        <w:t>finding</w:t>
      </w:r>
      <w:r w:rsidR="00965C45" w:rsidRPr="00DB7C27">
        <w:rPr>
          <w:rFonts w:ascii="Book Antiqua" w:hAnsi="Book Antiqua"/>
        </w:rPr>
        <w:t>, although briefly and in the alternative</w:t>
      </w:r>
      <w:r w:rsidR="00645DB5" w:rsidRPr="00DB7C27">
        <w:rPr>
          <w:rFonts w:ascii="Book Antiqua" w:hAnsi="Book Antiqua"/>
        </w:rPr>
        <w:t>, that there was no risk throughout Vietnam.</w:t>
      </w:r>
    </w:p>
    <w:p w14:paraId="5D67DB3B" w14:textId="77777777" w:rsidR="00D16558" w:rsidRDefault="00B815CB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775BA9" wp14:editId="04043558">
                <wp:simplePos x="0" y="0"/>
                <wp:positionH relativeFrom="column">
                  <wp:posOffset>7217943</wp:posOffset>
                </wp:positionH>
                <wp:positionV relativeFrom="paragraph">
                  <wp:posOffset>309005</wp:posOffset>
                </wp:positionV>
                <wp:extent cx="360" cy="360"/>
                <wp:effectExtent l="38100" t="1905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AEC8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67.65pt;margin-top:23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">
                <v:imagedata r:id="rId10" o:title=""/>
              </v:shape>
            </w:pict>
          </mc:Fallback>
        </mc:AlternateContent>
      </w:r>
      <w:r w:rsidR="00645DB5">
        <w:rPr>
          <w:rFonts w:ascii="Book Antiqua" w:hAnsi="Book Antiqua"/>
        </w:rPr>
        <w:t xml:space="preserve">Failure to deal with the alternative case based on </w:t>
      </w:r>
      <w:r w:rsidR="009978DE">
        <w:rPr>
          <w:rFonts w:ascii="Book Antiqua" w:hAnsi="Book Antiqua"/>
        </w:rPr>
        <w:t>humanitarian</w:t>
      </w:r>
      <w:r w:rsidR="00645DB5">
        <w:rPr>
          <w:rFonts w:ascii="Book Antiqua" w:hAnsi="Book Antiqua"/>
        </w:rPr>
        <w:t xml:space="preserve"> protection</w:t>
      </w:r>
      <w:r w:rsidR="009978DE">
        <w:rPr>
          <w:rFonts w:ascii="Book Antiqua" w:hAnsi="Book Antiqua"/>
        </w:rPr>
        <w:t xml:space="preserve"> and</w:t>
      </w:r>
      <w:r w:rsidR="00645DB5">
        <w:rPr>
          <w:rFonts w:ascii="Book Antiqua" w:hAnsi="Book Antiqua"/>
        </w:rPr>
        <w:t xml:space="preserve"> article 3</w:t>
      </w:r>
      <w:r w:rsidR="009978DE">
        <w:rPr>
          <w:rFonts w:ascii="Book Antiqua" w:hAnsi="Book Antiqua"/>
        </w:rPr>
        <w:t xml:space="preserve"> is not alleged in the grounds.  In any event, such a case was vague; little more than nominal.</w:t>
      </w:r>
    </w:p>
    <w:p w14:paraId="74524956" w14:textId="77777777" w:rsidR="00645DB5" w:rsidRDefault="009978DE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There was no reference </w:t>
      </w:r>
      <w:r w:rsidR="00D16558">
        <w:rPr>
          <w:rFonts w:ascii="Book Antiqua" w:hAnsi="Book Antiqua"/>
        </w:rPr>
        <w:t xml:space="preserve">in the FtT or in the UT </w:t>
      </w:r>
      <w:r>
        <w:rPr>
          <w:rFonts w:ascii="Book Antiqua" w:hAnsi="Book Antiqua"/>
        </w:rPr>
        <w:t xml:space="preserve">to </w:t>
      </w:r>
      <w:r w:rsidR="00844848">
        <w:rPr>
          <w:rFonts w:ascii="Book Antiqua" w:hAnsi="Book Antiqua"/>
        </w:rPr>
        <w:t>material</w:t>
      </w:r>
      <w:r>
        <w:rPr>
          <w:rFonts w:ascii="Book Antiqua" w:hAnsi="Book Antiqua"/>
        </w:rPr>
        <w:t xml:space="preserve"> which might have </w:t>
      </w:r>
      <w:r w:rsidR="00844848">
        <w:rPr>
          <w:rFonts w:ascii="Book Antiqua" w:hAnsi="Book Antiqua"/>
        </w:rPr>
        <w:t>e</w:t>
      </w:r>
      <w:r>
        <w:rPr>
          <w:rFonts w:ascii="Book Antiqua" w:hAnsi="Book Antiqua"/>
        </w:rPr>
        <w:t xml:space="preserve">stablished, absent any risk of persecution, that </w:t>
      </w:r>
      <w:r w:rsidR="00D16558">
        <w:rPr>
          <w:rFonts w:ascii="Book Antiqua" w:hAnsi="Book Antiqua"/>
        </w:rPr>
        <w:t>t</w:t>
      </w:r>
      <w:r>
        <w:rPr>
          <w:rFonts w:ascii="Book Antiqua" w:hAnsi="Book Antiqua"/>
        </w:rPr>
        <w:t>he appellant was entitled to leave to remain in the U</w:t>
      </w:r>
      <w:r w:rsidR="00844848">
        <w:rPr>
          <w:rFonts w:ascii="Book Antiqua" w:hAnsi="Book Antiqua"/>
        </w:rPr>
        <w:t>K</w:t>
      </w:r>
      <w:r>
        <w:rPr>
          <w:rFonts w:ascii="Book Antiqua" w:hAnsi="Book Antiqua"/>
        </w:rPr>
        <w:t xml:space="preserve"> simply as an ordinary citizen of Vie</w:t>
      </w:r>
      <w:r w:rsidR="0028213C">
        <w:rPr>
          <w:rFonts w:ascii="Book Antiqua" w:hAnsi="Book Antiqua"/>
        </w:rPr>
        <w:t>tnam.</w:t>
      </w:r>
      <w:r>
        <w:rPr>
          <w:rFonts w:ascii="Book Antiqua" w:hAnsi="Book Antiqua"/>
        </w:rPr>
        <w:t xml:space="preserve">  </w:t>
      </w:r>
      <w:r w:rsidR="00645DB5">
        <w:rPr>
          <w:rFonts w:ascii="Book Antiqua" w:hAnsi="Book Antiqua"/>
        </w:rPr>
        <w:t xml:space="preserve"> </w:t>
      </w:r>
    </w:p>
    <w:p w14:paraId="13D45F75" w14:textId="77777777" w:rsidR="00321C6F" w:rsidRPr="005D318C" w:rsidRDefault="00B815CB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 w:rsidRPr="005D318C">
        <w:rPr>
          <w:rFonts w:ascii="Book Antiqua" w:hAnsi="Book Antiqua"/>
        </w:rPr>
        <w:t xml:space="preserve">The grounds and </w:t>
      </w:r>
      <w:r w:rsidR="005D318C" w:rsidRPr="005D318C">
        <w:rPr>
          <w:rFonts w:ascii="Book Antiqua" w:hAnsi="Book Antiqua"/>
        </w:rPr>
        <w:t>submissions</w:t>
      </w:r>
      <w:r w:rsidRPr="005D318C">
        <w:rPr>
          <w:rFonts w:ascii="Book Antiqua" w:hAnsi="Book Antiqua"/>
        </w:rPr>
        <w:t xml:space="preserve"> do not show that</w:t>
      </w:r>
      <w:r w:rsidR="005D318C" w:rsidRPr="005D318C">
        <w:rPr>
          <w:rFonts w:ascii="Book Antiqua" w:hAnsi="Book Antiqua"/>
        </w:rPr>
        <w:t xml:space="preserve"> the making of the decision of the FtT involved the making of any error on</w:t>
      </w:r>
      <w:r w:rsidR="005D318C">
        <w:rPr>
          <w:rFonts w:ascii="Book Antiqua" w:hAnsi="Book Antiqua"/>
        </w:rPr>
        <w:t xml:space="preserve"> </w:t>
      </w:r>
      <w:r w:rsidR="005D318C" w:rsidRPr="005D318C">
        <w:rPr>
          <w:rFonts w:ascii="Book Antiqua" w:hAnsi="Book Antiqua"/>
        </w:rPr>
        <w:t>a point of law, such that it ought to be set aside.  That</w:t>
      </w:r>
      <w:r w:rsidR="00321C6F" w:rsidRPr="005D318C">
        <w:rPr>
          <w:rFonts w:ascii="Book Antiqua" w:hAnsi="Book Antiqua" w:cs="Arial"/>
        </w:rPr>
        <w:t xml:space="preserve"> </w:t>
      </w:r>
      <w:r w:rsidR="008A64A7" w:rsidRPr="005D318C">
        <w:rPr>
          <w:rFonts w:ascii="Book Antiqua" w:hAnsi="Book Antiqua" w:cs="Arial"/>
        </w:rPr>
        <w:t>de</w:t>
      </w:r>
      <w:r w:rsidR="00DA3D04" w:rsidRPr="005D318C">
        <w:rPr>
          <w:rFonts w:ascii="Book Antiqua" w:hAnsi="Book Antiqua" w:cs="Arial"/>
        </w:rPr>
        <w:t>cision</w:t>
      </w:r>
      <w:r w:rsidR="008A64A7" w:rsidRPr="005D318C">
        <w:rPr>
          <w:rFonts w:ascii="Book Antiqua" w:hAnsi="Book Antiqua" w:cs="Arial"/>
        </w:rPr>
        <w:t xml:space="preserve"> shall stand</w:t>
      </w:r>
      <w:r w:rsidR="00321C6F" w:rsidRPr="005D318C">
        <w:rPr>
          <w:rFonts w:ascii="Book Antiqua" w:hAnsi="Book Antiqua" w:cs="Arial"/>
        </w:rPr>
        <w:t>.</w:t>
      </w:r>
    </w:p>
    <w:p w14:paraId="555EBEAE" w14:textId="77777777" w:rsidR="00321C6F" w:rsidRPr="00306BDE" w:rsidRDefault="00321C6F" w:rsidP="00321C6F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 w:rsidRPr="00306BDE">
        <w:rPr>
          <w:rFonts w:ascii="Book Antiqua" w:hAnsi="Book Antiqua" w:cs="Arial"/>
        </w:rPr>
        <w:t>No</w:t>
      </w:r>
      <w:r w:rsidRPr="00306BDE">
        <w:rPr>
          <w:rFonts w:ascii="Book Antiqua" w:hAnsi="Book Antiqua"/>
        </w:rPr>
        <w:t xml:space="preserve"> anonymity direction has been requested or made.</w:t>
      </w:r>
    </w:p>
    <w:p w14:paraId="2EC5F560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14:paraId="7B632762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14:paraId="25EACDB1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E0046" w:rsidRPr="009445D2">
        <w:rPr>
          <w:noProof/>
          <w:sz w:val="22"/>
          <w:szCs w:val="22"/>
        </w:rPr>
        <w:drawing>
          <wp:inline distT="0" distB="0" distL="0" distR="0" wp14:anchorId="307F275E" wp14:editId="1916160B">
            <wp:extent cx="1533525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9E24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="00B061C6">
        <w:rPr>
          <w:rFonts w:ascii="Book Antiqua" w:hAnsi="Book Antiqua" w:cs="Arial"/>
        </w:rPr>
        <w:t>6</w:t>
      </w:r>
      <w:r w:rsidR="00306BDE">
        <w:rPr>
          <w:rFonts w:ascii="Book Antiqua" w:hAnsi="Book Antiqua" w:cs="Arial"/>
        </w:rPr>
        <w:t xml:space="preserve"> July </w:t>
      </w:r>
      <w:r w:rsidR="000B442A">
        <w:rPr>
          <w:rFonts w:ascii="Book Antiqua" w:hAnsi="Book Antiqua" w:cs="Arial"/>
        </w:rPr>
        <w:t>20</w:t>
      </w:r>
      <w:r w:rsidR="00A810D2">
        <w:rPr>
          <w:rFonts w:ascii="Book Antiqua" w:hAnsi="Book Antiqua" w:cs="Arial"/>
        </w:rPr>
        <w:t>1</w:t>
      </w:r>
      <w:r w:rsidR="00B170ED">
        <w:rPr>
          <w:rFonts w:ascii="Book Antiqua" w:hAnsi="Book Antiqua" w:cs="Arial"/>
        </w:rPr>
        <w:t>8</w:t>
      </w:r>
      <w:r>
        <w:rPr>
          <w:rFonts w:ascii="Book Antiqua" w:hAnsi="Book Antiqua" w:cs="Arial"/>
        </w:rPr>
        <w:t xml:space="preserve"> </w:t>
      </w:r>
    </w:p>
    <w:p w14:paraId="1BE6994E" w14:textId="77777777" w:rsidR="00321C6F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>Upper Tribunal Judge Macleman</w:t>
      </w:r>
    </w:p>
    <w:p w14:paraId="78941116" w14:textId="77777777" w:rsidR="00933B65" w:rsidRPr="00F97703" w:rsidRDefault="00933B65" w:rsidP="00933B65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</w:p>
    <w:p w14:paraId="63606B55" w14:textId="77777777" w:rsidR="00266FFE" w:rsidRDefault="00266FFE"/>
    <w:p w14:paraId="05027CEA" w14:textId="77777777" w:rsidR="006D2D9A" w:rsidRDefault="006D2D9A"/>
    <w:sectPr w:rsidR="006D2D9A" w:rsidSect="00614E94">
      <w:headerReference w:type="default" r:id="rId12"/>
      <w:footerReference w:type="default" r:id="rId13"/>
      <w:footerReference w:type="first" r:id="rId14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4DE26" w14:textId="77777777" w:rsidR="00AC733A" w:rsidRDefault="00AC733A">
      <w:r>
        <w:separator/>
      </w:r>
    </w:p>
  </w:endnote>
  <w:endnote w:type="continuationSeparator" w:id="0">
    <w:p w14:paraId="15EA1015" w14:textId="77777777" w:rsidR="00AC733A" w:rsidRDefault="00AC7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15695" w14:textId="77777777" w:rsidR="008D4782" w:rsidRPr="00593795" w:rsidRDefault="008D4782" w:rsidP="00614E94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0A6D06">
      <w:rPr>
        <w:rStyle w:val="PageNumber"/>
        <w:rFonts w:ascii="Arial" w:hAnsi="Arial" w:cs="Arial"/>
        <w:noProof/>
        <w:sz w:val="16"/>
        <w:szCs w:val="16"/>
      </w:rPr>
      <w:t>2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7BFDD" w14:textId="77777777" w:rsidR="008D4782" w:rsidRPr="00090CF9" w:rsidRDefault="008D4782" w:rsidP="00614E94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>
      <w:rPr>
        <w:rFonts w:ascii="Arial" w:hAnsi="Arial" w:cs="Arial"/>
        <w:b/>
      </w:rPr>
      <w:t xml:space="preserve"> CROWN COPYRIGHT</w:t>
    </w:r>
    <w:r w:rsidR="000A6D06">
      <w:rPr>
        <w:rFonts w:ascii="Arial" w:hAnsi="Arial" w:cs="Arial"/>
        <w:b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36AD9" w14:textId="77777777" w:rsidR="00AC733A" w:rsidRDefault="00AC733A">
      <w:r>
        <w:separator/>
      </w:r>
    </w:p>
  </w:footnote>
  <w:footnote w:type="continuationSeparator" w:id="0">
    <w:p w14:paraId="67C01127" w14:textId="77777777" w:rsidR="00AC733A" w:rsidRDefault="00AC7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9C935" w14:textId="77777777" w:rsidR="008D4782" w:rsidRPr="003C5CE5" w:rsidRDefault="003F4091" w:rsidP="00614E94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PA051082017</w:t>
    </w:r>
    <w:r w:rsidR="008D4782">
      <w:rPr>
        <w:rFonts w:ascii="Arial" w:hAnsi="Arial" w:cs="Arial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EB8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2F8132D6"/>
    <w:multiLevelType w:val="hybridMultilevel"/>
    <w:tmpl w:val="CE449280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BAA4D2A-C319-41DE-BC2F-6E1149FFB2E7}"/>
    <w:docVar w:name="dgnword-eventsink" w:val="242408496"/>
  </w:docVars>
  <w:rsids>
    <w:rsidRoot w:val="00933B65"/>
    <w:rsid w:val="00000652"/>
    <w:rsid w:val="00005159"/>
    <w:rsid w:val="00007BAC"/>
    <w:rsid w:val="00047C1F"/>
    <w:rsid w:val="00050F40"/>
    <w:rsid w:val="000777B7"/>
    <w:rsid w:val="00087C41"/>
    <w:rsid w:val="00097878"/>
    <w:rsid w:val="000A6D06"/>
    <w:rsid w:val="000B3627"/>
    <w:rsid w:val="000B442A"/>
    <w:rsid w:val="000C2852"/>
    <w:rsid w:val="000D1C17"/>
    <w:rsid w:val="001103E2"/>
    <w:rsid w:val="00117089"/>
    <w:rsid w:val="00122AB9"/>
    <w:rsid w:val="00172233"/>
    <w:rsid w:val="00184269"/>
    <w:rsid w:val="001B5B23"/>
    <w:rsid w:val="001C49E9"/>
    <w:rsid w:val="001C7CE9"/>
    <w:rsid w:val="001D6343"/>
    <w:rsid w:val="001E0145"/>
    <w:rsid w:val="001F22DA"/>
    <w:rsid w:val="001F3A81"/>
    <w:rsid w:val="001F5D87"/>
    <w:rsid w:val="002065B8"/>
    <w:rsid w:val="002135A6"/>
    <w:rsid w:val="00213A12"/>
    <w:rsid w:val="002154EF"/>
    <w:rsid w:val="00224440"/>
    <w:rsid w:val="00225036"/>
    <w:rsid w:val="00226ADE"/>
    <w:rsid w:val="00266FFE"/>
    <w:rsid w:val="00274F92"/>
    <w:rsid w:val="0028213C"/>
    <w:rsid w:val="00291034"/>
    <w:rsid w:val="002A1555"/>
    <w:rsid w:val="002C2C5D"/>
    <w:rsid w:val="002C683E"/>
    <w:rsid w:val="002D2441"/>
    <w:rsid w:val="002D4324"/>
    <w:rsid w:val="00306BDE"/>
    <w:rsid w:val="00321C6F"/>
    <w:rsid w:val="00334F0A"/>
    <w:rsid w:val="00355A6C"/>
    <w:rsid w:val="0035609D"/>
    <w:rsid w:val="003812EE"/>
    <w:rsid w:val="00384505"/>
    <w:rsid w:val="003B344B"/>
    <w:rsid w:val="003C1934"/>
    <w:rsid w:val="003C38F1"/>
    <w:rsid w:val="003D7D3D"/>
    <w:rsid w:val="003D7F34"/>
    <w:rsid w:val="003E2942"/>
    <w:rsid w:val="003E49BC"/>
    <w:rsid w:val="003E6445"/>
    <w:rsid w:val="003F4091"/>
    <w:rsid w:val="003F4BE6"/>
    <w:rsid w:val="004161F8"/>
    <w:rsid w:val="004171D0"/>
    <w:rsid w:val="00417E3F"/>
    <w:rsid w:val="00441640"/>
    <w:rsid w:val="004541E5"/>
    <w:rsid w:val="0046122D"/>
    <w:rsid w:val="00470675"/>
    <w:rsid w:val="004A012D"/>
    <w:rsid w:val="004C7C3B"/>
    <w:rsid w:val="004D4D16"/>
    <w:rsid w:val="004E5CA3"/>
    <w:rsid w:val="004F04DB"/>
    <w:rsid w:val="004F320C"/>
    <w:rsid w:val="004F544C"/>
    <w:rsid w:val="00500A65"/>
    <w:rsid w:val="00503A42"/>
    <w:rsid w:val="00506F8C"/>
    <w:rsid w:val="00513527"/>
    <w:rsid w:val="00541A29"/>
    <w:rsid w:val="0057020B"/>
    <w:rsid w:val="00580BBB"/>
    <w:rsid w:val="00590CEE"/>
    <w:rsid w:val="00594CA2"/>
    <w:rsid w:val="00595C55"/>
    <w:rsid w:val="005A1712"/>
    <w:rsid w:val="005D318C"/>
    <w:rsid w:val="005E0FD9"/>
    <w:rsid w:val="005F6D40"/>
    <w:rsid w:val="00614020"/>
    <w:rsid w:val="00614E94"/>
    <w:rsid w:val="00625C56"/>
    <w:rsid w:val="0063091E"/>
    <w:rsid w:val="00633C76"/>
    <w:rsid w:val="00645DB5"/>
    <w:rsid w:val="0065091A"/>
    <w:rsid w:val="00657E4A"/>
    <w:rsid w:val="00691F6D"/>
    <w:rsid w:val="006B65B3"/>
    <w:rsid w:val="006D2D9A"/>
    <w:rsid w:val="006D7C16"/>
    <w:rsid w:val="006E3DE1"/>
    <w:rsid w:val="0071083B"/>
    <w:rsid w:val="00734D2D"/>
    <w:rsid w:val="007412E0"/>
    <w:rsid w:val="0076110D"/>
    <w:rsid w:val="007679C7"/>
    <w:rsid w:val="00774C7C"/>
    <w:rsid w:val="00783E19"/>
    <w:rsid w:val="00794255"/>
    <w:rsid w:val="007C3892"/>
    <w:rsid w:val="007F7538"/>
    <w:rsid w:val="007F7A9A"/>
    <w:rsid w:val="0080137B"/>
    <w:rsid w:val="0080239D"/>
    <w:rsid w:val="00810338"/>
    <w:rsid w:val="00814AB2"/>
    <w:rsid w:val="00840622"/>
    <w:rsid w:val="00843AA3"/>
    <w:rsid w:val="0084433E"/>
    <w:rsid w:val="00844848"/>
    <w:rsid w:val="00861DE2"/>
    <w:rsid w:val="00871789"/>
    <w:rsid w:val="00882E9E"/>
    <w:rsid w:val="008832E8"/>
    <w:rsid w:val="008A64A7"/>
    <w:rsid w:val="008A6DF7"/>
    <w:rsid w:val="008B5B9B"/>
    <w:rsid w:val="008C1EA3"/>
    <w:rsid w:val="008C2761"/>
    <w:rsid w:val="008C624B"/>
    <w:rsid w:val="008C6D4E"/>
    <w:rsid w:val="008D4782"/>
    <w:rsid w:val="008F2CE1"/>
    <w:rsid w:val="008F4441"/>
    <w:rsid w:val="008F68C7"/>
    <w:rsid w:val="00923BA9"/>
    <w:rsid w:val="00926DE2"/>
    <w:rsid w:val="00933B65"/>
    <w:rsid w:val="00947876"/>
    <w:rsid w:val="009503BF"/>
    <w:rsid w:val="009518FC"/>
    <w:rsid w:val="00965C45"/>
    <w:rsid w:val="009701EB"/>
    <w:rsid w:val="009978DE"/>
    <w:rsid w:val="009B277E"/>
    <w:rsid w:val="009C4585"/>
    <w:rsid w:val="009E3D21"/>
    <w:rsid w:val="009E5AE5"/>
    <w:rsid w:val="009F361B"/>
    <w:rsid w:val="00A00D18"/>
    <w:rsid w:val="00A31AAB"/>
    <w:rsid w:val="00A6334D"/>
    <w:rsid w:val="00A7162E"/>
    <w:rsid w:val="00A810D2"/>
    <w:rsid w:val="00A84D7D"/>
    <w:rsid w:val="00A86A8D"/>
    <w:rsid w:val="00AA199C"/>
    <w:rsid w:val="00AA25A1"/>
    <w:rsid w:val="00AA5502"/>
    <w:rsid w:val="00AA7BB4"/>
    <w:rsid w:val="00AC733A"/>
    <w:rsid w:val="00AD31CF"/>
    <w:rsid w:val="00AD4520"/>
    <w:rsid w:val="00AE1144"/>
    <w:rsid w:val="00B061C6"/>
    <w:rsid w:val="00B170ED"/>
    <w:rsid w:val="00B23AF8"/>
    <w:rsid w:val="00B52844"/>
    <w:rsid w:val="00B53D15"/>
    <w:rsid w:val="00B63BBC"/>
    <w:rsid w:val="00B815CB"/>
    <w:rsid w:val="00B87B69"/>
    <w:rsid w:val="00BA6261"/>
    <w:rsid w:val="00BA6927"/>
    <w:rsid w:val="00BB2B34"/>
    <w:rsid w:val="00BB470C"/>
    <w:rsid w:val="00BB69F4"/>
    <w:rsid w:val="00BC0611"/>
    <w:rsid w:val="00BC220A"/>
    <w:rsid w:val="00BC2BF6"/>
    <w:rsid w:val="00BC6054"/>
    <w:rsid w:val="00BE34CF"/>
    <w:rsid w:val="00BF66DB"/>
    <w:rsid w:val="00C01F6A"/>
    <w:rsid w:val="00C15A7E"/>
    <w:rsid w:val="00C40F28"/>
    <w:rsid w:val="00C44EB3"/>
    <w:rsid w:val="00C51B29"/>
    <w:rsid w:val="00C628F1"/>
    <w:rsid w:val="00C66229"/>
    <w:rsid w:val="00CA447A"/>
    <w:rsid w:val="00CD5AEE"/>
    <w:rsid w:val="00CF0FE6"/>
    <w:rsid w:val="00D02C7F"/>
    <w:rsid w:val="00D16558"/>
    <w:rsid w:val="00D31D54"/>
    <w:rsid w:val="00D44C2B"/>
    <w:rsid w:val="00D62C6C"/>
    <w:rsid w:val="00D83516"/>
    <w:rsid w:val="00D85DD3"/>
    <w:rsid w:val="00D95265"/>
    <w:rsid w:val="00DA2B5F"/>
    <w:rsid w:val="00DA3D04"/>
    <w:rsid w:val="00DB06FA"/>
    <w:rsid w:val="00DB36FC"/>
    <w:rsid w:val="00DB4246"/>
    <w:rsid w:val="00DB7C27"/>
    <w:rsid w:val="00DC2E03"/>
    <w:rsid w:val="00DC699D"/>
    <w:rsid w:val="00DC7C12"/>
    <w:rsid w:val="00DD7BCE"/>
    <w:rsid w:val="00E158DD"/>
    <w:rsid w:val="00E22171"/>
    <w:rsid w:val="00E24418"/>
    <w:rsid w:val="00E26076"/>
    <w:rsid w:val="00E37C1F"/>
    <w:rsid w:val="00E53DE2"/>
    <w:rsid w:val="00E54372"/>
    <w:rsid w:val="00EA0F97"/>
    <w:rsid w:val="00EA3D98"/>
    <w:rsid w:val="00EA4A1A"/>
    <w:rsid w:val="00EA7BA3"/>
    <w:rsid w:val="00EE3AF0"/>
    <w:rsid w:val="00EE6CE7"/>
    <w:rsid w:val="00F04D76"/>
    <w:rsid w:val="00F10C82"/>
    <w:rsid w:val="00F125AD"/>
    <w:rsid w:val="00F40619"/>
    <w:rsid w:val="00F47052"/>
    <w:rsid w:val="00F648C0"/>
    <w:rsid w:val="00F85C8A"/>
    <w:rsid w:val="00FA0A2E"/>
    <w:rsid w:val="00FA2A43"/>
    <w:rsid w:val="00FA7FC0"/>
    <w:rsid w:val="00FB0516"/>
    <w:rsid w:val="00FC2B44"/>
    <w:rsid w:val="00FC5370"/>
    <w:rsid w:val="00FD62B7"/>
    <w:rsid w:val="00FE0046"/>
    <w:rsid w:val="00FE1670"/>
    <w:rsid w:val="00FF48BE"/>
    <w:rsid w:val="00FF59A8"/>
    <w:rsid w:val="00FF65BC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B7663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D18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3560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5609D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06T09:36:13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2210,'0'0'0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441C9-C776-41FC-9D03-025ABAD94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1157</Words>
  <Characters>5644</Characters>
  <Application>Microsoft Office Word</Application>
  <DocSecurity>0</DocSecurity>
  <Lines>47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2018-07-24T10:32:00Z</dcterms:created>
  <dcterms:modified xsi:type="dcterms:W3CDTF">2018-07-24T10:32:00Z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