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3700F" w14:textId="77777777" w:rsidR="00F812EE" w:rsidRPr="00F97703" w:rsidRDefault="00F812EE" w:rsidP="00F812EE">
      <w:pPr>
        <w:rPr>
          <w:rFonts w:ascii="Book Antiqua" w:hAnsi="Book Antiqua" w:cs="Arial"/>
          <w:color w:val="000000"/>
          <w:sz w:val="16"/>
          <w:szCs w:val="16"/>
        </w:rPr>
      </w:pPr>
    </w:p>
    <w:p w14:paraId="446EEE61" w14:textId="77777777" w:rsidR="00F812EE" w:rsidRDefault="00F812EE" w:rsidP="00F812EE">
      <w:pPr>
        <w:jc w:val="center"/>
        <w:rPr>
          <w:rFonts w:ascii="Book Antiqua" w:hAnsi="Book Antiqua" w:cs="Arial"/>
          <w:color w:val="000000"/>
        </w:rPr>
      </w:pPr>
      <w:r>
        <w:rPr>
          <w:noProof/>
        </w:rPr>
        <w:drawing>
          <wp:inline distT="0" distB="0" distL="0" distR="0" wp14:anchorId="75F0DA9A" wp14:editId="5F4A7A5A">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14:paraId="6EBBCD89" w14:textId="77777777" w:rsidR="00F812EE" w:rsidRPr="00F97703" w:rsidRDefault="00F812EE" w:rsidP="00F812EE">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35C8F9DB" w14:textId="170809AB" w:rsidR="00F812EE" w:rsidRPr="00F97703" w:rsidRDefault="00F812EE" w:rsidP="00F812EE">
      <w:pPr>
        <w:tabs>
          <w:tab w:val="right" w:pos="9720"/>
        </w:tabs>
        <w:ind w:right="-82"/>
        <w:rPr>
          <w:rFonts w:ascii="Book Antiqua" w:hAnsi="Book Antiqua" w:cs="Arial"/>
          <w:color w:val="000000"/>
        </w:rPr>
      </w:pPr>
      <w:r w:rsidRPr="00F97703">
        <w:rPr>
          <w:rFonts w:ascii="Book Antiqua" w:hAnsi="Book Antiqua" w:cs="Arial"/>
          <w:b/>
          <w:color w:val="000000"/>
        </w:rPr>
        <w:t>(</w:t>
      </w:r>
      <w:r w:rsidR="00B9362A">
        <w:rPr>
          <w:rFonts w:ascii="Book Antiqua" w:hAnsi="Book Antiqua" w:cs="Arial"/>
          <w:b/>
          <w:color w:val="000000"/>
        </w:rPr>
        <w:t xml:space="preserve">Immigration and Asylum </w:t>
      </w:r>
      <w:proofErr w:type="gramStart"/>
      <w:r w:rsidR="00B9362A">
        <w:rPr>
          <w:rFonts w:ascii="Book Antiqua" w:hAnsi="Book Antiqua" w:cs="Arial"/>
          <w:b/>
          <w:color w:val="000000"/>
        </w:rPr>
        <w:t xml:space="preserve">Chamber)   </w:t>
      </w:r>
      <w:proofErr w:type="gramEnd"/>
      <w:r w:rsidR="00B9362A">
        <w:rPr>
          <w:rFonts w:ascii="Book Antiqua" w:hAnsi="Book Antiqua" w:cs="Arial"/>
          <w:b/>
          <w:color w:val="000000"/>
        </w:rPr>
        <w:t xml:space="preserve">                </w:t>
      </w:r>
      <w:r w:rsidRPr="00B9362A">
        <w:rPr>
          <w:rFonts w:ascii="Book Antiqua" w:hAnsi="Book Antiqua" w:cs="Arial"/>
          <w:b/>
          <w:color w:val="000000"/>
        </w:rPr>
        <w:t xml:space="preserve">Appeal Number: </w:t>
      </w:r>
      <w:r w:rsidR="00CE5570" w:rsidRPr="00B9362A">
        <w:rPr>
          <w:rFonts w:ascii="Book Antiqua" w:hAnsi="Book Antiqua" w:cs="Arial"/>
          <w:b/>
          <w:color w:val="000000"/>
        </w:rPr>
        <w:t>PA/</w:t>
      </w:r>
      <w:r w:rsidR="00E324DF" w:rsidRPr="00B9362A">
        <w:rPr>
          <w:rFonts w:ascii="Book Antiqua" w:hAnsi="Book Antiqua" w:cs="Arial"/>
          <w:b/>
          <w:color w:val="000000"/>
        </w:rPr>
        <w:t>05335/2017</w:t>
      </w:r>
    </w:p>
    <w:p w14:paraId="7A260E69" w14:textId="77777777" w:rsidR="00F812EE" w:rsidRPr="00F97703" w:rsidRDefault="00F812EE" w:rsidP="00F812EE">
      <w:pPr>
        <w:jc w:val="center"/>
        <w:rPr>
          <w:rFonts w:ascii="Book Antiqua" w:hAnsi="Book Antiqua" w:cs="Arial"/>
          <w:color w:val="000000"/>
        </w:rPr>
      </w:pPr>
    </w:p>
    <w:p w14:paraId="2103D9C4" w14:textId="3F4A83DC" w:rsidR="00F812EE" w:rsidRDefault="00F812EE" w:rsidP="00F812EE">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696FA3B0" w14:textId="77777777" w:rsidR="00165072" w:rsidRPr="00165072" w:rsidRDefault="00165072" w:rsidP="00165072">
      <w:pPr>
        <w:suppressAutoHyphens/>
        <w:jc w:val="center"/>
        <w:rPr>
          <w:rFonts w:ascii="Palatino" w:eastAsia="Palatino" w:hAnsi="Palatino" w:cs="Palatino"/>
          <w:b/>
          <w:bCs/>
          <w:u w:val="single"/>
        </w:rPr>
      </w:pPr>
    </w:p>
    <w:tbl>
      <w:tblPr>
        <w:tblW w:w="0" w:type="auto"/>
        <w:tblLayout w:type="fixed"/>
        <w:tblLook w:val="0000" w:firstRow="0" w:lastRow="0" w:firstColumn="0" w:lastColumn="0" w:noHBand="0" w:noVBand="0"/>
      </w:tblPr>
      <w:tblGrid>
        <w:gridCol w:w="4418"/>
        <w:gridCol w:w="5410"/>
      </w:tblGrid>
      <w:tr w:rsidR="00165072" w:rsidRPr="00165072" w14:paraId="6BCD32B8" w14:textId="77777777" w:rsidTr="00C00301">
        <w:tc>
          <w:tcPr>
            <w:tcW w:w="4418" w:type="dxa"/>
            <w:shd w:val="clear" w:color="auto" w:fill="auto"/>
          </w:tcPr>
          <w:p w14:paraId="7AE78D3F" w14:textId="1A6E2CFB" w:rsidR="00165072" w:rsidRPr="00165072" w:rsidRDefault="00165072" w:rsidP="00165072">
            <w:pPr>
              <w:suppressAutoHyphens/>
              <w:snapToGrid w:val="0"/>
              <w:jc w:val="both"/>
              <w:rPr>
                <w:rFonts w:ascii="Book Antiqua" w:hAnsi="Book Antiqua"/>
              </w:rPr>
            </w:pPr>
            <w:r>
              <w:rPr>
                <w:rFonts w:ascii="Book Antiqua" w:hAnsi="Book Antiqua" w:cs="Palatino"/>
                <w:b/>
                <w:bCs/>
              </w:rPr>
              <w:t>Heard at Glasgow</w:t>
            </w:r>
          </w:p>
        </w:tc>
        <w:tc>
          <w:tcPr>
            <w:tcW w:w="5410" w:type="dxa"/>
            <w:shd w:val="clear" w:color="auto" w:fill="auto"/>
          </w:tcPr>
          <w:p w14:paraId="2022A2D3" w14:textId="317C6ED9" w:rsidR="00165072" w:rsidRPr="00165072" w:rsidRDefault="00165072" w:rsidP="00165072">
            <w:pPr>
              <w:suppressAutoHyphens/>
              <w:snapToGrid w:val="0"/>
              <w:rPr>
                <w:rFonts w:ascii="Book Antiqua" w:hAnsi="Book Antiqua"/>
              </w:rPr>
            </w:pPr>
            <w:r>
              <w:rPr>
                <w:rFonts w:ascii="Book Antiqua" w:eastAsia="Palatino" w:hAnsi="Book Antiqua" w:cs="Palatino"/>
                <w:b/>
                <w:bCs/>
                <w:color w:val="000000"/>
              </w:rPr>
              <w:t xml:space="preserve">          </w:t>
            </w:r>
            <w:r w:rsidRPr="00165072">
              <w:rPr>
                <w:rFonts w:ascii="Book Antiqua" w:eastAsia="Palatino" w:hAnsi="Book Antiqua" w:cs="Palatino"/>
                <w:b/>
                <w:bCs/>
                <w:color w:val="000000"/>
              </w:rPr>
              <w:t xml:space="preserve">Decision and Reasons </w:t>
            </w:r>
            <w:r w:rsidRPr="00165072">
              <w:rPr>
                <w:rFonts w:ascii="Book Antiqua" w:hAnsi="Book Antiqua" w:cs="Palatino"/>
                <w:b/>
                <w:bCs/>
                <w:color w:val="000000"/>
              </w:rPr>
              <w:t xml:space="preserve">Promulgated </w:t>
            </w:r>
          </w:p>
        </w:tc>
      </w:tr>
      <w:tr w:rsidR="00165072" w:rsidRPr="00165072" w14:paraId="491D31D4" w14:textId="77777777" w:rsidTr="00C00301">
        <w:tc>
          <w:tcPr>
            <w:tcW w:w="4418" w:type="dxa"/>
            <w:shd w:val="clear" w:color="auto" w:fill="auto"/>
          </w:tcPr>
          <w:p w14:paraId="3A1FB448" w14:textId="5D9DFD3E" w:rsidR="00165072" w:rsidRPr="00165072" w:rsidRDefault="00165072" w:rsidP="00165072">
            <w:pPr>
              <w:suppressAutoHyphens/>
              <w:snapToGrid w:val="0"/>
              <w:jc w:val="both"/>
              <w:rPr>
                <w:rFonts w:ascii="Book Antiqua" w:hAnsi="Book Antiqua"/>
              </w:rPr>
            </w:pPr>
            <w:r>
              <w:rPr>
                <w:rFonts w:ascii="Book Antiqua" w:hAnsi="Book Antiqua" w:cs="Palatino"/>
                <w:b/>
                <w:bCs/>
              </w:rPr>
              <w:t>on 26 July</w:t>
            </w:r>
            <w:r w:rsidRPr="00165072">
              <w:rPr>
                <w:rFonts w:ascii="Book Antiqua" w:eastAsia="Arial" w:hAnsi="Book Antiqua" w:cs="Palatino"/>
                <w:b/>
                <w:bCs/>
              </w:rPr>
              <w:t xml:space="preserve"> 2018</w:t>
            </w:r>
          </w:p>
        </w:tc>
        <w:tc>
          <w:tcPr>
            <w:tcW w:w="5410" w:type="dxa"/>
            <w:shd w:val="clear" w:color="auto" w:fill="auto"/>
          </w:tcPr>
          <w:p w14:paraId="6D53F64F" w14:textId="61E3E8ED" w:rsidR="00165072" w:rsidRPr="00165072" w:rsidRDefault="00165072" w:rsidP="00165072">
            <w:pPr>
              <w:suppressAutoHyphens/>
              <w:snapToGrid w:val="0"/>
              <w:rPr>
                <w:rFonts w:ascii="Book Antiqua" w:hAnsi="Book Antiqua"/>
              </w:rPr>
            </w:pPr>
            <w:r>
              <w:rPr>
                <w:rFonts w:ascii="Book Antiqua" w:hAnsi="Book Antiqua" w:cs="Palatino"/>
                <w:b/>
                <w:bCs/>
                <w:color w:val="000000"/>
              </w:rPr>
              <w:t xml:space="preserve">          on</w:t>
            </w:r>
            <w:r w:rsidRPr="00165072">
              <w:rPr>
                <w:rFonts w:ascii="Book Antiqua" w:hAnsi="Book Antiqua" w:cs="Palatino"/>
                <w:b/>
                <w:bCs/>
                <w:color w:val="000000"/>
              </w:rPr>
              <w:t xml:space="preserve"> </w:t>
            </w:r>
            <w:r>
              <w:rPr>
                <w:rFonts w:ascii="Book Antiqua" w:hAnsi="Book Antiqua" w:cs="Palatino"/>
                <w:b/>
                <w:bCs/>
                <w:color w:val="000000"/>
              </w:rPr>
              <w:t>7</w:t>
            </w:r>
            <w:r w:rsidRPr="00165072">
              <w:rPr>
                <w:rFonts w:ascii="Book Antiqua" w:hAnsi="Book Antiqua" w:cs="Palatino"/>
                <w:b/>
                <w:bCs/>
                <w:color w:val="000000"/>
              </w:rPr>
              <w:t xml:space="preserve"> September 2018</w:t>
            </w:r>
          </w:p>
        </w:tc>
      </w:tr>
    </w:tbl>
    <w:p w14:paraId="000D790C" w14:textId="77777777" w:rsidR="00165072" w:rsidRPr="00165072" w:rsidRDefault="00165072" w:rsidP="00165072">
      <w:pPr>
        <w:suppressAutoHyphens/>
        <w:jc w:val="center"/>
        <w:rPr>
          <w:rFonts w:ascii="Palatino" w:hAnsi="Palatino" w:cs="Palatino"/>
          <w:b/>
          <w:bCs/>
        </w:rPr>
      </w:pPr>
    </w:p>
    <w:p w14:paraId="64614B3A" w14:textId="77777777" w:rsidR="002A3038" w:rsidRDefault="002A3038" w:rsidP="00F812EE">
      <w:pPr>
        <w:jc w:val="center"/>
        <w:rPr>
          <w:rFonts w:ascii="Book Antiqua" w:hAnsi="Book Antiqua" w:cs="Arial"/>
          <w:b/>
        </w:rPr>
      </w:pPr>
    </w:p>
    <w:p w14:paraId="407729A3" w14:textId="2A679F91" w:rsidR="00F812EE" w:rsidRPr="00F97703" w:rsidRDefault="00F812EE" w:rsidP="00F812EE">
      <w:pPr>
        <w:jc w:val="center"/>
        <w:rPr>
          <w:rFonts w:ascii="Book Antiqua" w:hAnsi="Book Antiqua" w:cs="Arial"/>
          <w:b/>
        </w:rPr>
      </w:pPr>
      <w:r w:rsidRPr="00F97703">
        <w:rPr>
          <w:rFonts w:ascii="Book Antiqua" w:hAnsi="Book Antiqua" w:cs="Arial"/>
          <w:b/>
        </w:rPr>
        <w:t>Before</w:t>
      </w:r>
    </w:p>
    <w:p w14:paraId="36852337" w14:textId="77777777" w:rsidR="00F812EE" w:rsidRPr="00F97703" w:rsidRDefault="00F812EE" w:rsidP="00F812EE">
      <w:pPr>
        <w:jc w:val="center"/>
        <w:rPr>
          <w:rFonts w:ascii="Book Antiqua" w:hAnsi="Book Antiqua" w:cs="Arial"/>
          <w:b/>
        </w:rPr>
      </w:pPr>
    </w:p>
    <w:p w14:paraId="2CA4B605" w14:textId="77777777" w:rsidR="00F812EE" w:rsidRPr="00F97703" w:rsidRDefault="00CE6AAE" w:rsidP="00F812EE">
      <w:pPr>
        <w:jc w:val="center"/>
        <w:rPr>
          <w:rFonts w:ascii="Book Antiqua" w:hAnsi="Book Antiqua" w:cs="Arial"/>
          <w:b/>
          <w:color w:val="000000"/>
        </w:rPr>
      </w:pPr>
      <w:r>
        <w:rPr>
          <w:rFonts w:ascii="Book Antiqua" w:hAnsi="Book Antiqua" w:cs="Arial"/>
          <w:b/>
          <w:color w:val="000000"/>
        </w:rPr>
        <w:t xml:space="preserve">DEPUTY </w:t>
      </w:r>
      <w:r w:rsidR="00F812EE">
        <w:rPr>
          <w:rFonts w:ascii="Book Antiqua" w:hAnsi="Book Antiqua" w:cs="Arial"/>
          <w:b/>
          <w:color w:val="000000"/>
        </w:rPr>
        <w:t xml:space="preserve">UPPER TRIBUNAL </w:t>
      </w:r>
      <w:r w:rsidR="007F34AE">
        <w:rPr>
          <w:rFonts w:ascii="Book Antiqua" w:hAnsi="Book Antiqua" w:cs="Arial"/>
          <w:b/>
          <w:color w:val="000000"/>
        </w:rPr>
        <w:t xml:space="preserve">JUDGE </w:t>
      </w:r>
      <w:r>
        <w:rPr>
          <w:rFonts w:ascii="Book Antiqua" w:hAnsi="Book Antiqua" w:cs="Arial"/>
          <w:b/>
          <w:color w:val="000000"/>
        </w:rPr>
        <w:t>DEANS</w:t>
      </w:r>
      <w:r w:rsidR="00F812EE">
        <w:rPr>
          <w:rFonts w:ascii="Book Antiqua" w:hAnsi="Book Antiqua" w:cs="Arial"/>
          <w:b/>
          <w:color w:val="000000"/>
        </w:rPr>
        <w:t xml:space="preserve"> </w:t>
      </w:r>
    </w:p>
    <w:p w14:paraId="45E7AAC5" w14:textId="77777777" w:rsidR="00F812EE" w:rsidRPr="00F97703" w:rsidRDefault="00F812EE" w:rsidP="00F812EE">
      <w:pPr>
        <w:jc w:val="center"/>
        <w:rPr>
          <w:rFonts w:ascii="Book Antiqua" w:hAnsi="Book Antiqua" w:cs="Arial"/>
          <w:b/>
        </w:rPr>
      </w:pPr>
    </w:p>
    <w:p w14:paraId="638F0FF2" w14:textId="77777777" w:rsidR="00F812EE" w:rsidRDefault="00F812EE" w:rsidP="00F812EE">
      <w:pPr>
        <w:jc w:val="center"/>
        <w:rPr>
          <w:rFonts w:ascii="Book Antiqua" w:hAnsi="Book Antiqua" w:cs="Arial"/>
          <w:b/>
        </w:rPr>
      </w:pPr>
      <w:r w:rsidRPr="00F97703">
        <w:rPr>
          <w:rFonts w:ascii="Book Antiqua" w:hAnsi="Book Antiqua" w:cs="Arial"/>
          <w:b/>
        </w:rPr>
        <w:t>Between</w:t>
      </w:r>
    </w:p>
    <w:p w14:paraId="0263A297" w14:textId="77777777" w:rsidR="00F812EE" w:rsidRDefault="00F812EE" w:rsidP="00F812EE">
      <w:pPr>
        <w:jc w:val="center"/>
        <w:rPr>
          <w:rFonts w:ascii="Book Antiqua" w:hAnsi="Book Antiqua" w:cs="Arial"/>
          <w:b/>
        </w:rPr>
      </w:pPr>
    </w:p>
    <w:p w14:paraId="43612F01" w14:textId="53E45901" w:rsidR="00F812EE" w:rsidRDefault="0004789C" w:rsidP="00F812EE">
      <w:pPr>
        <w:jc w:val="center"/>
        <w:rPr>
          <w:rFonts w:ascii="Book Antiqua" w:hAnsi="Book Antiqua" w:cs="Arial"/>
          <w:b/>
        </w:rPr>
      </w:pPr>
      <w:r>
        <w:rPr>
          <w:rFonts w:ascii="Book Antiqua" w:hAnsi="Book Antiqua" w:cs="Arial"/>
          <w:b/>
        </w:rPr>
        <w:t>MR NASIR SALIM</w:t>
      </w:r>
    </w:p>
    <w:p w14:paraId="7A376802" w14:textId="4BB0F4F2" w:rsidR="00A635E1" w:rsidRPr="00B9362A" w:rsidRDefault="00B9362A" w:rsidP="00F812EE">
      <w:pPr>
        <w:jc w:val="center"/>
        <w:rPr>
          <w:rFonts w:ascii="Book Antiqua" w:hAnsi="Book Antiqua" w:cs="Arial"/>
        </w:rPr>
      </w:pPr>
      <w:r w:rsidRPr="00B9362A">
        <w:rPr>
          <w:rFonts w:ascii="Book Antiqua" w:hAnsi="Book Antiqua" w:cs="Arial"/>
        </w:rPr>
        <w:t>(NO ANONYMITY DIRECTION MADE)</w:t>
      </w:r>
    </w:p>
    <w:p w14:paraId="02552365" w14:textId="77777777" w:rsidR="00F812EE" w:rsidRPr="00F97703" w:rsidRDefault="00F812EE" w:rsidP="00F812EE">
      <w:pPr>
        <w:jc w:val="right"/>
        <w:rPr>
          <w:rFonts w:ascii="Book Antiqua" w:hAnsi="Book Antiqua" w:cs="Arial"/>
          <w:u w:val="single"/>
        </w:rPr>
      </w:pPr>
      <w:r w:rsidRPr="00F97703">
        <w:rPr>
          <w:rFonts w:ascii="Book Antiqua" w:hAnsi="Book Antiqua" w:cs="Arial"/>
          <w:u w:val="single"/>
        </w:rPr>
        <w:t>Appellant</w:t>
      </w:r>
    </w:p>
    <w:p w14:paraId="65994CD1" w14:textId="77777777" w:rsidR="00B9362A" w:rsidRDefault="00B9362A" w:rsidP="00F812EE">
      <w:pPr>
        <w:jc w:val="center"/>
        <w:rPr>
          <w:rFonts w:ascii="Book Antiqua" w:hAnsi="Book Antiqua" w:cs="Arial"/>
          <w:b/>
        </w:rPr>
      </w:pPr>
    </w:p>
    <w:p w14:paraId="173B7EA2" w14:textId="5EB1C9D8" w:rsidR="00F812EE" w:rsidRPr="00F97703" w:rsidRDefault="00F812EE" w:rsidP="00F812EE">
      <w:pPr>
        <w:jc w:val="center"/>
        <w:rPr>
          <w:rFonts w:ascii="Book Antiqua" w:hAnsi="Book Antiqua" w:cs="Arial"/>
          <w:b/>
        </w:rPr>
      </w:pPr>
      <w:r w:rsidRPr="00F97703">
        <w:rPr>
          <w:rFonts w:ascii="Book Antiqua" w:hAnsi="Book Antiqua" w:cs="Arial"/>
          <w:b/>
        </w:rPr>
        <w:t>and</w:t>
      </w:r>
    </w:p>
    <w:p w14:paraId="6075D562" w14:textId="4524D69A" w:rsidR="00F812EE" w:rsidRDefault="00F812EE" w:rsidP="00F812EE">
      <w:pPr>
        <w:jc w:val="center"/>
        <w:rPr>
          <w:rFonts w:ascii="Book Antiqua" w:hAnsi="Book Antiqua" w:cs="Arial"/>
          <w:b/>
        </w:rPr>
      </w:pPr>
    </w:p>
    <w:p w14:paraId="3149A245" w14:textId="02DC2E5D" w:rsidR="00B9362A" w:rsidRPr="00F97703" w:rsidRDefault="00B9362A" w:rsidP="00F812EE">
      <w:pPr>
        <w:jc w:val="center"/>
        <w:rPr>
          <w:rFonts w:ascii="Book Antiqua" w:hAnsi="Book Antiqua" w:cs="Arial"/>
          <w:b/>
        </w:rPr>
      </w:pPr>
      <w:r>
        <w:rPr>
          <w:rFonts w:ascii="Book Antiqua" w:hAnsi="Book Antiqua" w:cs="Arial"/>
          <w:b/>
        </w:rPr>
        <w:t>THE SECRETARY OF STATE FOR THE HOME DEPARTMENT</w:t>
      </w:r>
    </w:p>
    <w:p w14:paraId="092CA2A8" w14:textId="77777777" w:rsidR="00F812EE" w:rsidRPr="00F97703" w:rsidRDefault="00F812EE" w:rsidP="00F812EE">
      <w:pPr>
        <w:jc w:val="right"/>
        <w:rPr>
          <w:rFonts w:ascii="Book Antiqua" w:hAnsi="Book Antiqua" w:cs="Arial"/>
          <w:u w:val="single"/>
        </w:rPr>
      </w:pPr>
      <w:r w:rsidRPr="00F97703">
        <w:rPr>
          <w:rFonts w:ascii="Book Antiqua" w:hAnsi="Book Antiqua" w:cs="Arial"/>
          <w:u w:val="single"/>
        </w:rPr>
        <w:t>Respondent</w:t>
      </w:r>
    </w:p>
    <w:p w14:paraId="1068B437" w14:textId="77777777" w:rsidR="00F812EE" w:rsidRPr="00F97703" w:rsidRDefault="00F812EE" w:rsidP="00F812EE">
      <w:pPr>
        <w:rPr>
          <w:rFonts w:ascii="Book Antiqua" w:hAnsi="Book Antiqua" w:cs="Arial"/>
        </w:rPr>
      </w:pPr>
    </w:p>
    <w:p w14:paraId="1B427A40" w14:textId="2200CF04" w:rsidR="00B9362A" w:rsidRPr="00B9362A" w:rsidRDefault="00B9362A" w:rsidP="00F812EE">
      <w:pPr>
        <w:tabs>
          <w:tab w:val="left" w:pos="2520"/>
        </w:tabs>
        <w:rPr>
          <w:rFonts w:ascii="Book Antiqua" w:hAnsi="Book Antiqua" w:cs="Arial"/>
          <w:b/>
          <w:u w:val="single"/>
        </w:rPr>
      </w:pPr>
      <w:r>
        <w:rPr>
          <w:rFonts w:ascii="Book Antiqua" w:hAnsi="Book Antiqua" w:cs="Arial"/>
          <w:b/>
          <w:u w:val="single"/>
        </w:rPr>
        <w:t>Representation:</w:t>
      </w:r>
    </w:p>
    <w:p w14:paraId="46EDEA4A" w14:textId="77777777" w:rsidR="00B9362A" w:rsidRDefault="00B9362A" w:rsidP="00F812EE">
      <w:pPr>
        <w:tabs>
          <w:tab w:val="left" w:pos="2520"/>
        </w:tabs>
        <w:rPr>
          <w:rFonts w:ascii="Book Antiqua" w:hAnsi="Book Antiqua" w:cs="Arial"/>
        </w:rPr>
      </w:pPr>
    </w:p>
    <w:p w14:paraId="1BD669C4" w14:textId="6058BA3F" w:rsidR="00F812EE" w:rsidRPr="00F97703" w:rsidRDefault="00F812EE" w:rsidP="00F812EE">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Pr>
          <w:rFonts w:ascii="Book Antiqua" w:hAnsi="Book Antiqua" w:cs="Arial"/>
        </w:rPr>
        <w:t>M</w:t>
      </w:r>
      <w:r w:rsidR="0004789C">
        <w:rPr>
          <w:rFonts w:ascii="Book Antiqua" w:hAnsi="Book Antiqua" w:cs="Arial"/>
        </w:rPr>
        <w:t>s J McCallum</w:t>
      </w:r>
      <w:r>
        <w:rPr>
          <w:rFonts w:ascii="Book Antiqua" w:hAnsi="Book Antiqua" w:cs="Arial"/>
        </w:rPr>
        <w:t xml:space="preserve">, </w:t>
      </w:r>
      <w:proofErr w:type="spellStart"/>
      <w:r w:rsidR="0004789C">
        <w:rPr>
          <w:rFonts w:ascii="Book Antiqua" w:hAnsi="Book Antiqua" w:cs="Arial"/>
        </w:rPr>
        <w:t>Latta</w:t>
      </w:r>
      <w:proofErr w:type="spellEnd"/>
      <w:r w:rsidR="0004789C">
        <w:rPr>
          <w:rFonts w:ascii="Book Antiqua" w:hAnsi="Book Antiqua" w:cs="Arial"/>
        </w:rPr>
        <w:t xml:space="preserve"> &amp; Co, Soli</w:t>
      </w:r>
      <w:r>
        <w:rPr>
          <w:rFonts w:ascii="Book Antiqua" w:hAnsi="Book Antiqua" w:cs="Arial"/>
        </w:rPr>
        <w:t>citors</w:t>
      </w:r>
    </w:p>
    <w:p w14:paraId="0BA43822" w14:textId="4BE8DC7B" w:rsidR="00F812EE" w:rsidRPr="00F97703" w:rsidRDefault="00F812EE" w:rsidP="00F812EE">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Pr>
          <w:rFonts w:ascii="Book Antiqua" w:hAnsi="Book Antiqua" w:cs="Arial"/>
        </w:rPr>
        <w:t xml:space="preserve">Mr </w:t>
      </w:r>
      <w:r w:rsidR="0004789C">
        <w:rPr>
          <w:rFonts w:ascii="Book Antiqua" w:hAnsi="Book Antiqua" w:cs="Arial"/>
        </w:rPr>
        <w:t>A Govan</w:t>
      </w:r>
      <w:r>
        <w:rPr>
          <w:rFonts w:ascii="Book Antiqua" w:hAnsi="Book Antiqua" w:cs="Arial"/>
        </w:rPr>
        <w:t>, Senior Home Office Presenting Officer</w:t>
      </w:r>
    </w:p>
    <w:p w14:paraId="360A1F1C" w14:textId="77777777" w:rsidR="00F812EE" w:rsidRPr="00F97703" w:rsidRDefault="00F812EE" w:rsidP="00F812EE">
      <w:pPr>
        <w:tabs>
          <w:tab w:val="left" w:pos="2520"/>
        </w:tabs>
        <w:jc w:val="center"/>
        <w:rPr>
          <w:rFonts w:ascii="Book Antiqua" w:hAnsi="Book Antiqua" w:cs="Arial"/>
        </w:rPr>
      </w:pPr>
    </w:p>
    <w:p w14:paraId="3D5835D6" w14:textId="77777777" w:rsidR="00F812EE" w:rsidRPr="002B54F9" w:rsidRDefault="00F812EE" w:rsidP="00F812EE">
      <w:pPr>
        <w:tabs>
          <w:tab w:val="left" w:pos="2520"/>
        </w:tabs>
        <w:jc w:val="center"/>
        <w:rPr>
          <w:rFonts w:ascii="Book Antiqua" w:hAnsi="Book Antiqua" w:cs="Arial"/>
          <w:sz w:val="20"/>
          <w:szCs w:val="20"/>
        </w:rPr>
      </w:pPr>
      <w:r w:rsidRPr="00F97703">
        <w:rPr>
          <w:rFonts w:ascii="Book Antiqua" w:hAnsi="Book Antiqua" w:cs="Arial"/>
          <w:b/>
          <w:u w:val="single"/>
        </w:rPr>
        <w:t>DE</w:t>
      </w:r>
      <w:r w:rsidR="00CE6AAE">
        <w:rPr>
          <w:rFonts w:ascii="Book Antiqua" w:hAnsi="Book Antiqua" w:cs="Arial"/>
          <w:b/>
          <w:u w:val="single"/>
        </w:rPr>
        <w:t>CIS</w:t>
      </w:r>
      <w:r w:rsidRPr="00F97703">
        <w:rPr>
          <w:rFonts w:ascii="Book Antiqua" w:hAnsi="Book Antiqua" w:cs="Arial"/>
          <w:b/>
          <w:u w:val="single"/>
        </w:rPr>
        <w:t>ION AND REASONS</w:t>
      </w:r>
    </w:p>
    <w:p w14:paraId="7C162336" w14:textId="77777777" w:rsidR="00457380" w:rsidRDefault="00457380"/>
    <w:p w14:paraId="7851D1F7" w14:textId="58BD2CB6" w:rsidR="002863BD" w:rsidRDefault="00261ADE" w:rsidP="002863BD">
      <w:pPr>
        <w:pStyle w:val="ListParagraph"/>
        <w:numPr>
          <w:ilvl w:val="0"/>
          <w:numId w:val="1"/>
        </w:numPr>
        <w:rPr>
          <w:rFonts w:ascii="Book Antiqua" w:hAnsi="Book Antiqua"/>
        </w:rPr>
      </w:pPr>
      <w:r w:rsidRPr="00C64898">
        <w:rPr>
          <w:rFonts w:ascii="Book Antiqua" w:hAnsi="Book Antiqua"/>
        </w:rPr>
        <w:t xml:space="preserve">This is an appeal against a </w:t>
      </w:r>
      <w:r w:rsidR="00C64898" w:rsidRPr="00C64898">
        <w:rPr>
          <w:rFonts w:ascii="Book Antiqua" w:hAnsi="Book Antiqua"/>
        </w:rPr>
        <w:t>decision by Judge of the First-tier Tribunal</w:t>
      </w:r>
      <w:r w:rsidR="00C64898">
        <w:rPr>
          <w:rFonts w:ascii="Book Antiqua" w:hAnsi="Book Antiqua"/>
        </w:rPr>
        <w:t xml:space="preserve"> Clough dismissing an appeal on protection and human rights grounds.</w:t>
      </w:r>
    </w:p>
    <w:p w14:paraId="6C69373A" w14:textId="77777777" w:rsidR="00185ABB" w:rsidRDefault="00185ABB" w:rsidP="00185ABB">
      <w:pPr>
        <w:pStyle w:val="ListParagraph"/>
        <w:rPr>
          <w:rFonts w:ascii="Book Antiqua" w:hAnsi="Book Antiqua"/>
        </w:rPr>
      </w:pPr>
    </w:p>
    <w:p w14:paraId="163FCAC7" w14:textId="1B78A89B" w:rsidR="00C64898" w:rsidRDefault="00C64898" w:rsidP="002863BD">
      <w:pPr>
        <w:pStyle w:val="ListParagraph"/>
        <w:numPr>
          <w:ilvl w:val="0"/>
          <w:numId w:val="1"/>
        </w:numPr>
        <w:rPr>
          <w:rFonts w:ascii="Book Antiqua" w:hAnsi="Book Antiqua"/>
        </w:rPr>
      </w:pPr>
      <w:r>
        <w:rPr>
          <w:rFonts w:ascii="Book Antiqua" w:hAnsi="Book Antiqua"/>
        </w:rPr>
        <w:t xml:space="preserve">The appellant was born on 5 February 1984 and is a national of Somalia.  The respondent accepted that he is from Chula island and the Judge of the First-tier Tribunal accepted the appellant’s evidence that he is of </w:t>
      </w:r>
      <w:proofErr w:type="spellStart"/>
      <w:r>
        <w:rPr>
          <w:rFonts w:ascii="Book Antiqua" w:hAnsi="Book Antiqua"/>
        </w:rPr>
        <w:t>Bajuni</w:t>
      </w:r>
      <w:proofErr w:type="spellEnd"/>
      <w:r>
        <w:rPr>
          <w:rFonts w:ascii="Book Antiqua" w:hAnsi="Book Antiqua"/>
        </w:rPr>
        <w:t xml:space="preserve"> ethnicity.  The judge dismissed the appeal </w:t>
      </w:r>
      <w:proofErr w:type="gramStart"/>
      <w:r>
        <w:rPr>
          <w:rFonts w:ascii="Book Antiqua" w:hAnsi="Book Antiqua"/>
        </w:rPr>
        <w:t>on the grounds that</w:t>
      </w:r>
      <w:proofErr w:type="gramEnd"/>
      <w:r>
        <w:rPr>
          <w:rFonts w:ascii="Book Antiqua" w:hAnsi="Book Antiqua"/>
        </w:rPr>
        <w:t xml:space="preserve"> although the appellant could not return to Chula there was a viable alternative of relocation to Mogadishu.</w:t>
      </w:r>
    </w:p>
    <w:p w14:paraId="7EE8F196" w14:textId="77777777" w:rsidR="00185ABB" w:rsidRPr="00185ABB" w:rsidRDefault="00185ABB" w:rsidP="00185ABB">
      <w:pPr>
        <w:rPr>
          <w:rFonts w:ascii="Book Antiqua" w:hAnsi="Book Antiqua"/>
        </w:rPr>
      </w:pPr>
    </w:p>
    <w:p w14:paraId="12E57C2B" w14:textId="5909E496" w:rsidR="00C64898" w:rsidRDefault="00C64898" w:rsidP="002863BD">
      <w:pPr>
        <w:pStyle w:val="ListParagraph"/>
        <w:numPr>
          <w:ilvl w:val="0"/>
          <w:numId w:val="1"/>
        </w:numPr>
        <w:rPr>
          <w:rFonts w:ascii="Book Antiqua" w:hAnsi="Book Antiqua"/>
        </w:rPr>
      </w:pPr>
      <w:r>
        <w:rPr>
          <w:rFonts w:ascii="Book Antiqua" w:hAnsi="Book Antiqua"/>
        </w:rPr>
        <w:lastRenderedPageBreak/>
        <w:t xml:space="preserve"> The decision of the First-tier Tribunal was challenged upon </w:t>
      </w:r>
      <w:proofErr w:type="gramStart"/>
      <w:r>
        <w:rPr>
          <w:rFonts w:ascii="Book Antiqua" w:hAnsi="Book Antiqua"/>
        </w:rPr>
        <w:t>a number of</w:t>
      </w:r>
      <w:proofErr w:type="gramEnd"/>
      <w:r>
        <w:rPr>
          <w:rFonts w:ascii="Book Antiqua" w:hAnsi="Book Antiqua"/>
        </w:rPr>
        <w:t xml:space="preserve"> grounds, among which were that (1) the judge’s decision on relocation gave insufficient regard to an expert report by Dr </w:t>
      </w:r>
      <w:proofErr w:type="spellStart"/>
      <w:r>
        <w:rPr>
          <w:rFonts w:ascii="Book Antiqua" w:hAnsi="Book Antiqua"/>
        </w:rPr>
        <w:t>Bekalo</w:t>
      </w:r>
      <w:proofErr w:type="spellEnd"/>
      <w:r>
        <w:rPr>
          <w:rFonts w:ascii="Book Antiqua" w:hAnsi="Book Antiqua"/>
        </w:rPr>
        <w:t xml:space="preserve">; and (2) the judge had not properly applied the case law and, in particular, the country guideline case of </w:t>
      </w:r>
      <w:r>
        <w:rPr>
          <w:rFonts w:ascii="Book Antiqua" w:hAnsi="Book Antiqua"/>
          <w:u w:val="single"/>
        </w:rPr>
        <w:t xml:space="preserve">MOJ &amp; </w:t>
      </w:r>
      <w:proofErr w:type="spellStart"/>
      <w:r>
        <w:rPr>
          <w:rFonts w:ascii="Book Antiqua" w:hAnsi="Book Antiqua"/>
          <w:u w:val="single"/>
        </w:rPr>
        <w:t>Ors</w:t>
      </w:r>
      <w:proofErr w:type="spellEnd"/>
      <w:r>
        <w:rPr>
          <w:rFonts w:ascii="Book Antiqua" w:hAnsi="Book Antiqua"/>
          <w:u w:val="single"/>
        </w:rPr>
        <w:t xml:space="preserve"> (Return to Mogadishu) Somalia</w:t>
      </w:r>
      <w:r>
        <w:rPr>
          <w:rFonts w:ascii="Book Antiqua" w:hAnsi="Book Antiqua"/>
        </w:rPr>
        <w:t xml:space="preserve"> CG [2014] UKUT 00442.</w:t>
      </w:r>
    </w:p>
    <w:p w14:paraId="6B933930" w14:textId="77777777" w:rsidR="00185ABB" w:rsidRPr="00185ABB" w:rsidRDefault="00185ABB" w:rsidP="00185ABB">
      <w:pPr>
        <w:rPr>
          <w:rFonts w:ascii="Book Antiqua" w:hAnsi="Book Antiqua"/>
        </w:rPr>
      </w:pPr>
    </w:p>
    <w:p w14:paraId="7A689A4B" w14:textId="08F08660" w:rsidR="001E70D6" w:rsidRDefault="00C64898" w:rsidP="002863BD">
      <w:pPr>
        <w:pStyle w:val="ListParagraph"/>
        <w:numPr>
          <w:ilvl w:val="0"/>
          <w:numId w:val="1"/>
        </w:numPr>
        <w:rPr>
          <w:rFonts w:ascii="Book Antiqua" w:hAnsi="Book Antiqua"/>
        </w:rPr>
      </w:pPr>
      <w:r>
        <w:rPr>
          <w:rFonts w:ascii="Book Antiqua" w:hAnsi="Book Antiqua"/>
        </w:rPr>
        <w:t xml:space="preserve">At the hearing before me Mr Govan, for the respondent, </w:t>
      </w:r>
      <w:r w:rsidR="001E70D6">
        <w:rPr>
          <w:rFonts w:ascii="Book Antiqua" w:hAnsi="Book Antiqua"/>
        </w:rPr>
        <w:t>indicated that the decision of the First-tier Tribunal contained nothing to show that the judge had weighed the expert</w:t>
      </w:r>
      <w:r w:rsidR="00185ABB">
        <w:rPr>
          <w:rFonts w:ascii="Book Antiqua" w:hAnsi="Book Antiqua"/>
        </w:rPr>
        <w:t>’s</w:t>
      </w:r>
      <w:r w:rsidR="001E70D6">
        <w:rPr>
          <w:rFonts w:ascii="Book Antiqua" w:hAnsi="Book Antiqua"/>
        </w:rPr>
        <w:t xml:space="preserve"> report in accordance with the decision in </w:t>
      </w:r>
      <w:r w:rsidR="001E70D6">
        <w:rPr>
          <w:rFonts w:ascii="Book Antiqua" w:hAnsi="Book Antiqua"/>
          <w:u w:val="single"/>
        </w:rPr>
        <w:t xml:space="preserve">MOJ &amp; </w:t>
      </w:r>
      <w:proofErr w:type="spellStart"/>
      <w:r w:rsidR="001E70D6">
        <w:rPr>
          <w:rFonts w:ascii="Book Antiqua" w:hAnsi="Book Antiqua"/>
          <w:u w:val="single"/>
        </w:rPr>
        <w:t>Ors</w:t>
      </w:r>
      <w:proofErr w:type="spellEnd"/>
      <w:r w:rsidR="001E70D6">
        <w:rPr>
          <w:rFonts w:ascii="Book Antiqua" w:hAnsi="Book Antiqua"/>
        </w:rPr>
        <w:t>.  The appeal would not be contested on behalf of the respondent.</w:t>
      </w:r>
    </w:p>
    <w:p w14:paraId="0E5FBF42" w14:textId="77777777" w:rsidR="00185ABB" w:rsidRPr="00185ABB" w:rsidRDefault="00185ABB" w:rsidP="00185ABB">
      <w:pPr>
        <w:rPr>
          <w:rFonts w:ascii="Book Antiqua" w:hAnsi="Book Antiqua"/>
        </w:rPr>
      </w:pPr>
    </w:p>
    <w:p w14:paraId="12BDFC0D" w14:textId="42DCCBA6" w:rsidR="00C64898" w:rsidRDefault="001E70D6" w:rsidP="002863BD">
      <w:pPr>
        <w:pStyle w:val="ListParagraph"/>
        <w:numPr>
          <w:ilvl w:val="0"/>
          <w:numId w:val="1"/>
        </w:numPr>
        <w:rPr>
          <w:rFonts w:ascii="Book Antiqua" w:hAnsi="Book Antiqua"/>
        </w:rPr>
      </w:pPr>
      <w:proofErr w:type="gramStart"/>
      <w:r>
        <w:rPr>
          <w:rFonts w:ascii="Book Antiqua" w:hAnsi="Book Antiqua"/>
        </w:rPr>
        <w:t>Taking into account</w:t>
      </w:r>
      <w:proofErr w:type="gramEnd"/>
      <w:r>
        <w:rPr>
          <w:rFonts w:ascii="Book Antiqua" w:hAnsi="Book Antiqua"/>
        </w:rPr>
        <w:t xml:space="preserve"> the extent </w:t>
      </w:r>
      <w:r w:rsidR="00CA0CF5">
        <w:rPr>
          <w:rFonts w:ascii="Book Antiqua" w:hAnsi="Book Antiqua"/>
        </w:rPr>
        <w:t>of agreement between</w:t>
      </w:r>
      <w:r>
        <w:rPr>
          <w:rFonts w:ascii="Book Antiqua" w:hAnsi="Book Antiqua"/>
        </w:rPr>
        <w:t xml:space="preserve"> the parties I am satisfied that the Judge of the First-tier Tribunal erred in law by failing to give adequate consideration to the expert report in accordance with the country guideline case of </w:t>
      </w:r>
      <w:r>
        <w:rPr>
          <w:rFonts w:ascii="Book Antiqua" w:hAnsi="Book Antiqua"/>
          <w:u w:val="single"/>
        </w:rPr>
        <w:t xml:space="preserve">MOJ &amp; </w:t>
      </w:r>
      <w:proofErr w:type="spellStart"/>
      <w:r>
        <w:rPr>
          <w:rFonts w:ascii="Book Antiqua" w:hAnsi="Book Antiqua"/>
          <w:u w:val="single"/>
        </w:rPr>
        <w:t>Ors</w:t>
      </w:r>
      <w:proofErr w:type="spellEnd"/>
      <w:r>
        <w:rPr>
          <w:rFonts w:ascii="Book Antiqua" w:hAnsi="Book Antiqua"/>
        </w:rPr>
        <w:t>.  The decision is set aside and requires to be remade.</w:t>
      </w:r>
    </w:p>
    <w:p w14:paraId="2B7D7985" w14:textId="77777777" w:rsidR="00185ABB" w:rsidRPr="00185ABB" w:rsidRDefault="00185ABB" w:rsidP="00185ABB">
      <w:pPr>
        <w:rPr>
          <w:rFonts w:ascii="Book Antiqua" w:hAnsi="Book Antiqua"/>
        </w:rPr>
      </w:pPr>
    </w:p>
    <w:p w14:paraId="46A5B0EA" w14:textId="40CB17C6" w:rsidR="001E70D6" w:rsidRDefault="001E70D6" w:rsidP="002863BD">
      <w:pPr>
        <w:pStyle w:val="ListParagraph"/>
        <w:numPr>
          <w:ilvl w:val="0"/>
          <w:numId w:val="1"/>
        </w:numPr>
        <w:rPr>
          <w:rFonts w:ascii="Book Antiqua" w:hAnsi="Book Antiqua"/>
        </w:rPr>
      </w:pPr>
      <w:r>
        <w:rPr>
          <w:rFonts w:ascii="Book Antiqua" w:hAnsi="Book Antiqua"/>
        </w:rPr>
        <w:t xml:space="preserve">It is not disputed that the appellant is a </w:t>
      </w:r>
      <w:proofErr w:type="spellStart"/>
      <w:r>
        <w:rPr>
          <w:rFonts w:ascii="Book Antiqua" w:hAnsi="Book Antiqua"/>
        </w:rPr>
        <w:t>Bajuni</w:t>
      </w:r>
      <w:proofErr w:type="spellEnd"/>
      <w:r>
        <w:rPr>
          <w:rFonts w:ascii="Book Antiqua" w:hAnsi="Book Antiqua"/>
        </w:rPr>
        <w:t xml:space="preserve"> from the island of Chula.</w:t>
      </w:r>
      <w:r w:rsidR="00FD5003">
        <w:rPr>
          <w:rFonts w:ascii="Book Antiqua" w:hAnsi="Book Antiqua"/>
        </w:rPr>
        <w:t xml:space="preserve">  Having regard to the expert report and to the country guideline case I accept that were the appellant to relocate to Mogadishu he would be faced with living in conditions of destitution below acceptable humanitarian standards.  In these circumstances the alternative of relocation to Mogadishu is neither reasonable nor viable.  Based on the findings which have been made the proper course is for the appeal to be allowed on protection grounds</w:t>
      </w:r>
      <w:r w:rsidR="0004789C">
        <w:rPr>
          <w:rFonts w:ascii="Book Antiqua" w:hAnsi="Book Antiqua"/>
        </w:rPr>
        <w:t>.</w:t>
      </w:r>
    </w:p>
    <w:p w14:paraId="4A5BE530" w14:textId="457331DC" w:rsidR="00185ABB" w:rsidRDefault="00185ABB" w:rsidP="00185ABB">
      <w:pPr>
        <w:rPr>
          <w:rFonts w:ascii="Book Antiqua" w:hAnsi="Book Antiqua"/>
        </w:rPr>
      </w:pPr>
    </w:p>
    <w:p w14:paraId="6F4CA86D" w14:textId="33ED2182" w:rsidR="00185ABB" w:rsidRDefault="00185ABB" w:rsidP="00185ABB">
      <w:pPr>
        <w:rPr>
          <w:rFonts w:ascii="Book Antiqua" w:hAnsi="Book Antiqua"/>
          <w:b/>
        </w:rPr>
      </w:pPr>
      <w:r>
        <w:rPr>
          <w:rFonts w:ascii="Book Antiqua" w:hAnsi="Book Antiqua"/>
          <w:b/>
        </w:rPr>
        <w:t>Conclusions</w:t>
      </w:r>
    </w:p>
    <w:p w14:paraId="2B2B50A5" w14:textId="77777777" w:rsidR="002A3038" w:rsidRPr="00185ABB" w:rsidRDefault="002A3038" w:rsidP="00185ABB">
      <w:pPr>
        <w:rPr>
          <w:rFonts w:ascii="Book Antiqua" w:hAnsi="Book Antiqua"/>
          <w:b/>
        </w:rPr>
      </w:pPr>
    </w:p>
    <w:p w14:paraId="2D57FB1B" w14:textId="2B8C4972" w:rsidR="0004789C" w:rsidRDefault="0004789C" w:rsidP="002863BD">
      <w:pPr>
        <w:pStyle w:val="ListParagraph"/>
        <w:numPr>
          <w:ilvl w:val="0"/>
          <w:numId w:val="1"/>
        </w:numPr>
        <w:rPr>
          <w:rFonts w:ascii="Book Antiqua" w:hAnsi="Book Antiqua"/>
        </w:rPr>
      </w:pPr>
      <w:r>
        <w:rPr>
          <w:rFonts w:ascii="Book Antiqua" w:hAnsi="Book Antiqua"/>
        </w:rPr>
        <w:t xml:space="preserve">The making of the decision of the First-tier Tribunal involved the making of an error on a point of law. </w:t>
      </w:r>
    </w:p>
    <w:p w14:paraId="3FEA6BC9" w14:textId="77777777" w:rsidR="00185ABB" w:rsidRDefault="00185ABB" w:rsidP="00185ABB">
      <w:pPr>
        <w:pStyle w:val="ListParagraph"/>
        <w:rPr>
          <w:rFonts w:ascii="Book Antiqua" w:hAnsi="Book Antiqua"/>
        </w:rPr>
      </w:pPr>
    </w:p>
    <w:p w14:paraId="4222EEB8" w14:textId="1F35E1E7" w:rsidR="0004789C" w:rsidRDefault="0004789C" w:rsidP="002863BD">
      <w:pPr>
        <w:pStyle w:val="ListParagraph"/>
        <w:numPr>
          <w:ilvl w:val="0"/>
          <w:numId w:val="1"/>
        </w:numPr>
        <w:rPr>
          <w:rFonts w:ascii="Book Antiqua" w:hAnsi="Book Antiqua"/>
        </w:rPr>
      </w:pPr>
      <w:r>
        <w:rPr>
          <w:rFonts w:ascii="Book Antiqua" w:hAnsi="Book Antiqua"/>
        </w:rPr>
        <w:t>The decision is set aside.</w:t>
      </w:r>
    </w:p>
    <w:p w14:paraId="71281343" w14:textId="77777777" w:rsidR="00185ABB" w:rsidRPr="00185ABB" w:rsidRDefault="00185ABB" w:rsidP="00185ABB">
      <w:pPr>
        <w:rPr>
          <w:rFonts w:ascii="Book Antiqua" w:hAnsi="Book Antiqua"/>
        </w:rPr>
      </w:pPr>
    </w:p>
    <w:p w14:paraId="39288DDE" w14:textId="3F5F4AA0" w:rsidR="0004789C" w:rsidRDefault="0004789C" w:rsidP="002863BD">
      <w:pPr>
        <w:pStyle w:val="ListParagraph"/>
        <w:numPr>
          <w:ilvl w:val="0"/>
          <w:numId w:val="1"/>
        </w:numPr>
        <w:rPr>
          <w:rFonts w:ascii="Book Antiqua" w:hAnsi="Book Antiqua"/>
        </w:rPr>
      </w:pPr>
      <w:r>
        <w:rPr>
          <w:rFonts w:ascii="Book Antiqua" w:hAnsi="Book Antiqua"/>
        </w:rPr>
        <w:t xml:space="preserve">I re-make the decision by allowing the appeal. </w:t>
      </w:r>
    </w:p>
    <w:p w14:paraId="45BEC433" w14:textId="26051AB7" w:rsidR="0004789C" w:rsidRDefault="0004789C" w:rsidP="0004789C">
      <w:pPr>
        <w:rPr>
          <w:rFonts w:ascii="Book Antiqua" w:hAnsi="Book Antiqua"/>
        </w:rPr>
      </w:pPr>
    </w:p>
    <w:p w14:paraId="5F46989C" w14:textId="32597150" w:rsidR="0004789C" w:rsidRDefault="0004789C" w:rsidP="0004789C">
      <w:pPr>
        <w:rPr>
          <w:rFonts w:ascii="Book Antiqua" w:hAnsi="Book Antiqua"/>
        </w:rPr>
      </w:pPr>
      <w:bookmarkStart w:id="0" w:name="_GoBack"/>
      <w:bookmarkEnd w:id="0"/>
    </w:p>
    <w:p w14:paraId="2C5CDF55" w14:textId="3D3FE012" w:rsidR="0004789C" w:rsidRPr="00B50839" w:rsidRDefault="0004789C" w:rsidP="0004789C">
      <w:pPr>
        <w:rPr>
          <w:rFonts w:ascii="Book Antiqua" w:hAnsi="Book Antiqua"/>
          <w:b/>
        </w:rPr>
      </w:pPr>
      <w:r w:rsidRPr="00B50839">
        <w:rPr>
          <w:rFonts w:ascii="Book Antiqua" w:hAnsi="Book Antiqua"/>
          <w:b/>
        </w:rPr>
        <w:t>Anonymity</w:t>
      </w:r>
    </w:p>
    <w:p w14:paraId="5683D90C" w14:textId="068A901D" w:rsidR="0004789C" w:rsidRDefault="0004789C" w:rsidP="0004789C">
      <w:pPr>
        <w:rPr>
          <w:rFonts w:ascii="Book Antiqua" w:hAnsi="Book Antiqua"/>
        </w:rPr>
      </w:pPr>
      <w:r>
        <w:rPr>
          <w:rFonts w:ascii="Book Antiqua" w:hAnsi="Book Antiqua"/>
        </w:rPr>
        <w:t>The Judge of the First-tier Tribunal did not make a direction for anonymity.  I have not been asked to make such an order and see no reason of substance for doing so.</w:t>
      </w:r>
    </w:p>
    <w:p w14:paraId="05231E1D" w14:textId="2F4704F8" w:rsidR="0004789C" w:rsidRDefault="0004789C" w:rsidP="0004789C">
      <w:pPr>
        <w:rPr>
          <w:rFonts w:ascii="Book Antiqua" w:hAnsi="Book Antiqua"/>
        </w:rPr>
      </w:pPr>
    </w:p>
    <w:p w14:paraId="52966E0B" w14:textId="2D2CADF8" w:rsidR="0004789C" w:rsidRDefault="0004789C" w:rsidP="0004789C">
      <w:pPr>
        <w:rPr>
          <w:rFonts w:ascii="Book Antiqua" w:hAnsi="Book Antiqua"/>
        </w:rPr>
      </w:pPr>
      <w:r w:rsidRPr="00B50839">
        <w:rPr>
          <w:rFonts w:ascii="Book Antiqua" w:hAnsi="Book Antiqua"/>
          <w:b/>
        </w:rPr>
        <w:t>Fee Award</w:t>
      </w:r>
      <w:r w:rsidR="00185ABB">
        <w:rPr>
          <w:rFonts w:ascii="Book Antiqua" w:hAnsi="Book Antiqua"/>
        </w:rPr>
        <w:t xml:space="preserve"> </w:t>
      </w:r>
      <w:proofErr w:type="gramStart"/>
      <w:r w:rsidR="00B50839">
        <w:rPr>
          <w:rFonts w:ascii="Book Antiqua" w:hAnsi="Book Antiqua"/>
        </w:rPr>
        <w:t xml:space="preserve">  </w:t>
      </w:r>
      <w:r w:rsidR="00185ABB">
        <w:rPr>
          <w:rFonts w:ascii="Book Antiqua" w:hAnsi="Book Antiqua"/>
        </w:rPr>
        <w:t xml:space="preserve"> (</w:t>
      </w:r>
      <w:proofErr w:type="gramEnd"/>
      <w:r w:rsidR="00185ABB">
        <w:rPr>
          <w:rFonts w:ascii="Book Antiqua" w:hAnsi="Book Antiqua"/>
        </w:rPr>
        <w:t>N</w:t>
      </w:r>
      <w:r w:rsidR="00B50839">
        <w:rPr>
          <w:rFonts w:ascii="Book Antiqua" w:hAnsi="Book Antiqua"/>
        </w:rPr>
        <w:t>.B. This is not part of the decision)</w:t>
      </w:r>
    </w:p>
    <w:p w14:paraId="6DF68EB8" w14:textId="1E32700E" w:rsidR="0004789C" w:rsidRDefault="0004789C" w:rsidP="0004789C">
      <w:pPr>
        <w:rPr>
          <w:rFonts w:ascii="Book Antiqua" w:hAnsi="Book Antiqua"/>
        </w:rPr>
      </w:pPr>
      <w:r>
        <w:rPr>
          <w:rFonts w:ascii="Book Antiqua" w:hAnsi="Book Antiqua"/>
        </w:rPr>
        <w:t>No fee has been paid or is payable therefore no fee award is made.</w:t>
      </w:r>
    </w:p>
    <w:p w14:paraId="5D913C13" w14:textId="27BA8364" w:rsidR="00D212CC" w:rsidRDefault="00D212CC" w:rsidP="0004789C">
      <w:pPr>
        <w:rPr>
          <w:rFonts w:ascii="Book Antiqua" w:hAnsi="Book Antiqua"/>
        </w:rPr>
      </w:pPr>
    </w:p>
    <w:p w14:paraId="394F48AE" w14:textId="31A3FB47" w:rsidR="00D212CC" w:rsidRDefault="00D212CC" w:rsidP="0004789C">
      <w:pPr>
        <w:rPr>
          <w:rFonts w:ascii="Book Antiqua" w:hAnsi="Book Antiqua"/>
        </w:rPr>
      </w:pPr>
    </w:p>
    <w:p w14:paraId="7AEB91E1" w14:textId="3A4862B2" w:rsidR="00D212CC" w:rsidRDefault="00D212CC" w:rsidP="0004789C">
      <w:pPr>
        <w:rPr>
          <w:rFonts w:ascii="Book Antiqua" w:hAnsi="Book Antiqua"/>
        </w:rPr>
      </w:pPr>
    </w:p>
    <w:p w14:paraId="05FF072E" w14:textId="23C33240" w:rsidR="00D212CC" w:rsidRDefault="00D212CC" w:rsidP="0004789C">
      <w:pPr>
        <w:rPr>
          <w:rFonts w:ascii="Book Antiqua" w:hAnsi="Book Antiqua"/>
        </w:rPr>
      </w:pPr>
    </w:p>
    <w:p w14:paraId="126B801E" w14:textId="3BCC2CA5" w:rsidR="00D212CC" w:rsidRDefault="00D212CC" w:rsidP="0004789C">
      <w:pPr>
        <w:rPr>
          <w:rFonts w:ascii="Book Antiqua" w:hAnsi="Book Antiqua"/>
        </w:rPr>
      </w:pPr>
      <w:r>
        <w:rPr>
          <w:rFonts w:ascii="Book Antiqua" w:hAnsi="Book Antiqua"/>
        </w:rPr>
        <w:t>M E Deans</w:t>
      </w:r>
      <w:r w:rsidR="00B50839">
        <w:rPr>
          <w:rFonts w:ascii="Book Antiqua" w:hAnsi="Book Antiqua"/>
        </w:rPr>
        <w:t xml:space="preserve">                                                                                                   13</w:t>
      </w:r>
      <w:r w:rsidR="00B50839" w:rsidRPr="00B50839">
        <w:rPr>
          <w:rFonts w:ascii="Book Antiqua" w:hAnsi="Book Antiqua"/>
          <w:vertAlign w:val="superscript"/>
        </w:rPr>
        <w:t>th</w:t>
      </w:r>
      <w:r w:rsidR="00B50839">
        <w:rPr>
          <w:rFonts w:ascii="Book Antiqua" w:hAnsi="Book Antiqua"/>
        </w:rPr>
        <w:t xml:space="preserve"> August 2018</w:t>
      </w:r>
    </w:p>
    <w:p w14:paraId="13483725" w14:textId="18BCFC7A" w:rsidR="00BC6C19" w:rsidRPr="00245B0F" w:rsidRDefault="00D212CC" w:rsidP="00165072">
      <w:pPr>
        <w:rPr>
          <w:rFonts w:ascii="Book Antiqua" w:hAnsi="Book Antiqua" w:cs="Arial"/>
        </w:rPr>
      </w:pPr>
      <w:r>
        <w:rPr>
          <w:rFonts w:ascii="Book Antiqua" w:hAnsi="Book Antiqua"/>
        </w:rPr>
        <w:t>Deputy Upper Tribunal Judge</w:t>
      </w:r>
    </w:p>
    <w:p w14:paraId="1685BB48" w14:textId="77777777" w:rsidR="00BC6C19" w:rsidRPr="0004789C" w:rsidRDefault="00BC6C19" w:rsidP="0004789C">
      <w:pPr>
        <w:rPr>
          <w:rFonts w:ascii="Book Antiqua" w:hAnsi="Book Antiqua"/>
        </w:rPr>
      </w:pPr>
    </w:p>
    <w:sectPr w:rsidR="00BC6C19" w:rsidRPr="0004789C" w:rsidSect="00B9362A">
      <w:headerReference w:type="default" r:id="rId8"/>
      <w:footerReference w:type="default" r:id="rId9"/>
      <w:footerReference w:type="first" r:id="rId10"/>
      <w:pgSz w:w="11906" w:h="16838"/>
      <w:pgMar w:top="70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3C18D" w14:textId="77777777" w:rsidR="0067582E" w:rsidRDefault="0067582E" w:rsidP="00F05DB2">
      <w:r>
        <w:separator/>
      </w:r>
    </w:p>
  </w:endnote>
  <w:endnote w:type="continuationSeparator" w:id="0">
    <w:p w14:paraId="5B6BCB1A" w14:textId="77777777" w:rsidR="0067582E" w:rsidRDefault="0067582E" w:rsidP="00F05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
    <w:altName w:val="Yu Gothic"/>
    <w:charset w:val="8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027975"/>
      <w:docPartObj>
        <w:docPartGallery w:val="Page Numbers (Bottom of Page)"/>
        <w:docPartUnique/>
      </w:docPartObj>
    </w:sdtPr>
    <w:sdtEndPr>
      <w:rPr>
        <w:rFonts w:ascii="Book Antiqua" w:hAnsi="Book Antiqua"/>
        <w:noProof/>
      </w:rPr>
    </w:sdtEndPr>
    <w:sdtContent>
      <w:p w14:paraId="1F69681A" w14:textId="57DBF47B" w:rsidR="00F05DB2" w:rsidRPr="002A3038" w:rsidRDefault="00F05DB2" w:rsidP="002A3038">
        <w:pPr>
          <w:pStyle w:val="Footer"/>
          <w:jc w:val="center"/>
          <w:rPr>
            <w:rFonts w:ascii="Book Antiqua" w:hAnsi="Book Antiqua"/>
          </w:rPr>
        </w:pPr>
        <w:r w:rsidRPr="002A3038">
          <w:rPr>
            <w:rFonts w:ascii="Book Antiqua" w:hAnsi="Book Antiqua"/>
          </w:rPr>
          <w:fldChar w:fldCharType="begin"/>
        </w:r>
        <w:r w:rsidRPr="002A3038">
          <w:rPr>
            <w:rFonts w:ascii="Book Antiqua" w:hAnsi="Book Antiqua"/>
          </w:rPr>
          <w:instrText xml:space="preserve"> PAGE   \* MERGEFORMAT </w:instrText>
        </w:r>
        <w:r w:rsidRPr="002A3038">
          <w:rPr>
            <w:rFonts w:ascii="Book Antiqua" w:hAnsi="Book Antiqua"/>
          </w:rPr>
          <w:fldChar w:fldCharType="separate"/>
        </w:r>
        <w:r w:rsidR="0082323D">
          <w:rPr>
            <w:rFonts w:ascii="Book Antiqua" w:hAnsi="Book Antiqua"/>
            <w:noProof/>
          </w:rPr>
          <w:t>2</w:t>
        </w:r>
        <w:r w:rsidRPr="002A3038">
          <w:rPr>
            <w:rFonts w:ascii="Book Antiqua" w:hAnsi="Book Antiqua"/>
            <w:noProof/>
          </w:rPr>
          <w:fldChar w:fldCharType="end"/>
        </w:r>
      </w:p>
    </w:sdtContent>
  </w:sdt>
  <w:p w14:paraId="6CF14E03" w14:textId="77777777" w:rsidR="00F05DB2" w:rsidRDefault="00F05D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34DEC" w14:textId="480188D1" w:rsidR="00F05DB2" w:rsidRPr="002A3038" w:rsidRDefault="00F05DB2">
    <w:pPr>
      <w:pStyle w:val="Footer"/>
      <w:rPr>
        <w:rFonts w:ascii="Book Antiqua" w:hAnsi="Book Antiqua"/>
        <w:b/>
      </w:rPr>
    </w:pPr>
    <w:r w:rsidRPr="002A3038">
      <w:rPr>
        <w:rFonts w:ascii="Book Antiqua" w:hAnsi="Book Antiqua"/>
        <w:b/>
      </w:rPr>
      <w:ptab w:relativeTo="margin" w:alignment="center" w:leader="none"/>
    </w:r>
    <w:r w:rsidRPr="002A3038">
      <w:rPr>
        <w:rFonts w:ascii="Book Antiqua" w:hAnsi="Book Antiqua"/>
        <w:b/>
      </w:rPr>
      <w:t>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8F027" w14:textId="77777777" w:rsidR="0067582E" w:rsidRDefault="0067582E" w:rsidP="00F05DB2">
      <w:r>
        <w:separator/>
      </w:r>
    </w:p>
  </w:footnote>
  <w:footnote w:type="continuationSeparator" w:id="0">
    <w:p w14:paraId="7EC85981" w14:textId="77777777" w:rsidR="0067582E" w:rsidRDefault="0067582E" w:rsidP="00F05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E1E5D" w14:textId="1C6AE98A" w:rsidR="00F05DB2" w:rsidRPr="002A3038" w:rsidRDefault="00F05DB2">
    <w:pPr>
      <w:pStyle w:val="Header"/>
      <w:rPr>
        <w:rFonts w:ascii="Book Antiqua" w:hAnsi="Book Antiqua"/>
        <w:sz w:val="16"/>
        <w:szCs w:val="16"/>
      </w:rPr>
    </w:pPr>
    <w:r w:rsidRPr="002A3038">
      <w:rPr>
        <w:rFonts w:ascii="Book Antiqua" w:hAnsi="Book Antiqua"/>
        <w:sz w:val="16"/>
        <w:szCs w:val="16"/>
      </w:rPr>
      <w:ptab w:relativeTo="margin" w:alignment="right" w:leader="none"/>
    </w:r>
    <w:r w:rsidR="002A3038" w:rsidRPr="002A3038">
      <w:rPr>
        <w:rFonts w:ascii="Book Antiqua" w:hAnsi="Book Antiqua"/>
        <w:sz w:val="16"/>
        <w:szCs w:val="16"/>
      </w:rPr>
      <w:t xml:space="preserve">Appeal number: </w:t>
    </w:r>
    <w:r w:rsidRPr="002A3038">
      <w:rPr>
        <w:rFonts w:ascii="Book Antiqua" w:hAnsi="Book Antiqua"/>
        <w:sz w:val="16"/>
        <w:szCs w:val="16"/>
      </w:rPr>
      <w:t>PA/05335/2017</w:t>
    </w:r>
  </w:p>
  <w:p w14:paraId="4C8E19A4" w14:textId="77777777" w:rsidR="002A3038" w:rsidRPr="00165072" w:rsidRDefault="002A3038">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F3CE9"/>
    <w:multiLevelType w:val="hybridMultilevel"/>
    <w:tmpl w:val="CCF42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2EE"/>
    <w:rsid w:val="0002771C"/>
    <w:rsid w:val="0004789C"/>
    <w:rsid w:val="00165072"/>
    <w:rsid w:val="00185ABB"/>
    <w:rsid w:val="001E70D6"/>
    <w:rsid w:val="00261ADE"/>
    <w:rsid w:val="002863BD"/>
    <w:rsid w:val="002A3038"/>
    <w:rsid w:val="00457380"/>
    <w:rsid w:val="0067582E"/>
    <w:rsid w:val="00707C33"/>
    <w:rsid w:val="007F34AE"/>
    <w:rsid w:val="0082323D"/>
    <w:rsid w:val="009C59F7"/>
    <w:rsid w:val="00A635E1"/>
    <w:rsid w:val="00B50839"/>
    <w:rsid w:val="00B9362A"/>
    <w:rsid w:val="00BC6C19"/>
    <w:rsid w:val="00C64898"/>
    <w:rsid w:val="00CA0CF5"/>
    <w:rsid w:val="00CE5570"/>
    <w:rsid w:val="00CE6AAE"/>
    <w:rsid w:val="00D212CC"/>
    <w:rsid w:val="00E324DF"/>
    <w:rsid w:val="00F05DB2"/>
    <w:rsid w:val="00F812EE"/>
    <w:rsid w:val="00FD50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D95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2EE"/>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3BD"/>
    <w:pPr>
      <w:ind w:left="720"/>
      <w:contextualSpacing/>
    </w:pPr>
  </w:style>
  <w:style w:type="table" w:styleId="TableGrid">
    <w:name w:val="Table Grid"/>
    <w:basedOn w:val="TableNormal"/>
    <w:rsid w:val="00BC6C19"/>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C6C19"/>
    <w:rPr>
      <w:color w:val="0000FF"/>
      <w:u w:val="single"/>
    </w:rPr>
  </w:style>
  <w:style w:type="paragraph" w:styleId="Header">
    <w:name w:val="header"/>
    <w:basedOn w:val="Normal"/>
    <w:link w:val="HeaderChar"/>
    <w:uiPriority w:val="99"/>
    <w:unhideWhenUsed/>
    <w:rsid w:val="00F05DB2"/>
    <w:pPr>
      <w:tabs>
        <w:tab w:val="center" w:pos="4513"/>
        <w:tab w:val="right" w:pos="9026"/>
      </w:tabs>
    </w:pPr>
  </w:style>
  <w:style w:type="character" w:customStyle="1" w:styleId="HeaderChar">
    <w:name w:val="Header Char"/>
    <w:basedOn w:val="DefaultParagraphFont"/>
    <w:link w:val="Header"/>
    <w:uiPriority w:val="99"/>
    <w:rsid w:val="00F05DB2"/>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F05DB2"/>
    <w:pPr>
      <w:tabs>
        <w:tab w:val="center" w:pos="4513"/>
        <w:tab w:val="right" w:pos="9026"/>
      </w:tabs>
    </w:pPr>
  </w:style>
  <w:style w:type="character" w:customStyle="1" w:styleId="FooterChar">
    <w:name w:val="Footer Char"/>
    <w:basedOn w:val="DefaultParagraphFont"/>
    <w:link w:val="Footer"/>
    <w:uiPriority w:val="99"/>
    <w:rsid w:val="00F05DB2"/>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C59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9F7"/>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2018-09-27T15:18:00Z</dcterms:created>
  <dcterms:modified xsi:type="dcterms:W3CDTF">2018-09-27T15:24:00Z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