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C97CB" w14:textId="77777777" w:rsidR="007A6629" w:rsidRPr="005511A4" w:rsidRDefault="007A6629" w:rsidP="007A6629">
      <w:pPr>
        <w:jc w:val="center"/>
        <w:rPr>
          <w:rFonts w:ascii="Book Antiqua" w:hAnsi="Book Antiqua" w:cs="Arial"/>
          <w:color w:val="000000"/>
          <w:sz w:val="24"/>
          <w:szCs w:val="24"/>
        </w:rPr>
      </w:pPr>
      <w:r w:rsidRPr="005511A4">
        <w:rPr>
          <w:noProof/>
          <w:sz w:val="24"/>
          <w:szCs w:val="24"/>
        </w:rPr>
        <w:drawing>
          <wp:inline distT="0" distB="0" distL="0" distR="0" wp14:anchorId="0E0C9B4A" wp14:editId="14AE14DE">
            <wp:extent cx="104775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58F8375D" w14:textId="77777777" w:rsidR="007A6629" w:rsidRPr="005511A4" w:rsidRDefault="007A6629" w:rsidP="007A6629">
      <w:pPr>
        <w:rPr>
          <w:rFonts w:ascii="Book Antiqua" w:hAnsi="Book Antiqua" w:cs="Arial"/>
          <w:color w:val="000000"/>
          <w:sz w:val="24"/>
          <w:szCs w:val="24"/>
        </w:rPr>
      </w:pPr>
    </w:p>
    <w:p w14:paraId="4570C4ED" w14:textId="77777777" w:rsidR="007A6629" w:rsidRPr="005511A4" w:rsidRDefault="007A6629" w:rsidP="007A6629">
      <w:pPr>
        <w:tabs>
          <w:tab w:val="right" w:pos="9720"/>
        </w:tabs>
        <w:ind w:right="-82"/>
        <w:rPr>
          <w:rFonts w:ascii="Book Antiqua" w:hAnsi="Book Antiqua" w:cs="Arial"/>
          <w:b/>
          <w:color w:val="000000"/>
          <w:sz w:val="24"/>
          <w:szCs w:val="24"/>
        </w:rPr>
      </w:pPr>
      <w:r w:rsidRPr="005511A4">
        <w:rPr>
          <w:rFonts w:ascii="Book Antiqua" w:hAnsi="Book Antiqua" w:cs="Arial"/>
          <w:b/>
          <w:color w:val="000000"/>
          <w:sz w:val="24"/>
          <w:szCs w:val="24"/>
        </w:rPr>
        <w:t>Upper Tribunal</w:t>
      </w:r>
    </w:p>
    <w:p w14:paraId="123F7F48" w14:textId="6F525B9C" w:rsidR="007A6629" w:rsidRPr="005511A4" w:rsidRDefault="007A6629" w:rsidP="007A6629">
      <w:pPr>
        <w:tabs>
          <w:tab w:val="right" w:pos="9720"/>
        </w:tabs>
        <w:ind w:right="-82"/>
        <w:rPr>
          <w:rFonts w:ascii="Book Antiqua" w:hAnsi="Book Antiqua" w:cs="Arial"/>
          <w:color w:val="000000"/>
          <w:sz w:val="24"/>
          <w:szCs w:val="24"/>
        </w:rPr>
      </w:pPr>
      <w:r w:rsidRPr="005511A4">
        <w:rPr>
          <w:rFonts w:ascii="Book Antiqua" w:hAnsi="Book Antiqua" w:cs="Arial"/>
          <w:b/>
          <w:color w:val="000000"/>
          <w:sz w:val="24"/>
          <w:szCs w:val="24"/>
        </w:rPr>
        <w:t>(Immigration and Asylum Chamber)</w:t>
      </w:r>
      <w:r w:rsidRPr="005511A4">
        <w:rPr>
          <w:rFonts w:ascii="Book Antiqua" w:hAnsi="Book Antiqua" w:cs="Arial"/>
          <w:b/>
          <w:color w:val="000000"/>
          <w:sz w:val="24"/>
          <w:szCs w:val="24"/>
        </w:rPr>
        <w:tab/>
      </w:r>
      <w:r w:rsidRPr="005511A4">
        <w:rPr>
          <w:rFonts w:ascii="Book Antiqua" w:hAnsi="Book Antiqua" w:cs="Arial"/>
          <w:color w:val="000000"/>
          <w:sz w:val="24"/>
          <w:szCs w:val="24"/>
        </w:rPr>
        <w:t xml:space="preserve">Appeal Number: </w:t>
      </w:r>
      <w:bookmarkStart w:id="0" w:name="_GoBack"/>
      <w:r w:rsidRPr="005511A4">
        <w:rPr>
          <w:rFonts w:ascii="Book Antiqua" w:hAnsi="Book Antiqua" w:cs="Arial"/>
          <w:color w:val="000000"/>
          <w:sz w:val="24"/>
          <w:szCs w:val="24"/>
        </w:rPr>
        <w:t>PA</w:t>
      </w:r>
      <w:r w:rsidR="00E065EB" w:rsidRPr="005511A4">
        <w:rPr>
          <w:rFonts w:ascii="Book Antiqua" w:hAnsi="Book Antiqua" w:cs="Arial"/>
          <w:color w:val="000000"/>
          <w:sz w:val="24"/>
          <w:szCs w:val="24"/>
        </w:rPr>
        <w:t>/05352/2017</w:t>
      </w:r>
      <w:bookmarkEnd w:id="0"/>
    </w:p>
    <w:p w14:paraId="28925FAF" w14:textId="77777777" w:rsidR="00931C8D" w:rsidRDefault="00931C8D" w:rsidP="007A6629">
      <w:pPr>
        <w:jc w:val="center"/>
        <w:rPr>
          <w:rFonts w:ascii="Book Antiqua" w:hAnsi="Book Antiqua" w:cs="Arial"/>
          <w:b/>
          <w:color w:val="000000"/>
          <w:sz w:val="24"/>
          <w:szCs w:val="24"/>
          <w:u w:val="single"/>
        </w:rPr>
      </w:pPr>
    </w:p>
    <w:p w14:paraId="2902B610" w14:textId="521A9547" w:rsidR="007A6629" w:rsidRDefault="007A6629" w:rsidP="007A6629">
      <w:pPr>
        <w:jc w:val="center"/>
        <w:rPr>
          <w:rFonts w:ascii="Book Antiqua" w:hAnsi="Book Antiqua" w:cs="Arial"/>
          <w:b/>
          <w:color w:val="000000"/>
          <w:sz w:val="24"/>
          <w:szCs w:val="24"/>
          <w:u w:val="single"/>
        </w:rPr>
      </w:pPr>
      <w:r w:rsidRPr="005511A4">
        <w:rPr>
          <w:rFonts w:ascii="Book Antiqua" w:hAnsi="Book Antiqua" w:cs="Arial"/>
          <w:b/>
          <w:color w:val="000000"/>
          <w:sz w:val="24"/>
          <w:szCs w:val="24"/>
          <w:u w:val="single"/>
        </w:rPr>
        <w:t>THE IMMIGRATION ACTS</w:t>
      </w:r>
    </w:p>
    <w:p w14:paraId="60DDAA2B" w14:textId="77777777" w:rsidR="00931C8D" w:rsidRPr="005511A4" w:rsidRDefault="00931C8D" w:rsidP="007A6629">
      <w:pPr>
        <w:jc w:val="center"/>
        <w:rPr>
          <w:rFonts w:ascii="Book Antiqua" w:hAnsi="Book Antiqua" w:cs="Arial"/>
          <w:b/>
          <w:color w:val="000000"/>
          <w:sz w:val="24"/>
          <w:szCs w:val="24"/>
          <w:u w:val="single"/>
        </w:rPr>
      </w:pPr>
    </w:p>
    <w:tbl>
      <w:tblPr>
        <w:tblW w:w="0" w:type="auto"/>
        <w:tblLook w:val="01E0" w:firstRow="1" w:lastRow="1" w:firstColumn="1" w:lastColumn="1" w:noHBand="0" w:noVBand="0"/>
      </w:tblPr>
      <w:tblGrid>
        <w:gridCol w:w="4226"/>
        <w:gridCol w:w="820"/>
        <w:gridCol w:w="3260"/>
      </w:tblGrid>
      <w:tr w:rsidR="007A6629" w:rsidRPr="005511A4" w14:paraId="5D8088C1" w14:textId="77777777" w:rsidTr="009E7178">
        <w:trPr>
          <w:trHeight w:val="60"/>
        </w:trPr>
        <w:tc>
          <w:tcPr>
            <w:tcW w:w="4957" w:type="dxa"/>
            <w:shd w:val="clear" w:color="auto" w:fill="auto"/>
          </w:tcPr>
          <w:p w14:paraId="680F5389" w14:textId="5E945006" w:rsidR="007A6629" w:rsidRPr="005511A4" w:rsidRDefault="007A6629" w:rsidP="00F214CC">
            <w:pPr>
              <w:jc w:val="both"/>
              <w:rPr>
                <w:rFonts w:ascii="Book Antiqua" w:eastAsia="Times New Roman" w:hAnsi="Book Antiqua" w:cs="Arial"/>
                <w:b/>
                <w:sz w:val="24"/>
                <w:szCs w:val="24"/>
              </w:rPr>
            </w:pPr>
            <w:r w:rsidRPr="005511A4">
              <w:rPr>
                <w:rFonts w:ascii="Book Antiqua" w:eastAsia="Times New Roman" w:hAnsi="Book Antiqua" w:cs="Arial"/>
                <w:b/>
                <w:sz w:val="24"/>
                <w:szCs w:val="24"/>
              </w:rPr>
              <w:t xml:space="preserve">Heard at </w:t>
            </w:r>
            <w:r w:rsidR="00BC4071" w:rsidRPr="005511A4">
              <w:rPr>
                <w:rFonts w:ascii="Book Antiqua" w:eastAsia="Times New Roman" w:hAnsi="Book Antiqua" w:cs="Arial"/>
                <w:b/>
                <w:sz w:val="24"/>
                <w:szCs w:val="24"/>
              </w:rPr>
              <w:t>Newport</w:t>
            </w:r>
            <w:r w:rsidRPr="005511A4">
              <w:rPr>
                <w:rFonts w:ascii="Book Antiqua" w:eastAsia="Times New Roman" w:hAnsi="Book Antiqua" w:cs="Arial"/>
                <w:b/>
                <w:sz w:val="24"/>
                <w:szCs w:val="24"/>
              </w:rPr>
              <w:t xml:space="preserve"> </w:t>
            </w:r>
          </w:p>
        </w:tc>
        <w:tc>
          <w:tcPr>
            <w:tcW w:w="4671" w:type="dxa"/>
            <w:gridSpan w:val="2"/>
            <w:shd w:val="clear" w:color="auto" w:fill="auto"/>
          </w:tcPr>
          <w:p w14:paraId="2F0492CD" w14:textId="77777777" w:rsidR="007A6629" w:rsidRPr="005511A4" w:rsidRDefault="007A6629" w:rsidP="00F214CC">
            <w:pPr>
              <w:jc w:val="both"/>
              <w:rPr>
                <w:rFonts w:ascii="Book Antiqua" w:eastAsia="Times New Roman" w:hAnsi="Book Antiqua" w:cs="Arial"/>
                <w:b/>
                <w:color w:val="000000"/>
                <w:sz w:val="24"/>
                <w:szCs w:val="24"/>
              </w:rPr>
            </w:pPr>
            <w:r w:rsidRPr="005511A4">
              <w:rPr>
                <w:rFonts w:ascii="Book Antiqua" w:eastAsia="Times New Roman" w:hAnsi="Book Antiqua" w:cs="Arial"/>
                <w:b/>
                <w:color w:val="000000"/>
                <w:sz w:val="24"/>
                <w:szCs w:val="24"/>
              </w:rPr>
              <w:t>Decision and Reasons Promulgated</w:t>
            </w:r>
          </w:p>
        </w:tc>
      </w:tr>
      <w:tr w:rsidR="007A6629" w:rsidRPr="005511A4" w14:paraId="5CF1043D" w14:textId="77777777" w:rsidTr="009E7178">
        <w:tc>
          <w:tcPr>
            <w:tcW w:w="4957" w:type="dxa"/>
            <w:shd w:val="clear" w:color="auto" w:fill="auto"/>
          </w:tcPr>
          <w:p w14:paraId="270B3C7E" w14:textId="032A75CB" w:rsidR="007A6629" w:rsidRPr="005511A4" w:rsidRDefault="007A6629" w:rsidP="00F214CC">
            <w:pPr>
              <w:jc w:val="both"/>
              <w:rPr>
                <w:rFonts w:ascii="Book Antiqua" w:eastAsia="Times New Roman" w:hAnsi="Book Antiqua" w:cs="Arial"/>
                <w:b/>
                <w:sz w:val="24"/>
                <w:szCs w:val="24"/>
              </w:rPr>
            </w:pPr>
            <w:r w:rsidRPr="005511A4">
              <w:rPr>
                <w:rFonts w:ascii="Book Antiqua" w:eastAsia="Times New Roman" w:hAnsi="Book Antiqua" w:cs="Arial"/>
                <w:b/>
                <w:sz w:val="24"/>
                <w:szCs w:val="24"/>
              </w:rPr>
              <w:t>On</w:t>
            </w:r>
            <w:r w:rsidR="00E065EB" w:rsidRPr="005511A4">
              <w:rPr>
                <w:rFonts w:ascii="Book Antiqua" w:eastAsia="Times New Roman" w:hAnsi="Book Antiqua" w:cs="Arial"/>
                <w:b/>
                <w:sz w:val="24"/>
                <w:szCs w:val="24"/>
              </w:rPr>
              <w:t xml:space="preserve"> 10th May 2018</w:t>
            </w:r>
          </w:p>
        </w:tc>
        <w:tc>
          <w:tcPr>
            <w:tcW w:w="4671" w:type="dxa"/>
            <w:gridSpan w:val="2"/>
            <w:shd w:val="clear" w:color="auto" w:fill="auto"/>
          </w:tcPr>
          <w:p w14:paraId="751C6238" w14:textId="72F509BF" w:rsidR="007A6629" w:rsidRPr="005511A4" w:rsidRDefault="009E7178" w:rsidP="00F214CC">
            <w:pPr>
              <w:jc w:val="both"/>
              <w:rPr>
                <w:rFonts w:ascii="Book Antiqua" w:eastAsia="Times New Roman" w:hAnsi="Book Antiqua" w:cs="Arial"/>
                <w:b/>
                <w:sz w:val="24"/>
                <w:szCs w:val="24"/>
              </w:rPr>
            </w:pPr>
            <w:r>
              <w:rPr>
                <w:rFonts w:ascii="Book Antiqua" w:eastAsia="Times New Roman" w:hAnsi="Book Antiqua" w:cs="Arial"/>
                <w:b/>
                <w:sz w:val="24"/>
                <w:szCs w:val="24"/>
              </w:rPr>
              <w:t>On 21</w:t>
            </w:r>
            <w:r w:rsidR="00A045C5">
              <w:rPr>
                <w:rFonts w:ascii="Book Antiqua" w:eastAsia="Times New Roman" w:hAnsi="Book Antiqua" w:cs="Arial"/>
                <w:b/>
                <w:sz w:val="24"/>
                <w:szCs w:val="24"/>
              </w:rPr>
              <w:t>st</w:t>
            </w:r>
            <w:r>
              <w:rPr>
                <w:rFonts w:ascii="Book Antiqua" w:eastAsia="Times New Roman" w:hAnsi="Book Antiqua" w:cs="Arial"/>
                <w:b/>
                <w:sz w:val="24"/>
                <w:szCs w:val="24"/>
              </w:rPr>
              <w:t xml:space="preserve"> May 2018 </w:t>
            </w:r>
          </w:p>
        </w:tc>
      </w:tr>
      <w:tr w:rsidR="009E7178" w:rsidRPr="005511A4" w14:paraId="3411CDA3" w14:textId="77777777" w:rsidTr="009E7178">
        <w:trPr>
          <w:gridAfter w:val="1"/>
          <w:wAfter w:w="3761" w:type="dxa"/>
        </w:trPr>
        <w:tc>
          <w:tcPr>
            <w:tcW w:w="5867" w:type="dxa"/>
            <w:gridSpan w:val="2"/>
            <w:shd w:val="clear" w:color="auto" w:fill="auto"/>
          </w:tcPr>
          <w:p w14:paraId="253C88C8" w14:textId="77777777" w:rsidR="009E7178" w:rsidRPr="005511A4" w:rsidRDefault="009E7178" w:rsidP="00F214CC">
            <w:pPr>
              <w:jc w:val="both"/>
              <w:rPr>
                <w:rFonts w:ascii="Book Antiqua" w:eastAsia="Times New Roman" w:hAnsi="Book Antiqua" w:cs="Arial"/>
                <w:b/>
                <w:sz w:val="24"/>
                <w:szCs w:val="24"/>
              </w:rPr>
            </w:pPr>
          </w:p>
        </w:tc>
      </w:tr>
    </w:tbl>
    <w:p w14:paraId="778B20DF" w14:textId="77777777" w:rsidR="007A6629" w:rsidRPr="005511A4" w:rsidRDefault="007A6629" w:rsidP="007A6629">
      <w:pPr>
        <w:jc w:val="center"/>
        <w:rPr>
          <w:rFonts w:ascii="Book Antiqua" w:hAnsi="Book Antiqua" w:cs="Arial"/>
          <w:b/>
          <w:sz w:val="24"/>
          <w:szCs w:val="24"/>
        </w:rPr>
      </w:pPr>
      <w:r w:rsidRPr="005511A4">
        <w:rPr>
          <w:rFonts w:ascii="Book Antiqua" w:hAnsi="Book Antiqua" w:cs="Arial"/>
          <w:b/>
          <w:sz w:val="24"/>
          <w:szCs w:val="24"/>
        </w:rPr>
        <w:t>Before</w:t>
      </w:r>
    </w:p>
    <w:p w14:paraId="31B69FC6" w14:textId="4D7E9CD8" w:rsidR="007A6629" w:rsidRPr="005511A4" w:rsidRDefault="007A6629" w:rsidP="005511A4">
      <w:pPr>
        <w:jc w:val="center"/>
        <w:rPr>
          <w:rFonts w:ascii="Book Antiqua" w:hAnsi="Book Antiqua" w:cs="Arial"/>
          <w:b/>
          <w:sz w:val="24"/>
          <w:szCs w:val="24"/>
        </w:rPr>
      </w:pPr>
      <w:r w:rsidRPr="005511A4">
        <w:rPr>
          <w:rFonts w:ascii="Book Antiqua" w:hAnsi="Book Antiqua" w:cs="Arial"/>
          <w:b/>
          <w:sz w:val="24"/>
          <w:szCs w:val="24"/>
        </w:rPr>
        <w:t xml:space="preserve"> UPPER TRIBUNAL JUDGE RIMINGTON</w:t>
      </w:r>
    </w:p>
    <w:p w14:paraId="17C45EBB" w14:textId="77777777" w:rsidR="00931C8D" w:rsidRDefault="00931C8D" w:rsidP="007A6629">
      <w:pPr>
        <w:jc w:val="center"/>
        <w:rPr>
          <w:rFonts w:ascii="Book Antiqua" w:hAnsi="Book Antiqua" w:cs="Arial"/>
          <w:b/>
          <w:sz w:val="24"/>
          <w:szCs w:val="24"/>
        </w:rPr>
      </w:pPr>
    </w:p>
    <w:p w14:paraId="461C2CBF" w14:textId="5D3A11A9" w:rsidR="007A6629" w:rsidRPr="005511A4" w:rsidRDefault="007A6629" w:rsidP="007A6629">
      <w:pPr>
        <w:jc w:val="center"/>
        <w:rPr>
          <w:rFonts w:ascii="Book Antiqua" w:hAnsi="Book Antiqua" w:cs="Arial"/>
          <w:b/>
          <w:sz w:val="24"/>
          <w:szCs w:val="24"/>
        </w:rPr>
      </w:pPr>
      <w:r w:rsidRPr="005511A4">
        <w:rPr>
          <w:rFonts w:ascii="Book Antiqua" w:hAnsi="Book Antiqua" w:cs="Arial"/>
          <w:b/>
          <w:sz w:val="24"/>
          <w:szCs w:val="24"/>
        </w:rPr>
        <w:t>Between</w:t>
      </w:r>
    </w:p>
    <w:p w14:paraId="41ED6F9B" w14:textId="0E85EF41" w:rsidR="007A6629" w:rsidRPr="005511A4" w:rsidRDefault="007A6629" w:rsidP="007A6629">
      <w:pPr>
        <w:jc w:val="center"/>
        <w:rPr>
          <w:rFonts w:ascii="Book Antiqua" w:hAnsi="Book Antiqua" w:cs="Arial"/>
          <w:b/>
          <w:sz w:val="24"/>
          <w:szCs w:val="24"/>
        </w:rPr>
      </w:pPr>
      <w:r w:rsidRPr="005511A4">
        <w:rPr>
          <w:rFonts w:ascii="Book Antiqua" w:hAnsi="Book Antiqua" w:cs="Arial"/>
          <w:b/>
          <w:sz w:val="24"/>
          <w:szCs w:val="24"/>
        </w:rPr>
        <w:t>M</w:t>
      </w:r>
      <w:r w:rsidR="00E065EB" w:rsidRPr="005511A4">
        <w:rPr>
          <w:rFonts w:ascii="Book Antiqua" w:hAnsi="Book Antiqua" w:cs="Arial"/>
          <w:b/>
          <w:sz w:val="24"/>
          <w:szCs w:val="24"/>
        </w:rPr>
        <w:t>r R P</w:t>
      </w:r>
    </w:p>
    <w:p w14:paraId="4CDF6D71" w14:textId="2A9B1511" w:rsidR="007A6629" w:rsidRPr="005511A4" w:rsidRDefault="007A6629" w:rsidP="007A6629">
      <w:pPr>
        <w:jc w:val="center"/>
        <w:rPr>
          <w:rFonts w:ascii="Book Antiqua" w:hAnsi="Book Antiqua" w:cs="Arial"/>
          <w:b/>
          <w:sz w:val="24"/>
          <w:szCs w:val="24"/>
        </w:rPr>
      </w:pPr>
      <w:r w:rsidRPr="005511A4">
        <w:rPr>
          <w:rFonts w:ascii="Book Antiqua" w:hAnsi="Book Antiqua" w:cs="Arial"/>
          <w:b/>
          <w:caps/>
          <w:sz w:val="24"/>
          <w:szCs w:val="24"/>
        </w:rPr>
        <w:t>(A</w:t>
      </w:r>
      <w:r w:rsidRPr="005511A4">
        <w:rPr>
          <w:rFonts w:ascii="Book Antiqua" w:hAnsi="Book Antiqua" w:cs="Arial"/>
          <w:b/>
          <w:sz w:val="24"/>
          <w:szCs w:val="24"/>
        </w:rPr>
        <w:t>nonymity Direction Made)</w:t>
      </w:r>
    </w:p>
    <w:p w14:paraId="3276639D" w14:textId="77777777" w:rsidR="007A6629" w:rsidRPr="005511A4" w:rsidRDefault="007A6629" w:rsidP="007A6629">
      <w:pPr>
        <w:jc w:val="right"/>
        <w:rPr>
          <w:rFonts w:ascii="Book Antiqua" w:hAnsi="Book Antiqua" w:cs="Arial"/>
          <w:sz w:val="24"/>
          <w:szCs w:val="24"/>
          <w:u w:val="single"/>
        </w:rPr>
      </w:pPr>
      <w:r w:rsidRPr="005511A4">
        <w:rPr>
          <w:rFonts w:ascii="Book Antiqua" w:hAnsi="Book Antiqua" w:cs="Arial"/>
          <w:sz w:val="24"/>
          <w:szCs w:val="24"/>
          <w:u w:val="single"/>
        </w:rPr>
        <w:t>Appellant</w:t>
      </w:r>
    </w:p>
    <w:p w14:paraId="02D85688" w14:textId="17B3620C" w:rsidR="007A6629" w:rsidRPr="005511A4" w:rsidRDefault="00931C8D" w:rsidP="007A6629">
      <w:pPr>
        <w:jc w:val="center"/>
        <w:rPr>
          <w:rFonts w:ascii="Book Antiqua" w:hAnsi="Book Antiqua" w:cs="Arial"/>
          <w:b/>
          <w:sz w:val="24"/>
          <w:szCs w:val="24"/>
        </w:rPr>
      </w:pPr>
      <w:r>
        <w:rPr>
          <w:rFonts w:ascii="Book Antiqua" w:hAnsi="Book Antiqua" w:cs="Arial"/>
          <w:b/>
          <w:sz w:val="24"/>
          <w:szCs w:val="24"/>
        </w:rPr>
        <w:t>and</w:t>
      </w:r>
    </w:p>
    <w:p w14:paraId="407C4060" w14:textId="77777777" w:rsidR="007A6629" w:rsidRPr="005511A4" w:rsidRDefault="007A6629" w:rsidP="007A6629">
      <w:pPr>
        <w:jc w:val="center"/>
        <w:rPr>
          <w:rFonts w:ascii="Book Antiqua" w:hAnsi="Book Antiqua" w:cs="Arial"/>
          <w:b/>
          <w:sz w:val="24"/>
          <w:szCs w:val="24"/>
        </w:rPr>
      </w:pPr>
      <w:r w:rsidRPr="005511A4">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bookmarkStart w:id="1" w:name="Text7"/>
      <w:r w:rsidRPr="005511A4">
        <w:rPr>
          <w:rFonts w:ascii="Book Antiqua" w:hAnsi="Book Antiqua" w:cs="Arial"/>
          <w:b/>
          <w:sz w:val="24"/>
          <w:szCs w:val="24"/>
        </w:rPr>
        <w:instrText xml:space="preserve"> FORMTEXT </w:instrText>
      </w:r>
      <w:r w:rsidRPr="005511A4">
        <w:rPr>
          <w:rFonts w:ascii="Book Antiqua" w:hAnsi="Book Antiqua" w:cs="Arial"/>
          <w:b/>
          <w:sz w:val="24"/>
          <w:szCs w:val="24"/>
        </w:rPr>
      </w:r>
      <w:r w:rsidRPr="005511A4">
        <w:rPr>
          <w:rFonts w:ascii="Book Antiqua" w:hAnsi="Book Antiqua" w:cs="Arial"/>
          <w:b/>
          <w:sz w:val="24"/>
          <w:szCs w:val="24"/>
        </w:rPr>
        <w:fldChar w:fldCharType="separate"/>
      </w:r>
      <w:r w:rsidRPr="005511A4">
        <w:rPr>
          <w:rFonts w:ascii="Book Antiqua" w:hAnsi="Book Antiqua" w:cs="Arial"/>
          <w:b/>
          <w:noProof/>
          <w:sz w:val="24"/>
          <w:szCs w:val="24"/>
        </w:rPr>
        <w:t>THE SECRETARY OF STATE FOR THE HOME DEPARTMENT</w:t>
      </w:r>
      <w:r w:rsidRPr="005511A4">
        <w:rPr>
          <w:rFonts w:ascii="Book Antiqua" w:hAnsi="Book Antiqua" w:cs="Arial"/>
          <w:b/>
          <w:sz w:val="24"/>
          <w:szCs w:val="24"/>
        </w:rPr>
        <w:fldChar w:fldCharType="end"/>
      </w:r>
      <w:bookmarkEnd w:id="1"/>
    </w:p>
    <w:p w14:paraId="1B506655" w14:textId="77777777" w:rsidR="007A6629" w:rsidRPr="005511A4" w:rsidRDefault="007A6629" w:rsidP="007A6629">
      <w:pPr>
        <w:jc w:val="right"/>
        <w:rPr>
          <w:rFonts w:ascii="Book Antiqua" w:hAnsi="Book Antiqua" w:cs="Arial"/>
          <w:sz w:val="24"/>
          <w:szCs w:val="24"/>
          <w:u w:val="single"/>
        </w:rPr>
      </w:pPr>
      <w:r w:rsidRPr="005511A4">
        <w:rPr>
          <w:rFonts w:ascii="Book Antiqua" w:hAnsi="Book Antiqua" w:cs="Arial"/>
          <w:sz w:val="24"/>
          <w:szCs w:val="24"/>
          <w:u w:val="single"/>
        </w:rPr>
        <w:t>Respondent</w:t>
      </w:r>
    </w:p>
    <w:p w14:paraId="0024C505" w14:textId="77777777" w:rsidR="00931C8D" w:rsidRDefault="00931C8D" w:rsidP="007A6629">
      <w:pPr>
        <w:rPr>
          <w:rFonts w:ascii="Book Antiqua" w:hAnsi="Book Antiqua" w:cs="Arial"/>
          <w:b/>
          <w:sz w:val="24"/>
          <w:szCs w:val="24"/>
          <w:u w:val="single"/>
        </w:rPr>
      </w:pPr>
    </w:p>
    <w:p w14:paraId="7672804D" w14:textId="6C07BE84" w:rsidR="007A6629" w:rsidRPr="005511A4" w:rsidRDefault="007A6629" w:rsidP="007A6629">
      <w:pPr>
        <w:rPr>
          <w:rFonts w:ascii="Book Antiqua" w:hAnsi="Book Antiqua" w:cs="Arial"/>
          <w:sz w:val="24"/>
          <w:szCs w:val="24"/>
        </w:rPr>
      </w:pPr>
      <w:r w:rsidRPr="005511A4">
        <w:rPr>
          <w:rFonts w:ascii="Book Antiqua" w:hAnsi="Book Antiqua" w:cs="Arial"/>
          <w:b/>
          <w:sz w:val="24"/>
          <w:szCs w:val="24"/>
          <w:u w:val="single"/>
        </w:rPr>
        <w:t>Representation</w:t>
      </w:r>
      <w:r w:rsidRPr="005511A4">
        <w:rPr>
          <w:rFonts w:ascii="Book Antiqua" w:hAnsi="Book Antiqua" w:cs="Arial"/>
          <w:b/>
          <w:sz w:val="24"/>
          <w:szCs w:val="24"/>
        </w:rPr>
        <w:t>:</w:t>
      </w:r>
    </w:p>
    <w:p w14:paraId="21B0F75F" w14:textId="12D73C4F" w:rsidR="007A6629" w:rsidRPr="005511A4" w:rsidRDefault="007A6629" w:rsidP="00931C8D">
      <w:pPr>
        <w:ind w:left="2552" w:hanging="2552"/>
        <w:rPr>
          <w:rFonts w:ascii="Book Antiqua" w:hAnsi="Book Antiqua" w:cs="Arial"/>
          <w:sz w:val="24"/>
          <w:szCs w:val="24"/>
        </w:rPr>
      </w:pPr>
      <w:r w:rsidRPr="005511A4">
        <w:rPr>
          <w:rFonts w:ascii="Book Antiqua" w:hAnsi="Book Antiqua" w:cs="Arial"/>
          <w:sz w:val="24"/>
          <w:szCs w:val="24"/>
        </w:rPr>
        <w:t>For the Appellant:</w:t>
      </w:r>
      <w:r w:rsidR="00931C8D">
        <w:rPr>
          <w:rFonts w:ascii="Book Antiqua" w:hAnsi="Book Antiqua" w:cs="Arial"/>
          <w:sz w:val="24"/>
          <w:szCs w:val="24"/>
        </w:rPr>
        <w:tab/>
      </w:r>
      <w:r w:rsidR="00140633" w:rsidRPr="005511A4">
        <w:rPr>
          <w:rFonts w:ascii="Book Antiqua" w:hAnsi="Book Antiqua" w:cs="Arial"/>
          <w:sz w:val="24"/>
          <w:szCs w:val="24"/>
        </w:rPr>
        <w:t xml:space="preserve">Ms J Fisher instructed by </w:t>
      </w:r>
      <w:r w:rsidR="00642D81" w:rsidRPr="005511A4">
        <w:rPr>
          <w:rFonts w:ascii="Book Antiqua" w:hAnsi="Book Antiqua" w:cs="Arial"/>
          <w:sz w:val="24"/>
          <w:szCs w:val="24"/>
        </w:rPr>
        <w:t>Sterling &amp; Law Associates LLP</w:t>
      </w:r>
    </w:p>
    <w:p w14:paraId="1D0EB27C" w14:textId="1FAF0F76" w:rsidR="007A6629" w:rsidRPr="005511A4" w:rsidRDefault="007A6629" w:rsidP="00931C8D">
      <w:pPr>
        <w:tabs>
          <w:tab w:val="left" w:pos="2552"/>
        </w:tabs>
        <w:rPr>
          <w:rFonts w:ascii="Book Antiqua" w:hAnsi="Book Antiqua" w:cs="Arial"/>
          <w:sz w:val="24"/>
          <w:szCs w:val="24"/>
        </w:rPr>
      </w:pPr>
      <w:r w:rsidRPr="005511A4">
        <w:rPr>
          <w:rFonts w:ascii="Book Antiqua" w:hAnsi="Book Antiqua" w:cs="Arial"/>
          <w:sz w:val="24"/>
          <w:szCs w:val="24"/>
        </w:rPr>
        <w:t>For the Respondent:</w:t>
      </w:r>
      <w:r w:rsidR="00931C8D">
        <w:rPr>
          <w:rFonts w:ascii="Book Antiqua" w:hAnsi="Book Antiqua" w:cs="Arial"/>
          <w:sz w:val="24"/>
          <w:szCs w:val="24"/>
        </w:rPr>
        <w:tab/>
      </w:r>
      <w:r w:rsidR="00642D81" w:rsidRPr="005511A4">
        <w:rPr>
          <w:rFonts w:ascii="Book Antiqua" w:hAnsi="Book Antiqua" w:cs="Arial"/>
          <w:sz w:val="24"/>
          <w:szCs w:val="24"/>
        </w:rPr>
        <w:t>Mrs Eboni,</w:t>
      </w:r>
      <w:r w:rsidRPr="005511A4">
        <w:rPr>
          <w:rFonts w:ascii="Book Antiqua" w:hAnsi="Book Antiqua" w:cs="Arial"/>
          <w:sz w:val="24"/>
          <w:szCs w:val="24"/>
        </w:rPr>
        <w:t xml:space="preserve"> Home Office Presenting Officer </w:t>
      </w:r>
    </w:p>
    <w:p w14:paraId="7A4BD9DA" w14:textId="77777777" w:rsidR="00931C8D" w:rsidRDefault="00931C8D" w:rsidP="007A6629">
      <w:pPr>
        <w:tabs>
          <w:tab w:val="left" w:pos="2520"/>
        </w:tabs>
        <w:jc w:val="center"/>
        <w:rPr>
          <w:rFonts w:ascii="Book Antiqua" w:hAnsi="Book Antiqua" w:cs="Arial"/>
          <w:b/>
          <w:sz w:val="24"/>
          <w:szCs w:val="24"/>
          <w:u w:val="single"/>
        </w:rPr>
      </w:pPr>
    </w:p>
    <w:p w14:paraId="57E1F0A6" w14:textId="7465A3DA" w:rsidR="007A6629" w:rsidRPr="005511A4" w:rsidRDefault="007A6629" w:rsidP="007A6629">
      <w:pPr>
        <w:tabs>
          <w:tab w:val="left" w:pos="2520"/>
        </w:tabs>
        <w:jc w:val="center"/>
        <w:rPr>
          <w:rFonts w:ascii="Book Antiqua" w:hAnsi="Book Antiqua" w:cs="Arial"/>
          <w:sz w:val="24"/>
          <w:szCs w:val="24"/>
        </w:rPr>
      </w:pPr>
      <w:r w:rsidRPr="005511A4">
        <w:rPr>
          <w:rFonts w:ascii="Book Antiqua" w:hAnsi="Book Antiqua" w:cs="Arial"/>
          <w:b/>
          <w:sz w:val="24"/>
          <w:szCs w:val="24"/>
          <w:u w:val="single"/>
        </w:rPr>
        <w:t>DECISION AND REASONS</w:t>
      </w:r>
    </w:p>
    <w:p w14:paraId="42A6E39E" w14:textId="6CA286D3" w:rsidR="001946A7" w:rsidRPr="00055EF1" w:rsidRDefault="007A6629" w:rsidP="00055EF1">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lastRenderedPageBreak/>
        <w:t>The appellant is a national of</w:t>
      </w:r>
      <w:r w:rsidR="007F2F78" w:rsidRPr="005511A4">
        <w:rPr>
          <w:rFonts w:ascii="Book Antiqua" w:hAnsi="Book Antiqua" w:cs="Arial"/>
          <w:sz w:val="24"/>
          <w:szCs w:val="24"/>
        </w:rPr>
        <w:t xml:space="preserve"> Ukraine born on </w:t>
      </w:r>
      <w:proofErr w:type="gramStart"/>
      <w:r w:rsidR="00931C8D">
        <w:rPr>
          <w:rFonts w:ascii="Book Antiqua" w:hAnsi="Book Antiqua" w:cs="Arial"/>
          <w:sz w:val="24"/>
          <w:szCs w:val="24"/>
        </w:rPr>
        <w:t>[ ]</w:t>
      </w:r>
      <w:proofErr w:type="gramEnd"/>
      <w:r w:rsidR="00931C8D">
        <w:rPr>
          <w:rFonts w:ascii="Book Antiqua" w:hAnsi="Book Antiqua" w:cs="Arial"/>
          <w:sz w:val="24"/>
          <w:szCs w:val="24"/>
        </w:rPr>
        <w:t xml:space="preserve"> </w:t>
      </w:r>
      <w:r w:rsidR="007F2F78" w:rsidRPr="005511A4">
        <w:rPr>
          <w:rFonts w:ascii="Book Antiqua" w:hAnsi="Book Antiqua" w:cs="Arial"/>
          <w:sz w:val="24"/>
          <w:szCs w:val="24"/>
        </w:rPr>
        <w:t>1979</w:t>
      </w:r>
      <w:r w:rsidR="007677E4">
        <w:rPr>
          <w:rFonts w:ascii="Book Antiqua" w:hAnsi="Book Antiqua" w:cs="Arial"/>
          <w:sz w:val="24"/>
          <w:szCs w:val="24"/>
        </w:rPr>
        <w:t xml:space="preserve"> and he sought</w:t>
      </w:r>
      <w:r w:rsidR="007F2F78" w:rsidRPr="005511A4">
        <w:rPr>
          <w:rFonts w:ascii="Book Antiqua" w:hAnsi="Book Antiqua" w:cs="Arial"/>
          <w:sz w:val="24"/>
          <w:szCs w:val="24"/>
        </w:rPr>
        <w:t xml:space="preserve"> permission to appeal against </w:t>
      </w:r>
      <w:r w:rsidR="007677E4">
        <w:rPr>
          <w:rFonts w:ascii="Book Antiqua" w:hAnsi="Book Antiqua" w:cs="Arial"/>
          <w:sz w:val="24"/>
          <w:szCs w:val="24"/>
        </w:rPr>
        <w:t>F</w:t>
      </w:r>
      <w:r w:rsidR="007F2F78" w:rsidRPr="005511A4">
        <w:rPr>
          <w:rFonts w:ascii="Book Antiqua" w:hAnsi="Book Antiqua" w:cs="Arial"/>
          <w:sz w:val="24"/>
          <w:szCs w:val="24"/>
        </w:rPr>
        <w:t xml:space="preserve">irst-tier Tribunal </w:t>
      </w:r>
      <w:r w:rsidR="007677E4">
        <w:rPr>
          <w:rFonts w:ascii="Book Antiqua" w:hAnsi="Book Antiqua" w:cs="Arial"/>
          <w:sz w:val="24"/>
          <w:szCs w:val="24"/>
        </w:rPr>
        <w:t>J</w:t>
      </w:r>
      <w:r w:rsidR="007F2F78" w:rsidRPr="005511A4">
        <w:rPr>
          <w:rFonts w:ascii="Book Antiqua" w:hAnsi="Book Antiqua" w:cs="Arial"/>
          <w:sz w:val="24"/>
          <w:szCs w:val="24"/>
        </w:rPr>
        <w:t>udge W</w:t>
      </w:r>
      <w:r w:rsidR="007677E4">
        <w:rPr>
          <w:rFonts w:ascii="Book Antiqua" w:hAnsi="Book Antiqua" w:cs="Arial"/>
          <w:sz w:val="24"/>
          <w:szCs w:val="24"/>
        </w:rPr>
        <w:t>ooley</w:t>
      </w:r>
      <w:r w:rsidR="007F2F78" w:rsidRPr="005511A4">
        <w:rPr>
          <w:rFonts w:ascii="Book Antiqua" w:hAnsi="Book Antiqua" w:cs="Arial"/>
          <w:sz w:val="24"/>
          <w:szCs w:val="24"/>
        </w:rPr>
        <w:t>’s decision to dismiss his appeal against the respondent’s decision of 31</w:t>
      </w:r>
      <w:r w:rsidR="007F2F78" w:rsidRPr="005511A4">
        <w:rPr>
          <w:rFonts w:ascii="Book Antiqua" w:hAnsi="Book Antiqua" w:cs="Arial"/>
          <w:sz w:val="24"/>
          <w:szCs w:val="24"/>
          <w:vertAlign w:val="superscript"/>
        </w:rPr>
        <w:t>st</w:t>
      </w:r>
      <w:r w:rsidR="007F2F78" w:rsidRPr="005511A4">
        <w:rPr>
          <w:rFonts w:ascii="Book Antiqua" w:hAnsi="Book Antiqua" w:cs="Arial"/>
          <w:sz w:val="24"/>
          <w:szCs w:val="24"/>
        </w:rPr>
        <w:t xml:space="preserve"> of May 2017</w:t>
      </w:r>
      <w:r w:rsidR="001946A7" w:rsidRPr="005511A4">
        <w:rPr>
          <w:rFonts w:ascii="Book Antiqua" w:hAnsi="Book Antiqua" w:cs="Arial"/>
          <w:sz w:val="24"/>
          <w:szCs w:val="24"/>
        </w:rPr>
        <w:t xml:space="preserve"> to refuse</w:t>
      </w:r>
      <w:r w:rsidR="00055EF1">
        <w:rPr>
          <w:rFonts w:ascii="Book Antiqua" w:hAnsi="Book Antiqua" w:cs="Arial"/>
          <w:sz w:val="24"/>
          <w:szCs w:val="24"/>
        </w:rPr>
        <w:t xml:space="preserve"> his</w:t>
      </w:r>
      <w:r w:rsidR="001946A7" w:rsidRPr="005511A4">
        <w:rPr>
          <w:rFonts w:ascii="Book Antiqua" w:hAnsi="Book Antiqua" w:cs="Arial"/>
          <w:sz w:val="24"/>
          <w:szCs w:val="24"/>
        </w:rPr>
        <w:t xml:space="preserve"> asylum and human rights claim</w:t>
      </w:r>
      <w:r w:rsidR="00055EF1">
        <w:rPr>
          <w:rFonts w:ascii="Book Antiqua" w:hAnsi="Book Antiqua" w:cs="Arial"/>
          <w:sz w:val="24"/>
          <w:szCs w:val="24"/>
        </w:rPr>
        <w:t>.</w:t>
      </w:r>
    </w:p>
    <w:p w14:paraId="71628ED1" w14:textId="7B9BE9DD" w:rsidR="007A6629" w:rsidRPr="005511A4" w:rsidRDefault="001946A7" w:rsidP="005D118D">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The appellant asserts that</w:t>
      </w:r>
      <w:r w:rsidR="00DB37CE">
        <w:rPr>
          <w:rFonts w:ascii="Book Antiqua" w:hAnsi="Book Antiqua" w:cs="Arial"/>
          <w:sz w:val="24"/>
          <w:szCs w:val="24"/>
        </w:rPr>
        <w:t>,</w:t>
      </w:r>
      <w:r w:rsidRPr="005511A4">
        <w:rPr>
          <w:rFonts w:ascii="Book Antiqua" w:hAnsi="Book Antiqua" w:cs="Arial"/>
          <w:sz w:val="24"/>
          <w:szCs w:val="24"/>
        </w:rPr>
        <w:t xml:space="preserve"> like the appellant in </w:t>
      </w:r>
      <w:r w:rsidRPr="00DB37CE">
        <w:rPr>
          <w:rFonts w:ascii="Book Antiqua" w:hAnsi="Book Antiqua" w:cs="Arial"/>
          <w:b/>
          <w:sz w:val="24"/>
          <w:szCs w:val="24"/>
          <w:u w:val="single"/>
        </w:rPr>
        <w:t xml:space="preserve">VB </w:t>
      </w:r>
      <w:r w:rsidR="00665479" w:rsidRPr="00DB37CE">
        <w:rPr>
          <w:rFonts w:ascii="Book Antiqua" w:hAnsi="Book Antiqua" w:cs="Arial"/>
          <w:b/>
          <w:sz w:val="24"/>
          <w:szCs w:val="24"/>
          <w:u w:val="single"/>
        </w:rPr>
        <w:t>&amp;</w:t>
      </w:r>
      <w:r w:rsidRPr="00DB37CE">
        <w:rPr>
          <w:rFonts w:ascii="Book Antiqua" w:hAnsi="Book Antiqua" w:cs="Arial"/>
          <w:b/>
          <w:sz w:val="24"/>
          <w:szCs w:val="24"/>
          <w:u w:val="single"/>
        </w:rPr>
        <w:t xml:space="preserve"> another </w:t>
      </w:r>
      <w:r w:rsidR="00665479" w:rsidRPr="00DB37CE">
        <w:rPr>
          <w:rFonts w:ascii="Book Antiqua" w:hAnsi="Book Antiqua" w:cs="Arial"/>
          <w:b/>
          <w:sz w:val="24"/>
          <w:szCs w:val="24"/>
          <w:u w:val="single"/>
        </w:rPr>
        <w:t>(</w:t>
      </w:r>
      <w:r w:rsidR="00DC726D" w:rsidRPr="00DB37CE">
        <w:rPr>
          <w:rFonts w:ascii="Book Antiqua" w:hAnsi="Book Antiqua" w:cs="Arial"/>
          <w:b/>
          <w:sz w:val="24"/>
          <w:szCs w:val="24"/>
          <w:u w:val="single"/>
        </w:rPr>
        <w:t>D</w:t>
      </w:r>
      <w:r w:rsidRPr="00DB37CE">
        <w:rPr>
          <w:rFonts w:ascii="Book Antiqua" w:hAnsi="Book Antiqua" w:cs="Arial"/>
          <w:b/>
          <w:sz w:val="24"/>
          <w:szCs w:val="24"/>
          <w:u w:val="single"/>
        </w:rPr>
        <w:t xml:space="preserve">raft </w:t>
      </w:r>
      <w:r w:rsidR="00DC726D" w:rsidRPr="00DB37CE">
        <w:rPr>
          <w:rFonts w:ascii="Book Antiqua" w:hAnsi="Book Antiqua" w:cs="Arial"/>
          <w:b/>
          <w:sz w:val="24"/>
          <w:szCs w:val="24"/>
          <w:u w:val="single"/>
        </w:rPr>
        <w:t>E</w:t>
      </w:r>
      <w:r w:rsidRPr="00DB37CE">
        <w:rPr>
          <w:rFonts w:ascii="Book Antiqua" w:hAnsi="Book Antiqua" w:cs="Arial"/>
          <w:b/>
          <w:sz w:val="24"/>
          <w:szCs w:val="24"/>
          <w:u w:val="single"/>
        </w:rPr>
        <w:t>vaders and prison conditions) Ukraine</w:t>
      </w:r>
      <w:r w:rsidR="00665479" w:rsidRPr="00DB37CE">
        <w:rPr>
          <w:rFonts w:ascii="Book Antiqua" w:hAnsi="Book Antiqua" w:cs="Arial"/>
          <w:b/>
          <w:sz w:val="24"/>
          <w:szCs w:val="24"/>
          <w:u w:val="single"/>
        </w:rPr>
        <w:t xml:space="preserve"> CG</w:t>
      </w:r>
      <w:r w:rsidR="00665479" w:rsidRPr="005511A4">
        <w:rPr>
          <w:rFonts w:ascii="Book Antiqua" w:hAnsi="Book Antiqua" w:cs="Arial"/>
          <w:sz w:val="24"/>
          <w:szCs w:val="24"/>
        </w:rPr>
        <w:t xml:space="preserve"> [2017] UKUT 0079</w:t>
      </w:r>
      <w:r w:rsidR="00DC726D" w:rsidRPr="005511A4">
        <w:rPr>
          <w:rFonts w:ascii="Book Antiqua" w:hAnsi="Book Antiqua" w:cs="Arial"/>
          <w:sz w:val="24"/>
          <w:szCs w:val="24"/>
        </w:rPr>
        <w:t>, he has received mobilisation papers requiring his attendance with a military commissar. His failure to attend because he had already fled to the UK had resulted in</w:t>
      </w:r>
      <w:r w:rsidR="005F766F" w:rsidRPr="005511A4">
        <w:rPr>
          <w:rFonts w:ascii="Book Antiqua" w:hAnsi="Book Antiqua" w:cs="Arial"/>
          <w:sz w:val="24"/>
          <w:szCs w:val="24"/>
        </w:rPr>
        <w:t xml:space="preserve"> a summons to appear before a military prosecutor for the offence draft evasion. To compound the danger faced by the appellant </w:t>
      </w:r>
      <w:r w:rsidR="00DB37CE">
        <w:rPr>
          <w:rFonts w:ascii="Book Antiqua" w:hAnsi="Book Antiqua" w:cs="Arial"/>
          <w:sz w:val="24"/>
          <w:szCs w:val="24"/>
        </w:rPr>
        <w:t>in</w:t>
      </w:r>
      <w:r w:rsidR="005F766F" w:rsidRPr="005511A4">
        <w:rPr>
          <w:rFonts w:ascii="Book Antiqua" w:hAnsi="Book Antiqua" w:cs="Arial"/>
          <w:sz w:val="24"/>
          <w:szCs w:val="24"/>
        </w:rPr>
        <w:t xml:space="preserve"> Ukraine he was a well-known supporter of the Party of the Regions the party of Viktor Yanukovych</w:t>
      </w:r>
      <w:r w:rsidR="00A50DB5" w:rsidRPr="005511A4">
        <w:rPr>
          <w:rFonts w:ascii="Book Antiqua" w:hAnsi="Book Antiqua" w:cs="Arial"/>
          <w:sz w:val="24"/>
          <w:szCs w:val="24"/>
        </w:rPr>
        <w:t>, and a high ranking civil servant in the fisheries Department as well as a member of the Special Board for Corruption and Organised Crime Counteraction.</w:t>
      </w:r>
    </w:p>
    <w:p w14:paraId="6D0DD325" w14:textId="77777777" w:rsidR="007A6629" w:rsidRPr="005511A4" w:rsidRDefault="007A6629" w:rsidP="007A6629">
      <w:pPr>
        <w:spacing w:before="240"/>
        <w:jc w:val="both"/>
        <w:rPr>
          <w:rFonts w:ascii="Book Antiqua" w:hAnsi="Book Antiqua" w:cs="Arial"/>
          <w:b/>
          <w:sz w:val="24"/>
          <w:szCs w:val="24"/>
          <w:u w:val="single"/>
        </w:rPr>
      </w:pPr>
      <w:r w:rsidRPr="005511A4">
        <w:rPr>
          <w:rFonts w:ascii="Book Antiqua" w:hAnsi="Book Antiqua" w:cs="Arial"/>
          <w:b/>
          <w:sz w:val="24"/>
          <w:szCs w:val="24"/>
          <w:u w:val="single"/>
        </w:rPr>
        <w:t>Application for Permission to Appeal</w:t>
      </w:r>
    </w:p>
    <w:p w14:paraId="0BAEE48C" w14:textId="3DCE9E05" w:rsidR="005D118D" w:rsidRPr="005511A4" w:rsidRDefault="007A6629" w:rsidP="007A6629">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 xml:space="preserve">The application for permission </w:t>
      </w:r>
      <w:r w:rsidR="00367D02">
        <w:rPr>
          <w:rFonts w:ascii="Book Antiqua" w:hAnsi="Book Antiqua" w:cs="Arial"/>
          <w:sz w:val="24"/>
          <w:szCs w:val="24"/>
        </w:rPr>
        <w:t xml:space="preserve">asserted </w:t>
      </w:r>
      <w:r w:rsidRPr="005511A4">
        <w:rPr>
          <w:rFonts w:ascii="Book Antiqua" w:hAnsi="Book Antiqua" w:cs="Arial"/>
          <w:sz w:val="24"/>
          <w:szCs w:val="24"/>
        </w:rPr>
        <w:t xml:space="preserve">that the determination contained material errors of law specifically that </w:t>
      </w:r>
    </w:p>
    <w:p w14:paraId="466A2FF2" w14:textId="3227AFB1" w:rsidR="007A6629" w:rsidRPr="005511A4" w:rsidRDefault="00912EC6" w:rsidP="00931C8D">
      <w:pPr>
        <w:pStyle w:val="ListParagraph"/>
        <w:numPr>
          <w:ilvl w:val="5"/>
          <w:numId w:val="1"/>
        </w:numPr>
        <w:spacing w:before="120" w:after="120" w:line="240" w:lineRule="auto"/>
        <w:ind w:left="1134" w:hanging="567"/>
        <w:jc w:val="both"/>
        <w:rPr>
          <w:rFonts w:ascii="Book Antiqua" w:hAnsi="Book Antiqua" w:cs="Arial"/>
          <w:sz w:val="24"/>
          <w:szCs w:val="24"/>
        </w:rPr>
      </w:pPr>
      <w:r w:rsidRPr="005511A4">
        <w:rPr>
          <w:rFonts w:ascii="Book Antiqua" w:hAnsi="Book Antiqua" w:cs="Arial"/>
          <w:sz w:val="24"/>
          <w:szCs w:val="24"/>
        </w:rPr>
        <w:t>there was a failure to take relevant evidence into account in relation to the appellant</w:t>
      </w:r>
      <w:r w:rsidR="008614E9">
        <w:rPr>
          <w:rFonts w:ascii="Book Antiqua" w:hAnsi="Book Antiqua" w:cs="Arial"/>
          <w:sz w:val="24"/>
          <w:szCs w:val="24"/>
        </w:rPr>
        <w:t>’</w:t>
      </w:r>
      <w:r w:rsidRPr="005511A4">
        <w:rPr>
          <w:rFonts w:ascii="Book Antiqua" w:hAnsi="Book Antiqua" w:cs="Arial"/>
          <w:sz w:val="24"/>
          <w:szCs w:val="24"/>
        </w:rPr>
        <w:t>s political involvement</w:t>
      </w:r>
      <w:r w:rsidR="004472AA" w:rsidRPr="005511A4">
        <w:rPr>
          <w:rFonts w:ascii="Book Antiqua" w:hAnsi="Book Antiqua" w:cs="Arial"/>
          <w:sz w:val="24"/>
          <w:szCs w:val="24"/>
        </w:rPr>
        <w:t>. At the hearing the judge was directed to specific evidence about the ill-treatment of the Kiev regime’s political opponents and paragraph 23 of the judge</w:t>
      </w:r>
      <w:r w:rsidR="008614E9">
        <w:rPr>
          <w:rFonts w:ascii="Book Antiqua" w:hAnsi="Book Antiqua" w:cs="Arial"/>
          <w:sz w:val="24"/>
          <w:szCs w:val="24"/>
        </w:rPr>
        <w:t>’</w:t>
      </w:r>
      <w:r w:rsidR="004472AA" w:rsidRPr="005511A4">
        <w:rPr>
          <w:rFonts w:ascii="Book Antiqua" w:hAnsi="Book Antiqua" w:cs="Arial"/>
          <w:sz w:val="24"/>
          <w:szCs w:val="24"/>
        </w:rPr>
        <w:t>s decision</w:t>
      </w:r>
      <w:r w:rsidR="008B7C5B" w:rsidRPr="005511A4">
        <w:rPr>
          <w:rFonts w:ascii="Book Antiqua" w:hAnsi="Book Antiqua" w:cs="Arial"/>
          <w:sz w:val="24"/>
          <w:szCs w:val="24"/>
        </w:rPr>
        <w:t xml:space="preserve"> contained the relevant references specifically </w:t>
      </w:r>
      <w:r w:rsidR="0045251B" w:rsidRPr="005511A4">
        <w:rPr>
          <w:rFonts w:ascii="Book Antiqua" w:hAnsi="Book Antiqua" w:cs="Arial"/>
          <w:sz w:val="24"/>
          <w:szCs w:val="24"/>
        </w:rPr>
        <w:t>[</w:t>
      </w:r>
      <w:r w:rsidR="008B7C5B" w:rsidRPr="005511A4">
        <w:rPr>
          <w:rFonts w:ascii="Book Antiqua" w:hAnsi="Book Antiqua" w:cs="Arial"/>
          <w:sz w:val="24"/>
          <w:szCs w:val="24"/>
        </w:rPr>
        <w:t>202</w:t>
      </w:r>
      <w:r w:rsidR="0045251B" w:rsidRPr="005511A4">
        <w:rPr>
          <w:rFonts w:ascii="Book Antiqua" w:hAnsi="Book Antiqua" w:cs="Arial"/>
          <w:sz w:val="24"/>
          <w:szCs w:val="24"/>
        </w:rPr>
        <w:t>]</w:t>
      </w:r>
      <w:r w:rsidR="008B7C5B" w:rsidRPr="005511A4">
        <w:rPr>
          <w:rFonts w:ascii="Book Antiqua" w:hAnsi="Book Antiqua" w:cs="Arial"/>
          <w:sz w:val="24"/>
          <w:szCs w:val="24"/>
        </w:rPr>
        <w:t xml:space="preserve"> “</w:t>
      </w:r>
      <w:r w:rsidR="008B7C5B" w:rsidRPr="005511A4">
        <w:rPr>
          <w:rFonts w:ascii="Book Antiqua" w:hAnsi="Book Antiqua" w:cs="Arial"/>
          <w:i/>
          <w:sz w:val="24"/>
          <w:szCs w:val="24"/>
        </w:rPr>
        <w:t>Amnesty International has found that both sides arbitrarily holding civilians who have not committed any crime,</w:t>
      </w:r>
      <w:r w:rsidR="00B4457A" w:rsidRPr="005511A4">
        <w:rPr>
          <w:rFonts w:ascii="Book Antiqua" w:hAnsi="Book Antiqua" w:cs="Arial"/>
          <w:i/>
          <w:sz w:val="24"/>
          <w:szCs w:val="24"/>
        </w:rPr>
        <w:t xml:space="preserve"> but who sympathise with the opposing side. The organisation spoke to civilians who were detained and beaten merely for having photographs from the EuroMaydan protests on their mobile phone, over having telephone numbers of separatist contacts</w:t>
      </w:r>
      <w:r w:rsidR="00CE5F93" w:rsidRPr="005511A4">
        <w:rPr>
          <w:rFonts w:ascii="Book Antiqua" w:hAnsi="Book Antiqua" w:cs="Arial"/>
          <w:sz w:val="24"/>
          <w:szCs w:val="24"/>
        </w:rPr>
        <w:t>”.</w:t>
      </w:r>
    </w:p>
    <w:p w14:paraId="0DC52B3A" w14:textId="05151E8B" w:rsidR="0045251B" w:rsidRPr="005511A4" w:rsidRDefault="0045251B" w:rsidP="00931C8D">
      <w:pPr>
        <w:pStyle w:val="ListParagraph"/>
        <w:spacing w:before="120" w:after="120" w:line="240" w:lineRule="auto"/>
        <w:ind w:left="1134"/>
        <w:jc w:val="both"/>
        <w:rPr>
          <w:rFonts w:ascii="Book Antiqua" w:hAnsi="Book Antiqua" w:cs="Arial"/>
          <w:sz w:val="24"/>
          <w:szCs w:val="24"/>
        </w:rPr>
      </w:pPr>
      <w:r w:rsidRPr="005511A4">
        <w:rPr>
          <w:rFonts w:ascii="Book Antiqua" w:hAnsi="Book Antiqua" w:cs="Arial"/>
          <w:sz w:val="24"/>
          <w:szCs w:val="24"/>
        </w:rPr>
        <w:t xml:space="preserve">The </w:t>
      </w:r>
      <w:r w:rsidR="008614E9">
        <w:rPr>
          <w:rFonts w:ascii="Book Antiqua" w:hAnsi="Book Antiqua" w:cs="Arial"/>
          <w:sz w:val="24"/>
          <w:szCs w:val="24"/>
        </w:rPr>
        <w:t>R</w:t>
      </w:r>
      <w:r w:rsidRPr="005511A4">
        <w:rPr>
          <w:rFonts w:ascii="Book Antiqua" w:hAnsi="Book Antiqua" w:cs="Arial"/>
          <w:sz w:val="24"/>
          <w:szCs w:val="24"/>
        </w:rPr>
        <w:t xml:space="preserve">adio </w:t>
      </w:r>
      <w:r w:rsidR="008614E9">
        <w:rPr>
          <w:rFonts w:ascii="Book Antiqua" w:hAnsi="Book Antiqua" w:cs="Arial"/>
          <w:sz w:val="24"/>
          <w:szCs w:val="24"/>
        </w:rPr>
        <w:t>F</w:t>
      </w:r>
      <w:r w:rsidRPr="005511A4">
        <w:rPr>
          <w:rFonts w:ascii="Book Antiqua" w:hAnsi="Book Antiqua" w:cs="Arial"/>
          <w:sz w:val="24"/>
          <w:szCs w:val="24"/>
        </w:rPr>
        <w:t>ree Europe report at [205]</w:t>
      </w:r>
      <w:r w:rsidR="001578C0" w:rsidRPr="005511A4">
        <w:rPr>
          <w:rFonts w:ascii="Book Antiqua" w:hAnsi="Book Antiqua" w:cs="Arial"/>
          <w:sz w:val="24"/>
          <w:szCs w:val="24"/>
        </w:rPr>
        <w:t xml:space="preserve"> contained similar evidence about the detention of Kiev’s political opponents</w:t>
      </w:r>
      <w:r w:rsidR="0033583E" w:rsidRPr="005511A4">
        <w:rPr>
          <w:rFonts w:ascii="Book Antiqua" w:hAnsi="Book Antiqua" w:cs="Arial"/>
          <w:sz w:val="24"/>
          <w:szCs w:val="24"/>
        </w:rPr>
        <w:t xml:space="preserve"> especially those considered to have pro-Russian sympathies.</w:t>
      </w:r>
    </w:p>
    <w:p w14:paraId="76DBB36F" w14:textId="541D3BA6" w:rsidR="0033583E" w:rsidRPr="005511A4" w:rsidRDefault="0033583E" w:rsidP="00931C8D">
      <w:pPr>
        <w:pStyle w:val="ListParagraph"/>
        <w:spacing w:before="120" w:after="120" w:line="240" w:lineRule="auto"/>
        <w:ind w:left="1134"/>
        <w:jc w:val="both"/>
        <w:rPr>
          <w:rFonts w:ascii="Book Antiqua" w:hAnsi="Book Antiqua" w:cs="Arial"/>
          <w:sz w:val="24"/>
          <w:szCs w:val="24"/>
        </w:rPr>
      </w:pPr>
      <w:r w:rsidRPr="005511A4">
        <w:rPr>
          <w:rFonts w:ascii="Book Antiqua" w:hAnsi="Book Antiqua" w:cs="Arial"/>
          <w:sz w:val="24"/>
          <w:szCs w:val="24"/>
        </w:rPr>
        <w:t>The judge recorded</w:t>
      </w:r>
      <w:r w:rsidR="008614E9">
        <w:rPr>
          <w:rFonts w:ascii="Book Antiqua" w:hAnsi="Book Antiqua" w:cs="Arial"/>
          <w:sz w:val="24"/>
          <w:szCs w:val="24"/>
        </w:rPr>
        <w:t>, however,</w:t>
      </w:r>
      <w:r w:rsidRPr="005511A4">
        <w:rPr>
          <w:rFonts w:ascii="Book Antiqua" w:hAnsi="Book Antiqua" w:cs="Arial"/>
          <w:sz w:val="24"/>
          <w:szCs w:val="24"/>
        </w:rPr>
        <w:t xml:space="preserve"> that the evidence “does not reveal any persecution of former or present political opponents”</w:t>
      </w:r>
      <w:r w:rsidR="008614E9">
        <w:rPr>
          <w:rFonts w:ascii="Book Antiqua" w:hAnsi="Book Antiqua" w:cs="Arial"/>
          <w:sz w:val="24"/>
          <w:szCs w:val="24"/>
        </w:rPr>
        <w:t>.  T</w:t>
      </w:r>
      <w:r w:rsidRPr="005511A4">
        <w:rPr>
          <w:rFonts w:ascii="Book Antiqua" w:hAnsi="Book Antiqua" w:cs="Arial"/>
          <w:sz w:val="24"/>
          <w:szCs w:val="24"/>
        </w:rPr>
        <w:t>he judge was specifically taken to this evidence</w:t>
      </w:r>
      <w:r w:rsidR="008614E9">
        <w:rPr>
          <w:rFonts w:ascii="Book Antiqua" w:hAnsi="Book Antiqua" w:cs="Arial"/>
          <w:sz w:val="24"/>
          <w:szCs w:val="24"/>
        </w:rPr>
        <w:t xml:space="preserve"> but</w:t>
      </w:r>
      <w:r w:rsidRPr="005511A4">
        <w:rPr>
          <w:rFonts w:ascii="Book Antiqua" w:hAnsi="Book Antiqua" w:cs="Arial"/>
          <w:sz w:val="24"/>
          <w:szCs w:val="24"/>
        </w:rPr>
        <w:t xml:space="preserve"> appeared not to have taken it into account. That failure amounted to an error of law.</w:t>
      </w:r>
    </w:p>
    <w:p w14:paraId="7176CFFA" w14:textId="77777777" w:rsidR="0033583E" w:rsidRPr="005511A4" w:rsidRDefault="0033583E" w:rsidP="00931C8D">
      <w:pPr>
        <w:pStyle w:val="ListParagraph"/>
        <w:spacing w:before="120" w:after="120" w:line="240" w:lineRule="auto"/>
        <w:ind w:left="1134" w:hanging="567"/>
        <w:jc w:val="both"/>
        <w:rPr>
          <w:rFonts w:ascii="Book Antiqua" w:hAnsi="Book Antiqua" w:cs="Arial"/>
          <w:sz w:val="24"/>
          <w:szCs w:val="24"/>
        </w:rPr>
      </w:pPr>
    </w:p>
    <w:p w14:paraId="73315D82" w14:textId="0DF309A7" w:rsidR="0045251B" w:rsidRPr="005511A4" w:rsidRDefault="000B7945" w:rsidP="00931C8D">
      <w:pPr>
        <w:pStyle w:val="ListParagraph"/>
        <w:numPr>
          <w:ilvl w:val="5"/>
          <w:numId w:val="1"/>
        </w:numPr>
        <w:spacing w:before="120" w:after="120" w:line="240" w:lineRule="auto"/>
        <w:ind w:left="1134" w:hanging="567"/>
        <w:jc w:val="both"/>
        <w:rPr>
          <w:rFonts w:ascii="Book Antiqua" w:hAnsi="Book Antiqua" w:cs="Arial"/>
          <w:sz w:val="24"/>
          <w:szCs w:val="24"/>
        </w:rPr>
      </w:pPr>
      <w:r w:rsidRPr="005511A4">
        <w:rPr>
          <w:rFonts w:ascii="Book Antiqua" w:hAnsi="Book Antiqua" w:cs="Arial"/>
          <w:sz w:val="24"/>
          <w:szCs w:val="24"/>
        </w:rPr>
        <w:t xml:space="preserve">There was a failure to place the appellant’s religion and role in the fisheries ministry in the context. The appellant’s case summary was that he was a relatively </w:t>
      </w:r>
      <w:r w:rsidR="00CE5F93" w:rsidRPr="005511A4">
        <w:rPr>
          <w:rFonts w:ascii="Book Antiqua" w:hAnsi="Book Antiqua" w:cs="Arial"/>
          <w:sz w:val="24"/>
          <w:szCs w:val="24"/>
        </w:rPr>
        <w:t>high-ranking</w:t>
      </w:r>
      <w:r w:rsidRPr="005511A4">
        <w:rPr>
          <w:rFonts w:ascii="Book Antiqua" w:hAnsi="Book Antiqua" w:cs="Arial"/>
          <w:sz w:val="24"/>
          <w:szCs w:val="24"/>
        </w:rPr>
        <w:t xml:space="preserve"> part of law enforcement</w:t>
      </w:r>
      <w:r w:rsidR="0073033E" w:rsidRPr="005511A4">
        <w:rPr>
          <w:rFonts w:ascii="Book Antiqua" w:hAnsi="Book Antiqua" w:cs="Arial"/>
          <w:sz w:val="24"/>
          <w:szCs w:val="24"/>
        </w:rPr>
        <w:t xml:space="preserve"> apparatus of the ancient regime in Ukraine and he was known to be a political supporter of that regime which was pro-Russia</w:t>
      </w:r>
      <w:r w:rsidR="004F1636" w:rsidRPr="005511A4">
        <w:rPr>
          <w:rFonts w:ascii="Book Antiqua" w:hAnsi="Book Antiqua" w:cs="Arial"/>
          <w:sz w:val="24"/>
          <w:szCs w:val="24"/>
        </w:rPr>
        <w:t>n. He was also a member of the Russian Orthodox church rather than Ukrainian Orthodox Church. It could be seen that having ties to Moscow and therefore</w:t>
      </w:r>
      <w:r w:rsidR="00CF098E" w:rsidRPr="005511A4">
        <w:rPr>
          <w:rFonts w:ascii="Book Antiqua" w:hAnsi="Book Antiqua" w:cs="Arial"/>
          <w:sz w:val="24"/>
          <w:szCs w:val="24"/>
        </w:rPr>
        <w:t xml:space="preserve"> separatist was a dangerous issuing Ukraine.</w:t>
      </w:r>
    </w:p>
    <w:p w14:paraId="4432D722" w14:textId="0B5DC72D" w:rsidR="00CF098E" w:rsidRDefault="00CF098E" w:rsidP="00931C8D">
      <w:pPr>
        <w:pStyle w:val="ListParagraph"/>
        <w:spacing w:before="120" w:after="120" w:line="240" w:lineRule="auto"/>
        <w:ind w:left="1134"/>
        <w:jc w:val="both"/>
        <w:rPr>
          <w:rFonts w:ascii="Book Antiqua" w:hAnsi="Book Antiqua" w:cs="Arial"/>
          <w:sz w:val="24"/>
          <w:szCs w:val="24"/>
        </w:rPr>
      </w:pPr>
      <w:r w:rsidRPr="005511A4">
        <w:rPr>
          <w:rFonts w:ascii="Book Antiqua" w:hAnsi="Book Antiqua" w:cs="Arial"/>
          <w:sz w:val="24"/>
          <w:szCs w:val="24"/>
        </w:rPr>
        <w:lastRenderedPageBreak/>
        <w:t xml:space="preserve">The judge was required to consider how those factors taken cumulatively </w:t>
      </w:r>
      <w:r w:rsidR="00590750" w:rsidRPr="005511A4">
        <w:rPr>
          <w:rFonts w:ascii="Book Antiqua" w:hAnsi="Book Antiqua" w:cs="Arial"/>
          <w:sz w:val="24"/>
          <w:szCs w:val="24"/>
        </w:rPr>
        <w:t>w</w:t>
      </w:r>
      <w:r w:rsidR="00CD3090">
        <w:rPr>
          <w:rFonts w:ascii="Book Antiqua" w:hAnsi="Book Antiqua" w:cs="Arial"/>
          <w:sz w:val="24"/>
          <w:szCs w:val="24"/>
        </w:rPr>
        <w:t>ould</w:t>
      </w:r>
      <w:r w:rsidR="00590750" w:rsidRPr="005511A4">
        <w:rPr>
          <w:rFonts w:ascii="Book Antiqua" w:hAnsi="Book Antiqua" w:cs="Arial"/>
          <w:sz w:val="24"/>
          <w:szCs w:val="24"/>
        </w:rPr>
        <w:t xml:space="preserve"> affect Ukrainian authorities approach to the appellant’s draft evasion. The failure to do so was an error of law.</w:t>
      </w:r>
    </w:p>
    <w:p w14:paraId="0738EB96" w14:textId="255851DB" w:rsidR="00261CC9" w:rsidRDefault="00261CC9" w:rsidP="007A6629">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Permission to appeal was granted on the basis that the judge had arguably failed to take into account country background evidence. </w:t>
      </w:r>
    </w:p>
    <w:p w14:paraId="72BE3A57" w14:textId="3D1BE524" w:rsidR="007A6629" w:rsidRPr="005511A4" w:rsidRDefault="00834922" w:rsidP="007A6629">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 xml:space="preserve">The Secretary of State submitted a rule 24 response arguing that the judge did not make specific reference to the relevant two paragraphs of the country </w:t>
      </w:r>
      <w:r w:rsidR="00CE5F93" w:rsidRPr="005511A4">
        <w:rPr>
          <w:rFonts w:ascii="Book Antiqua" w:hAnsi="Book Antiqua" w:cs="Arial"/>
          <w:sz w:val="24"/>
          <w:szCs w:val="24"/>
        </w:rPr>
        <w:t>guidance,</w:t>
      </w:r>
      <w:r w:rsidRPr="005511A4">
        <w:rPr>
          <w:rFonts w:ascii="Book Antiqua" w:hAnsi="Book Antiqua" w:cs="Arial"/>
          <w:sz w:val="24"/>
          <w:szCs w:val="24"/>
        </w:rPr>
        <w:t xml:space="preserve"> but the judge did consider the country guidance </w:t>
      </w:r>
      <w:r w:rsidR="00E12896" w:rsidRPr="005511A4">
        <w:rPr>
          <w:rFonts w:ascii="Book Antiqua" w:hAnsi="Book Antiqua" w:cs="Arial"/>
          <w:sz w:val="24"/>
          <w:szCs w:val="24"/>
        </w:rPr>
        <w:t xml:space="preserve">relating to </w:t>
      </w:r>
      <w:r w:rsidRPr="005511A4">
        <w:rPr>
          <w:rFonts w:ascii="Book Antiqua" w:hAnsi="Book Antiqua" w:cs="Arial"/>
          <w:sz w:val="24"/>
          <w:szCs w:val="24"/>
        </w:rPr>
        <w:t>the persecution of former present political opponents. The judge found that the date of the appellant’s membership card undermined his claim to be involved in the presidential election in early 2010</w:t>
      </w:r>
      <w:r w:rsidR="002233D2" w:rsidRPr="005511A4">
        <w:rPr>
          <w:rFonts w:ascii="Book Antiqua" w:hAnsi="Book Antiqua" w:cs="Arial"/>
          <w:sz w:val="24"/>
          <w:szCs w:val="24"/>
        </w:rPr>
        <w:t xml:space="preserve"> and dealt with the appellant’s involvement in the military service fully in paragraph 35 onwards. It was submitted that the judge directed herself appropriately.</w:t>
      </w:r>
    </w:p>
    <w:p w14:paraId="06D11D3C" w14:textId="77777777" w:rsidR="007A6629" w:rsidRPr="005511A4" w:rsidRDefault="007A6629" w:rsidP="007A6629">
      <w:pPr>
        <w:spacing w:before="240"/>
        <w:jc w:val="both"/>
        <w:rPr>
          <w:rFonts w:ascii="Book Antiqua" w:hAnsi="Book Antiqua" w:cs="Arial"/>
          <w:b/>
          <w:sz w:val="24"/>
          <w:szCs w:val="24"/>
          <w:u w:val="single"/>
        </w:rPr>
      </w:pPr>
      <w:r w:rsidRPr="005511A4">
        <w:rPr>
          <w:rFonts w:ascii="Book Antiqua" w:hAnsi="Book Antiqua" w:cs="Arial"/>
          <w:b/>
          <w:sz w:val="24"/>
          <w:szCs w:val="24"/>
          <w:u w:val="single"/>
        </w:rPr>
        <w:t>The Hearing</w:t>
      </w:r>
    </w:p>
    <w:p w14:paraId="12F14AB2" w14:textId="77777777" w:rsidR="00D0088A" w:rsidRDefault="007A6629" w:rsidP="007A6629">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 xml:space="preserve">At the hearing, </w:t>
      </w:r>
      <w:r w:rsidR="00E12896" w:rsidRPr="005511A4">
        <w:rPr>
          <w:rFonts w:ascii="Book Antiqua" w:hAnsi="Book Antiqua" w:cs="Arial"/>
          <w:sz w:val="24"/>
          <w:szCs w:val="24"/>
        </w:rPr>
        <w:t>Miss Fisher submitted that the appellant was a draft e</w:t>
      </w:r>
      <w:r w:rsidR="00310877">
        <w:rPr>
          <w:rFonts w:ascii="Book Antiqua" w:hAnsi="Book Antiqua" w:cs="Arial"/>
          <w:sz w:val="24"/>
          <w:szCs w:val="24"/>
        </w:rPr>
        <w:t>vader</w:t>
      </w:r>
      <w:r w:rsidR="00E12896" w:rsidRPr="005511A4">
        <w:rPr>
          <w:rFonts w:ascii="Book Antiqua" w:hAnsi="Book Antiqua" w:cs="Arial"/>
          <w:sz w:val="24"/>
          <w:szCs w:val="24"/>
        </w:rPr>
        <w:t xml:space="preserve"> and his political background should have been considered</w:t>
      </w:r>
      <w:r w:rsidR="00310877">
        <w:rPr>
          <w:rFonts w:ascii="Book Antiqua" w:hAnsi="Book Antiqua" w:cs="Arial"/>
          <w:sz w:val="24"/>
          <w:szCs w:val="24"/>
        </w:rPr>
        <w:t xml:space="preserve"> in the round</w:t>
      </w:r>
      <w:r w:rsidR="00D316A0" w:rsidRPr="005511A4">
        <w:rPr>
          <w:rFonts w:ascii="Book Antiqua" w:hAnsi="Book Antiqua" w:cs="Arial"/>
          <w:sz w:val="24"/>
          <w:szCs w:val="24"/>
        </w:rPr>
        <w:t xml:space="preserve">. There </w:t>
      </w:r>
      <w:r w:rsidR="00310877">
        <w:rPr>
          <w:rFonts w:ascii="Book Antiqua" w:hAnsi="Book Antiqua" w:cs="Arial"/>
          <w:sz w:val="24"/>
          <w:szCs w:val="24"/>
        </w:rPr>
        <w:t>were a</w:t>
      </w:r>
      <w:r w:rsidR="00D316A0" w:rsidRPr="005511A4">
        <w:rPr>
          <w:rFonts w:ascii="Book Antiqua" w:hAnsi="Book Antiqua" w:cs="Arial"/>
          <w:sz w:val="24"/>
          <w:szCs w:val="24"/>
        </w:rPr>
        <w:t xml:space="preserve"> number of documents including a court summons to which no proper evidential weight had been accorded. Albeit that there was a discrepancy in the date of the membership card</w:t>
      </w:r>
      <w:r w:rsidR="00D0088A">
        <w:rPr>
          <w:rFonts w:ascii="Book Antiqua" w:hAnsi="Book Antiqua" w:cs="Arial"/>
          <w:sz w:val="24"/>
          <w:szCs w:val="24"/>
        </w:rPr>
        <w:t>,</w:t>
      </w:r>
      <w:r w:rsidR="00D316A0" w:rsidRPr="005511A4">
        <w:rPr>
          <w:rFonts w:ascii="Book Antiqua" w:hAnsi="Book Antiqua" w:cs="Arial"/>
          <w:sz w:val="24"/>
          <w:szCs w:val="24"/>
        </w:rPr>
        <w:t xml:space="preserve"> nonetheless</w:t>
      </w:r>
      <w:r w:rsidR="00D0088A">
        <w:rPr>
          <w:rFonts w:ascii="Book Antiqua" w:hAnsi="Book Antiqua" w:cs="Arial"/>
          <w:sz w:val="24"/>
          <w:szCs w:val="24"/>
        </w:rPr>
        <w:t>,</w:t>
      </w:r>
      <w:r w:rsidR="00D316A0" w:rsidRPr="005511A4">
        <w:rPr>
          <w:rFonts w:ascii="Book Antiqua" w:hAnsi="Book Antiqua" w:cs="Arial"/>
          <w:sz w:val="24"/>
          <w:szCs w:val="24"/>
        </w:rPr>
        <w:t xml:space="preserve"> the appellant had a political background</w:t>
      </w:r>
      <w:r w:rsidR="006F2697" w:rsidRPr="005511A4">
        <w:rPr>
          <w:rFonts w:ascii="Book Antiqua" w:hAnsi="Book Antiqua" w:cs="Arial"/>
          <w:sz w:val="24"/>
          <w:szCs w:val="24"/>
        </w:rPr>
        <w:t xml:space="preserve"> and he did not necessarily need to be a member of the party to be a supporter. The judge had accepted the appellant’s appointment</w:t>
      </w:r>
      <w:r w:rsidR="00D0088A">
        <w:rPr>
          <w:rFonts w:ascii="Book Antiqua" w:hAnsi="Book Antiqua" w:cs="Arial"/>
          <w:sz w:val="24"/>
          <w:szCs w:val="24"/>
        </w:rPr>
        <w:t>s</w:t>
      </w:r>
      <w:r w:rsidR="006F2697" w:rsidRPr="005511A4">
        <w:rPr>
          <w:rFonts w:ascii="Book Antiqua" w:hAnsi="Book Antiqua" w:cs="Arial"/>
          <w:sz w:val="24"/>
          <w:szCs w:val="24"/>
        </w:rPr>
        <w:t xml:space="preserve"> in Ukraine and at paragraph </w:t>
      </w:r>
      <w:r w:rsidR="00CE296B" w:rsidRPr="005511A4">
        <w:rPr>
          <w:rFonts w:ascii="Book Antiqua" w:hAnsi="Book Antiqua" w:cs="Arial"/>
          <w:sz w:val="24"/>
          <w:szCs w:val="24"/>
        </w:rPr>
        <w:t>23</w:t>
      </w:r>
      <w:r w:rsidR="006F2697" w:rsidRPr="005511A4">
        <w:rPr>
          <w:rFonts w:ascii="Book Antiqua" w:hAnsi="Book Antiqua" w:cs="Arial"/>
          <w:sz w:val="24"/>
          <w:szCs w:val="24"/>
        </w:rPr>
        <w:t xml:space="preserve"> had specifically noted the</w:t>
      </w:r>
      <w:r w:rsidR="00CE296B" w:rsidRPr="005511A4">
        <w:rPr>
          <w:rFonts w:ascii="Book Antiqua" w:hAnsi="Book Antiqua" w:cs="Arial"/>
          <w:sz w:val="24"/>
          <w:szCs w:val="24"/>
        </w:rPr>
        <w:t xml:space="preserve"> pages in the evidence that counsel for the representative had drawn to her attention.</w:t>
      </w:r>
      <w:r w:rsidR="00FC0693" w:rsidRPr="005511A4">
        <w:rPr>
          <w:rFonts w:ascii="Book Antiqua" w:hAnsi="Book Antiqua" w:cs="Arial"/>
          <w:sz w:val="24"/>
          <w:szCs w:val="24"/>
        </w:rPr>
        <w:t xml:space="preserve"> </w:t>
      </w:r>
    </w:p>
    <w:p w14:paraId="1F5B4391" w14:textId="7777FE1E" w:rsidR="007A6629" w:rsidRPr="005511A4" w:rsidRDefault="00AD29F1" w:rsidP="007A6629">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 xml:space="preserve">The judge </w:t>
      </w:r>
      <w:r>
        <w:rPr>
          <w:rFonts w:ascii="Book Antiqua" w:hAnsi="Book Antiqua" w:cs="Arial"/>
          <w:sz w:val="24"/>
          <w:szCs w:val="24"/>
        </w:rPr>
        <w:t xml:space="preserve">recorded </w:t>
      </w:r>
      <w:r w:rsidRPr="005511A4">
        <w:rPr>
          <w:rFonts w:ascii="Book Antiqua" w:hAnsi="Book Antiqua" w:cs="Arial"/>
          <w:sz w:val="24"/>
          <w:szCs w:val="24"/>
        </w:rPr>
        <w:t xml:space="preserve">at paragraph 32 that what was absent from the US State Department report was any mention of politically motivated prosecutions or persecution of supporters of opposition parties. </w:t>
      </w:r>
      <w:r w:rsidR="00972BAD" w:rsidRPr="005511A4">
        <w:rPr>
          <w:rFonts w:ascii="Book Antiqua" w:hAnsi="Book Antiqua" w:cs="Arial"/>
          <w:sz w:val="24"/>
          <w:szCs w:val="24"/>
        </w:rPr>
        <w:t>At paragraph 37 the judge stated “</w:t>
      </w:r>
      <w:r w:rsidR="00972BAD" w:rsidRPr="00D0088A">
        <w:rPr>
          <w:rFonts w:ascii="Book Antiqua" w:hAnsi="Book Antiqua" w:cs="Arial"/>
          <w:i/>
          <w:sz w:val="24"/>
          <w:szCs w:val="24"/>
        </w:rPr>
        <w:t>I have discussed the country guidance information above. This does not reveal any persecution of former or present political opponents</w:t>
      </w:r>
      <w:r w:rsidR="00972BAD" w:rsidRPr="005511A4">
        <w:rPr>
          <w:rFonts w:ascii="Book Antiqua" w:hAnsi="Book Antiqua" w:cs="Arial"/>
          <w:sz w:val="24"/>
          <w:szCs w:val="24"/>
        </w:rPr>
        <w:t xml:space="preserve">”. </w:t>
      </w:r>
      <w:r w:rsidR="00A94FC7" w:rsidRPr="005511A4">
        <w:rPr>
          <w:rFonts w:ascii="Book Antiqua" w:hAnsi="Book Antiqua" w:cs="Arial"/>
          <w:sz w:val="24"/>
          <w:szCs w:val="24"/>
        </w:rPr>
        <w:t>Miss Fisher referred me to the US State Department report at pages 66 and 68</w:t>
      </w:r>
      <w:r w:rsidR="00F129C5">
        <w:rPr>
          <w:rFonts w:ascii="Book Antiqua" w:hAnsi="Book Antiqua" w:cs="Arial"/>
          <w:sz w:val="24"/>
          <w:szCs w:val="24"/>
        </w:rPr>
        <w:t xml:space="preserve"> which did so identify re</w:t>
      </w:r>
      <w:r w:rsidR="003A78FC">
        <w:rPr>
          <w:rFonts w:ascii="Book Antiqua" w:hAnsi="Book Antiqua" w:cs="Arial"/>
          <w:sz w:val="24"/>
          <w:szCs w:val="24"/>
        </w:rPr>
        <w:t>p</w:t>
      </w:r>
      <w:r w:rsidR="00F129C5">
        <w:rPr>
          <w:rFonts w:ascii="Book Antiqua" w:hAnsi="Book Antiqua" w:cs="Arial"/>
          <w:sz w:val="24"/>
          <w:szCs w:val="24"/>
        </w:rPr>
        <w:t>orts of persecution</w:t>
      </w:r>
      <w:r w:rsidR="00A94FC7" w:rsidRPr="005511A4">
        <w:rPr>
          <w:rFonts w:ascii="Book Antiqua" w:hAnsi="Book Antiqua" w:cs="Arial"/>
          <w:sz w:val="24"/>
          <w:szCs w:val="24"/>
        </w:rPr>
        <w:t xml:space="preserve">. </w:t>
      </w:r>
      <w:r w:rsidR="00736BBF">
        <w:rPr>
          <w:rFonts w:ascii="Book Antiqua" w:hAnsi="Book Antiqua" w:cs="Arial"/>
          <w:sz w:val="24"/>
          <w:szCs w:val="24"/>
        </w:rPr>
        <w:t>Further</w:t>
      </w:r>
      <w:r w:rsidR="00145F30">
        <w:rPr>
          <w:rFonts w:ascii="Book Antiqua" w:hAnsi="Book Antiqua" w:cs="Arial"/>
          <w:sz w:val="24"/>
          <w:szCs w:val="24"/>
        </w:rPr>
        <w:t>, she submitted</w:t>
      </w:r>
      <w:r w:rsidR="00736BBF">
        <w:rPr>
          <w:rFonts w:ascii="Book Antiqua" w:hAnsi="Book Antiqua" w:cs="Arial"/>
          <w:sz w:val="24"/>
          <w:szCs w:val="24"/>
        </w:rPr>
        <w:t>, t</w:t>
      </w:r>
      <w:r w:rsidR="00A94FC7" w:rsidRPr="005511A4">
        <w:rPr>
          <w:rFonts w:ascii="Book Antiqua" w:hAnsi="Book Antiqua" w:cs="Arial"/>
          <w:sz w:val="24"/>
          <w:szCs w:val="24"/>
        </w:rPr>
        <w:t>he appellant</w:t>
      </w:r>
      <w:r w:rsidR="00F129C5">
        <w:rPr>
          <w:rFonts w:ascii="Book Antiqua" w:hAnsi="Book Antiqua" w:cs="Arial"/>
          <w:sz w:val="24"/>
          <w:szCs w:val="24"/>
        </w:rPr>
        <w:t>’s</w:t>
      </w:r>
      <w:r w:rsidR="00A94FC7" w:rsidRPr="005511A4">
        <w:rPr>
          <w:rFonts w:ascii="Book Antiqua" w:hAnsi="Book Antiqua" w:cs="Arial"/>
          <w:sz w:val="24"/>
          <w:szCs w:val="24"/>
        </w:rPr>
        <w:t xml:space="preserve"> background in the fisheries Department suggested that he was indeed involved in politics and this would have raised his risk profile</w:t>
      </w:r>
      <w:r w:rsidR="00B369A5" w:rsidRPr="005511A4">
        <w:rPr>
          <w:rFonts w:ascii="Book Antiqua" w:hAnsi="Book Antiqua" w:cs="Arial"/>
          <w:sz w:val="24"/>
          <w:szCs w:val="24"/>
        </w:rPr>
        <w:t>. As set out in the ground</w:t>
      </w:r>
      <w:r w:rsidR="00F579AE">
        <w:rPr>
          <w:rFonts w:ascii="Book Antiqua" w:hAnsi="Book Antiqua" w:cs="Arial"/>
          <w:sz w:val="24"/>
          <w:szCs w:val="24"/>
        </w:rPr>
        <w:t>s,</w:t>
      </w:r>
      <w:r w:rsidR="00B369A5" w:rsidRPr="005511A4">
        <w:rPr>
          <w:rFonts w:ascii="Book Antiqua" w:hAnsi="Book Antiqua" w:cs="Arial"/>
          <w:sz w:val="24"/>
          <w:szCs w:val="24"/>
        </w:rPr>
        <w:t xml:space="preserve"> being a supporter of the Russian Orthodox church indicated that he was pro-Russian</w:t>
      </w:r>
      <w:r w:rsidR="001E3D27" w:rsidRPr="005511A4">
        <w:rPr>
          <w:rFonts w:ascii="Book Antiqua" w:hAnsi="Book Antiqua" w:cs="Arial"/>
          <w:sz w:val="24"/>
          <w:szCs w:val="24"/>
        </w:rPr>
        <w:t xml:space="preserve">. </w:t>
      </w:r>
      <w:r w:rsidR="00036431" w:rsidRPr="005511A4">
        <w:rPr>
          <w:rFonts w:ascii="Book Antiqua" w:hAnsi="Book Antiqua" w:cs="Arial"/>
          <w:sz w:val="24"/>
          <w:szCs w:val="24"/>
        </w:rPr>
        <w:t xml:space="preserve">She added that there was also no mention of any persecution </w:t>
      </w:r>
      <w:r w:rsidR="00B62036" w:rsidRPr="005511A4">
        <w:rPr>
          <w:rFonts w:ascii="Book Antiqua" w:hAnsi="Book Antiqua" w:cs="Arial"/>
          <w:sz w:val="24"/>
          <w:szCs w:val="24"/>
        </w:rPr>
        <w:t>because of</w:t>
      </w:r>
      <w:r w:rsidR="00036431" w:rsidRPr="005511A4">
        <w:rPr>
          <w:rFonts w:ascii="Book Antiqua" w:hAnsi="Book Antiqua" w:cs="Arial"/>
          <w:sz w:val="24"/>
          <w:szCs w:val="24"/>
        </w:rPr>
        <w:t xml:space="preserve"> religion</w:t>
      </w:r>
      <w:r w:rsidR="00453B79" w:rsidRPr="005511A4">
        <w:rPr>
          <w:rFonts w:ascii="Book Antiqua" w:hAnsi="Book Antiqua" w:cs="Arial"/>
          <w:sz w:val="24"/>
          <w:szCs w:val="24"/>
        </w:rPr>
        <w:t xml:space="preserve">. </w:t>
      </w:r>
      <w:r w:rsidR="009D113F">
        <w:rPr>
          <w:rFonts w:ascii="Book Antiqua" w:hAnsi="Book Antiqua" w:cs="Arial"/>
          <w:sz w:val="24"/>
          <w:szCs w:val="24"/>
        </w:rPr>
        <w:t xml:space="preserve">The appellant’s profile should have been taken in the round. </w:t>
      </w:r>
      <w:r w:rsidR="00453B79" w:rsidRPr="005511A4">
        <w:rPr>
          <w:rFonts w:ascii="Book Antiqua" w:hAnsi="Book Antiqua" w:cs="Arial"/>
          <w:sz w:val="24"/>
          <w:szCs w:val="24"/>
        </w:rPr>
        <w:t>There was</w:t>
      </w:r>
      <w:r w:rsidR="00C675A1" w:rsidRPr="005511A4">
        <w:rPr>
          <w:rFonts w:ascii="Book Antiqua" w:hAnsi="Book Antiqua" w:cs="Arial"/>
          <w:sz w:val="24"/>
          <w:szCs w:val="24"/>
        </w:rPr>
        <w:t>,</w:t>
      </w:r>
      <w:r w:rsidR="00453B79" w:rsidRPr="005511A4">
        <w:rPr>
          <w:rFonts w:ascii="Book Antiqua" w:hAnsi="Book Antiqua" w:cs="Arial"/>
          <w:sz w:val="24"/>
          <w:szCs w:val="24"/>
        </w:rPr>
        <w:t xml:space="preserve"> at paragraph 47</w:t>
      </w:r>
      <w:r w:rsidR="00C675A1" w:rsidRPr="005511A4">
        <w:rPr>
          <w:rFonts w:ascii="Book Antiqua" w:hAnsi="Book Antiqua" w:cs="Arial"/>
          <w:sz w:val="24"/>
          <w:szCs w:val="24"/>
        </w:rPr>
        <w:t xml:space="preserve"> of the decision no finding regarding the </w:t>
      </w:r>
      <w:r w:rsidR="00BA4FEC" w:rsidRPr="005511A4">
        <w:rPr>
          <w:rFonts w:ascii="Book Antiqua" w:hAnsi="Book Antiqua" w:cs="Arial"/>
          <w:sz w:val="24"/>
          <w:szCs w:val="24"/>
        </w:rPr>
        <w:t xml:space="preserve">risk of </w:t>
      </w:r>
      <w:r w:rsidR="00C675A1" w:rsidRPr="005511A4">
        <w:rPr>
          <w:rFonts w:ascii="Book Antiqua" w:hAnsi="Book Antiqua" w:cs="Arial"/>
          <w:sz w:val="24"/>
          <w:szCs w:val="24"/>
        </w:rPr>
        <w:t>draft evasion and inadequate reasoning in that respect.</w:t>
      </w:r>
    </w:p>
    <w:p w14:paraId="0B3BD112" w14:textId="1AD5B1ED" w:rsidR="007A6629" w:rsidRPr="005511A4" w:rsidRDefault="007A6629" w:rsidP="007A6629">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lastRenderedPageBreak/>
        <w:t>M</w:t>
      </w:r>
      <w:r w:rsidR="00BA4FEC" w:rsidRPr="005511A4">
        <w:rPr>
          <w:rFonts w:ascii="Book Antiqua" w:hAnsi="Book Antiqua" w:cs="Arial"/>
          <w:sz w:val="24"/>
          <w:szCs w:val="24"/>
        </w:rPr>
        <w:t xml:space="preserve">rs Eboni </w:t>
      </w:r>
      <w:r w:rsidR="007523A9" w:rsidRPr="005511A4">
        <w:rPr>
          <w:rFonts w:ascii="Book Antiqua" w:hAnsi="Book Antiqua" w:cs="Arial"/>
          <w:sz w:val="24"/>
          <w:szCs w:val="24"/>
        </w:rPr>
        <w:t xml:space="preserve">advance that the first-tier Tribunal judge had directed herself appropriately and had made adverse credibility findings. </w:t>
      </w:r>
      <w:r w:rsidR="00B921D1" w:rsidRPr="005511A4">
        <w:rPr>
          <w:rFonts w:ascii="Book Antiqua" w:hAnsi="Book Antiqua" w:cs="Arial"/>
          <w:sz w:val="24"/>
          <w:szCs w:val="24"/>
        </w:rPr>
        <w:t>There was a discrepancy date with regards the membership card this was a late embellishment of his claim. The evidence was considered paragraph 37.</w:t>
      </w:r>
    </w:p>
    <w:p w14:paraId="14FD50D5" w14:textId="0D9CC925" w:rsidR="00274D62" w:rsidRPr="005511A4" w:rsidRDefault="00B921D1" w:rsidP="00274D62">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 xml:space="preserve">In reply </w:t>
      </w:r>
      <w:r w:rsidR="009D113F">
        <w:rPr>
          <w:rFonts w:ascii="Book Antiqua" w:hAnsi="Book Antiqua" w:cs="Arial"/>
          <w:sz w:val="24"/>
          <w:szCs w:val="24"/>
        </w:rPr>
        <w:t>M</w:t>
      </w:r>
      <w:r w:rsidRPr="005511A4">
        <w:rPr>
          <w:rFonts w:ascii="Book Antiqua" w:hAnsi="Book Antiqua" w:cs="Arial"/>
          <w:sz w:val="24"/>
          <w:szCs w:val="24"/>
        </w:rPr>
        <w:t>iss Fisher</w:t>
      </w:r>
      <w:r w:rsidR="00237595" w:rsidRPr="005511A4">
        <w:rPr>
          <w:rFonts w:ascii="Book Antiqua" w:hAnsi="Book Antiqua" w:cs="Arial"/>
          <w:sz w:val="24"/>
          <w:szCs w:val="24"/>
        </w:rPr>
        <w:t xml:space="preserve"> </w:t>
      </w:r>
      <w:r w:rsidR="00B4367A">
        <w:rPr>
          <w:rFonts w:ascii="Book Antiqua" w:hAnsi="Book Antiqua" w:cs="Arial"/>
          <w:sz w:val="24"/>
          <w:szCs w:val="24"/>
        </w:rPr>
        <w:t>advanced</w:t>
      </w:r>
      <w:r w:rsidR="00237595" w:rsidRPr="005511A4">
        <w:rPr>
          <w:rFonts w:ascii="Book Antiqua" w:hAnsi="Book Antiqua" w:cs="Arial"/>
          <w:sz w:val="24"/>
          <w:szCs w:val="24"/>
        </w:rPr>
        <w:t xml:space="preserve"> that the judge did not deal with the full substance of the case, the appellants political engagement despite the membership card issue</w:t>
      </w:r>
      <w:r w:rsidR="004F28C1" w:rsidRPr="005511A4">
        <w:rPr>
          <w:rFonts w:ascii="Book Antiqua" w:hAnsi="Book Antiqua" w:cs="Arial"/>
          <w:sz w:val="24"/>
          <w:szCs w:val="24"/>
        </w:rPr>
        <w:t>. Even if he was not a member that did not indicate that he was not a supporter</w:t>
      </w:r>
      <w:r w:rsidR="00B4367A">
        <w:rPr>
          <w:rFonts w:ascii="Book Antiqua" w:hAnsi="Book Antiqua" w:cs="Arial"/>
          <w:sz w:val="24"/>
          <w:szCs w:val="24"/>
        </w:rPr>
        <w:t xml:space="preserve"> with no political profile</w:t>
      </w:r>
      <w:r w:rsidR="004F28C1" w:rsidRPr="005511A4">
        <w:rPr>
          <w:rFonts w:ascii="Book Antiqua" w:hAnsi="Book Antiqua" w:cs="Arial"/>
          <w:sz w:val="24"/>
          <w:szCs w:val="24"/>
        </w:rPr>
        <w:t>. It was not sufficient to merely recite the evidence</w:t>
      </w:r>
      <w:r w:rsidR="00EE04FD">
        <w:rPr>
          <w:rFonts w:ascii="Book Antiqua" w:hAnsi="Book Antiqua" w:cs="Arial"/>
          <w:sz w:val="24"/>
          <w:szCs w:val="24"/>
        </w:rPr>
        <w:t>;</w:t>
      </w:r>
      <w:r w:rsidR="004F28C1" w:rsidRPr="005511A4">
        <w:rPr>
          <w:rFonts w:ascii="Book Antiqua" w:hAnsi="Book Antiqua" w:cs="Arial"/>
          <w:sz w:val="24"/>
          <w:szCs w:val="24"/>
        </w:rPr>
        <w:t xml:space="preserve"> it had to be incorporated into the reasoning</w:t>
      </w:r>
      <w:r w:rsidR="00274D62" w:rsidRPr="005511A4">
        <w:rPr>
          <w:rFonts w:ascii="Book Antiqua" w:hAnsi="Book Antiqua" w:cs="Arial"/>
          <w:sz w:val="24"/>
          <w:szCs w:val="24"/>
        </w:rPr>
        <w:t>.</w:t>
      </w:r>
      <w:r w:rsidR="00786AF9" w:rsidRPr="005511A4">
        <w:rPr>
          <w:rFonts w:ascii="Book Antiqua" w:hAnsi="Book Antiqua" w:cs="Arial"/>
          <w:sz w:val="24"/>
          <w:szCs w:val="24"/>
        </w:rPr>
        <w:t xml:space="preserve"> There was an inadequacy of key findings and the matter should be remitted to the first-tier Tribunal.</w:t>
      </w:r>
    </w:p>
    <w:p w14:paraId="4A472DA7" w14:textId="0D075906" w:rsidR="00274D62" w:rsidRPr="005511A4" w:rsidRDefault="00274D62" w:rsidP="00274D62">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Both advocates agreed that should an error of law be found the matter should be</w:t>
      </w:r>
    </w:p>
    <w:p w14:paraId="10D04648" w14:textId="77777777" w:rsidR="007A6629" w:rsidRPr="005511A4" w:rsidRDefault="007A6629" w:rsidP="00C3454F">
      <w:pPr>
        <w:spacing w:before="240" w:after="0" w:line="240" w:lineRule="auto"/>
        <w:jc w:val="both"/>
        <w:rPr>
          <w:rFonts w:ascii="Book Antiqua" w:hAnsi="Book Antiqua" w:cs="Arial"/>
          <w:sz w:val="24"/>
          <w:szCs w:val="24"/>
        </w:rPr>
      </w:pPr>
      <w:r w:rsidRPr="005511A4">
        <w:rPr>
          <w:rFonts w:ascii="Book Antiqua" w:hAnsi="Book Antiqua" w:cs="Arial"/>
          <w:sz w:val="24"/>
          <w:szCs w:val="24"/>
        </w:rPr>
        <w:t>Conclusions</w:t>
      </w:r>
    </w:p>
    <w:p w14:paraId="2124E81D" w14:textId="4C37102D" w:rsidR="007A6629" w:rsidRPr="00B62C86" w:rsidRDefault="007A6629" w:rsidP="00B62C86">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The judge</w:t>
      </w:r>
      <w:r w:rsidR="00753020" w:rsidRPr="005511A4">
        <w:rPr>
          <w:rFonts w:ascii="Book Antiqua" w:hAnsi="Book Antiqua" w:cs="Arial"/>
          <w:sz w:val="24"/>
          <w:szCs w:val="24"/>
        </w:rPr>
        <w:t xml:space="preserve"> at paragraph 34 identified that there were various elements to the appellants claim and that her the judge should make a global conclusion on all the elements.</w:t>
      </w:r>
      <w:r w:rsidR="00F67002" w:rsidRPr="005511A4">
        <w:rPr>
          <w:rFonts w:ascii="Book Antiqua" w:hAnsi="Book Antiqua" w:cs="Arial"/>
          <w:sz w:val="24"/>
          <w:szCs w:val="24"/>
        </w:rPr>
        <w:t xml:space="preserve"> This acknowledges that there was an interaction of the elements of the claim.</w:t>
      </w:r>
      <w:r w:rsidR="004C60BC" w:rsidRPr="005511A4">
        <w:rPr>
          <w:rFonts w:ascii="Book Antiqua" w:hAnsi="Book Antiqua" w:cs="Arial"/>
          <w:sz w:val="24"/>
          <w:szCs w:val="24"/>
        </w:rPr>
        <w:t xml:space="preserve"> At paragraph 36 the judge indicates that she does not accept that he was a </w:t>
      </w:r>
      <w:r w:rsidR="004C60BC" w:rsidRPr="00940855">
        <w:rPr>
          <w:rFonts w:ascii="Book Antiqua" w:hAnsi="Book Antiqua" w:cs="Arial"/>
          <w:i/>
          <w:sz w:val="24"/>
          <w:szCs w:val="24"/>
        </w:rPr>
        <w:t>member</w:t>
      </w:r>
      <w:r w:rsidR="004C60BC" w:rsidRPr="005511A4">
        <w:rPr>
          <w:rFonts w:ascii="Book Antiqua" w:hAnsi="Book Antiqua" w:cs="Arial"/>
          <w:sz w:val="24"/>
          <w:szCs w:val="24"/>
        </w:rPr>
        <w:t xml:space="preserve"> </w:t>
      </w:r>
      <w:r w:rsidR="00C1502A" w:rsidRPr="005511A4">
        <w:rPr>
          <w:rFonts w:ascii="Book Antiqua" w:hAnsi="Book Antiqua" w:cs="Arial"/>
          <w:sz w:val="24"/>
          <w:szCs w:val="24"/>
        </w:rPr>
        <w:t xml:space="preserve">of the Party of the Regions, </w:t>
      </w:r>
      <w:r w:rsidR="004C60BC" w:rsidRPr="005511A4">
        <w:rPr>
          <w:rFonts w:ascii="Book Antiqua" w:hAnsi="Book Antiqua" w:cs="Arial"/>
          <w:sz w:val="24"/>
          <w:szCs w:val="24"/>
        </w:rPr>
        <w:t xml:space="preserve">but appears to fail to make </w:t>
      </w:r>
      <w:r w:rsidR="009063F8">
        <w:rPr>
          <w:rFonts w:ascii="Book Antiqua" w:hAnsi="Book Antiqua" w:cs="Arial"/>
          <w:sz w:val="24"/>
          <w:szCs w:val="24"/>
        </w:rPr>
        <w:t xml:space="preserve">a </w:t>
      </w:r>
      <w:r w:rsidR="00BF3A36">
        <w:rPr>
          <w:rFonts w:ascii="Book Antiqua" w:hAnsi="Book Antiqua" w:cs="Arial"/>
          <w:sz w:val="24"/>
          <w:szCs w:val="24"/>
        </w:rPr>
        <w:t xml:space="preserve">clear </w:t>
      </w:r>
      <w:r w:rsidR="004C60BC" w:rsidRPr="005511A4">
        <w:rPr>
          <w:rFonts w:ascii="Book Antiqua" w:hAnsi="Book Antiqua" w:cs="Arial"/>
          <w:sz w:val="24"/>
          <w:szCs w:val="24"/>
        </w:rPr>
        <w:t xml:space="preserve">finding as to whether he was a </w:t>
      </w:r>
      <w:r w:rsidR="004C60BC" w:rsidRPr="00940855">
        <w:rPr>
          <w:rFonts w:ascii="Book Antiqua" w:hAnsi="Book Antiqua" w:cs="Arial"/>
          <w:i/>
          <w:sz w:val="24"/>
          <w:szCs w:val="24"/>
        </w:rPr>
        <w:t>supporter</w:t>
      </w:r>
      <w:r w:rsidR="006C73BB" w:rsidRPr="005511A4">
        <w:rPr>
          <w:rFonts w:ascii="Book Antiqua" w:hAnsi="Book Antiqua" w:cs="Arial"/>
          <w:sz w:val="24"/>
          <w:szCs w:val="24"/>
        </w:rPr>
        <w:t>.</w:t>
      </w:r>
      <w:r w:rsidR="00E12FE9" w:rsidRPr="00E12FE9">
        <w:rPr>
          <w:rFonts w:ascii="Book Antiqua" w:hAnsi="Book Antiqua" w:cs="Arial"/>
          <w:sz w:val="24"/>
          <w:szCs w:val="24"/>
        </w:rPr>
        <w:t xml:space="preserve"> </w:t>
      </w:r>
      <w:r w:rsidR="00460A41">
        <w:rPr>
          <w:rFonts w:ascii="Book Antiqua" w:hAnsi="Book Antiqua" w:cs="Arial"/>
          <w:sz w:val="24"/>
          <w:szCs w:val="24"/>
        </w:rPr>
        <w:t xml:space="preserve">The argument made by Counsel was that lack membership did not signify a lack of political profile. </w:t>
      </w:r>
      <w:r w:rsidR="00B62C86">
        <w:rPr>
          <w:rFonts w:ascii="Book Antiqua" w:hAnsi="Book Antiqua" w:cs="Arial"/>
          <w:sz w:val="24"/>
          <w:szCs w:val="24"/>
        </w:rPr>
        <w:t>A</w:t>
      </w:r>
      <w:r w:rsidR="00E12FE9" w:rsidRPr="005511A4">
        <w:rPr>
          <w:rFonts w:ascii="Book Antiqua" w:hAnsi="Book Antiqua" w:cs="Arial"/>
          <w:sz w:val="24"/>
          <w:szCs w:val="24"/>
        </w:rPr>
        <w:t>t paragraph 4</w:t>
      </w:r>
      <w:r w:rsidR="00975AEA">
        <w:rPr>
          <w:rFonts w:ascii="Book Antiqua" w:hAnsi="Book Antiqua" w:cs="Arial"/>
          <w:sz w:val="24"/>
          <w:szCs w:val="24"/>
        </w:rPr>
        <w:t>5</w:t>
      </w:r>
      <w:r w:rsidR="00E12FE9" w:rsidRPr="005511A4">
        <w:rPr>
          <w:rFonts w:ascii="Book Antiqua" w:hAnsi="Book Antiqua" w:cs="Arial"/>
          <w:sz w:val="24"/>
          <w:szCs w:val="24"/>
        </w:rPr>
        <w:t>, the judge appears to</w:t>
      </w:r>
      <w:r w:rsidR="008A0654">
        <w:rPr>
          <w:rFonts w:ascii="Book Antiqua" w:hAnsi="Book Antiqua" w:cs="Arial"/>
          <w:sz w:val="24"/>
          <w:szCs w:val="24"/>
        </w:rPr>
        <w:t xml:space="preserve"> find there ‘no aggravating factors’</w:t>
      </w:r>
      <w:r w:rsidR="004737E4">
        <w:rPr>
          <w:rFonts w:ascii="Book Antiqua" w:hAnsi="Book Antiqua" w:cs="Arial"/>
          <w:sz w:val="24"/>
          <w:szCs w:val="24"/>
        </w:rPr>
        <w:t xml:space="preserve"> including pol</w:t>
      </w:r>
      <w:r w:rsidR="003A240D">
        <w:rPr>
          <w:rFonts w:ascii="Book Antiqua" w:hAnsi="Book Antiqua" w:cs="Arial"/>
          <w:sz w:val="24"/>
          <w:szCs w:val="24"/>
        </w:rPr>
        <w:t>i</w:t>
      </w:r>
      <w:r w:rsidR="004737E4">
        <w:rPr>
          <w:rFonts w:ascii="Book Antiqua" w:hAnsi="Book Antiqua" w:cs="Arial"/>
          <w:sz w:val="24"/>
          <w:szCs w:val="24"/>
        </w:rPr>
        <w:t>tical involvement</w:t>
      </w:r>
      <w:r w:rsidR="008A0654">
        <w:rPr>
          <w:rFonts w:ascii="Book Antiqua" w:hAnsi="Book Antiqua" w:cs="Arial"/>
          <w:sz w:val="24"/>
          <w:szCs w:val="24"/>
        </w:rPr>
        <w:t>.</w:t>
      </w:r>
      <w:r w:rsidR="00E12FE9" w:rsidRPr="005511A4">
        <w:rPr>
          <w:rFonts w:ascii="Book Antiqua" w:hAnsi="Book Antiqua" w:cs="Arial"/>
          <w:sz w:val="24"/>
          <w:szCs w:val="24"/>
        </w:rPr>
        <w:t xml:space="preserve"> </w:t>
      </w:r>
    </w:p>
    <w:p w14:paraId="5638FFB4" w14:textId="77777777" w:rsidR="008947C5" w:rsidRPr="005511A4" w:rsidRDefault="008947C5" w:rsidP="008947C5">
      <w:pPr>
        <w:numPr>
          <w:ilvl w:val="0"/>
          <w:numId w:val="1"/>
        </w:numPr>
        <w:tabs>
          <w:tab w:val="clear" w:pos="720"/>
        </w:tabs>
        <w:spacing w:before="240" w:after="0" w:line="240" w:lineRule="auto"/>
        <w:ind w:left="567" w:hanging="567"/>
        <w:jc w:val="both"/>
        <w:rPr>
          <w:rFonts w:ascii="Book Antiqua" w:hAnsi="Book Antiqua" w:cs="Arial"/>
          <w:i/>
          <w:sz w:val="24"/>
          <w:szCs w:val="24"/>
        </w:rPr>
      </w:pPr>
      <w:r w:rsidRPr="005511A4">
        <w:rPr>
          <w:rFonts w:ascii="Book Antiqua" w:hAnsi="Book Antiqua" w:cs="Arial"/>
          <w:sz w:val="24"/>
          <w:szCs w:val="24"/>
        </w:rPr>
        <w:t>The judge had recorded paragraph 32 that the US State Department was</w:t>
      </w:r>
    </w:p>
    <w:p w14:paraId="63B6757A" w14:textId="66CB99D2" w:rsidR="008947C5" w:rsidRPr="005511A4" w:rsidRDefault="008947C5" w:rsidP="008947C5">
      <w:pPr>
        <w:spacing w:before="240" w:after="0" w:line="240" w:lineRule="auto"/>
        <w:ind w:left="567"/>
        <w:jc w:val="both"/>
        <w:rPr>
          <w:rFonts w:ascii="Book Antiqua" w:hAnsi="Book Antiqua" w:cs="Arial"/>
          <w:i/>
          <w:sz w:val="24"/>
          <w:szCs w:val="24"/>
        </w:rPr>
      </w:pPr>
      <w:r w:rsidRPr="005511A4">
        <w:rPr>
          <w:rFonts w:ascii="Book Antiqua" w:hAnsi="Book Antiqua" w:cs="Arial"/>
          <w:sz w:val="24"/>
          <w:szCs w:val="24"/>
        </w:rPr>
        <w:t xml:space="preserve"> “</w:t>
      </w:r>
      <w:r w:rsidRPr="005511A4">
        <w:rPr>
          <w:rFonts w:ascii="Book Antiqua" w:hAnsi="Book Antiqua" w:cs="Arial"/>
          <w:i/>
          <w:sz w:val="24"/>
          <w:szCs w:val="24"/>
        </w:rPr>
        <w:t xml:space="preserve">silent on recent political changes and whether supporters of alternative parties to the ruling party will be subject to persecution. There is no mention of the party of the regions </w:t>
      </w:r>
      <w:r w:rsidR="00800789" w:rsidRPr="005511A4">
        <w:rPr>
          <w:rFonts w:ascii="Book Antiqua" w:hAnsi="Book Antiqua" w:cs="Arial"/>
          <w:i/>
          <w:sz w:val="24"/>
          <w:szCs w:val="24"/>
        </w:rPr>
        <w:t>(perhaps</w:t>
      </w:r>
      <w:r w:rsidRPr="005511A4">
        <w:rPr>
          <w:rFonts w:ascii="Book Antiqua" w:hAnsi="Book Antiqua" w:cs="Arial"/>
          <w:i/>
          <w:sz w:val="24"/>
          <w:szCs w:val="24"/>
        </w:rPr>
        <w:t xml:space="preserve"> unsurprisingly if that party no longer exists) but more importantly there is no mention of persecution for political belief”</w:t>
      </w:r>
    </w:p>
    <w:p w14:paraId="70B68B63" w14:textId="033076CA" w:rsidR="00707E3F" w:rsidRPr="005511A4" w:rsidRDefault="00D977F0" w:rsidP="007A6629">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Paragraph 37</w:t>
      </w:r>
      <w:r w:rsidR="00B445CF" w:rsidRPr="005511A4">
        <w:rPr>
          <w:rFonts w:ascii="Book Antiqua" w:hAnsi="Book Antiqua" w:cs="Arial"/>
          <w:sz w:val="24"/>
          <w:szCs w:val="24"/>
        </w:rPr>
        <w:t>,</w:t>
      </w:r>
      <w:r w:rsidRPr="005511A4">
        <w:rPr>
          <w:rFonts w:ascii="Book Antiqua" w:hAnsi="Book Antiqua" w:cs="Arial"/>
          <w:sz w:val="24"/>
          <w:szCs w:val="24"/>
        </w:rPr>
        <w:t xml:space="preserve"> however</w:t>
      </w:r>
      <w:r w:rsidR="00B445CF" w:rsidRPr="005511A4">
        <w:rPr>
          <w:rFonts w:ascii="Book Antiqua" w:hAnsi="Book Antiqua" w:cs="Arial"/>
          <w:sz w:val="24"/>
          <w:szCs w:val="24"/>
        </w:rPr>
        <w:t>,</w:t>
      </w:r>
      <w:r w:rsidRPr="005511A4">
        <w:rPr>
          <w:rFonts w:ascii="Book Antiqua" w:hAnsi="Book Antiqua" w:cs="Arial"/>
          <w:sz w:val="24"/>
          <w:szCs w:val="24"/>
        </w:rPr>
        <w:t xml:space="preserve"> is the crucial paragraph and whereby the judge records and notes that </w:t>
      </w:r>
    </w:p>
    <w:p w14:paraId="6FEDAB7F" w14:textId="1AC03BA9" w:rsidR="006C73BB" w:rsidRPr="005511A4" w:rsidRDefault="007D42EC" w:rsidP="00707E3F">
      <w:pPr>
        <w:spacing w:before="240" w:after="0" w:line="240" w:lineRule="auto"/>
        <w:ind w:left="720"/>
        <w:jc w:val="both"/>
        <w:rPr>
          <w:rFonts w:ascii="Book Antiqua" w:hAnsi="Book Antiqua" w:cs="Arial"/>
          <w:sz w:val="24"/>
          <w:szCs w:val="24"/>
        </w:rPr>
      </w:pPr>
      <w:r w:rsidRPr="005511A4">
        <w:rPr>
          <w:rFonts w:ascii="Book Antiqua" w:hAnsi="Book Antiqua" w:cs="Arial"/>
          <w:i/>
          <w:sz w:val="24"/>
          <w:szCs w:val="24"/>
        </w:rPr>
        <w:t xml:space="preserve">“I have discussed the country information </w:t>
      </w:r>
      <w:r w:rsidR="00B2438B" w:rsidRPr="005511A4">
        <w:rPr>
          <w:rFonts w:ascii="Book Antiqua" w:hAnsi="Book Antiqua" w:cs="Arial"/>
          <w:i/>
          <w:sz w:val="24"/>
          <w:szCs w:val="24"/>
        </w:rPr>
        <w:t>above.</w:t>
      </w:r>
      <w:r w:rsidRPr="005511A4">
        <w:rPr>
          <w:rFonts w:ascii="Book Antiqua" w:hAnsi="Book Antiqua" w:cs="Arial"/>
          <w:i/>
          <w:sz w:val="24"/>
          <w:szCs w:val="24"/>
        </w:rPr>
        <w:t xml:space="preserve"> </w:t>
      </w:r>
      <w:r w:rsidR="00B2438B" w:rsidRPr="005511A4">
        <w:rPr>
          <w:rFonts w:ascii="Book Antiqua" w:hAnsi="Book Antiqua" w:cs="Arial"/>
          <w:i/>
          <w:sz w:val="24"/>
          <w:szCs w:val="24"/>
        </w:rPr>
        <w:t>T</w:t>
      </w:r>
      <w:r w:rsidRPr="005511A4">
        <w:rPr>
          <w:rFonts w:ascii="Book Antiqua" w:hAnsi="Book Antiqua" w:cs="Arial"/>
          <w:i/>
          <w:sz w:val="24"/>
          <w:szCs w:val="24"/>
        </w:rPr>
        <w:t>his does not reveal any persecution of former or present political opponents</w:t>
      </w:r>
      <w:r w:rsidR="00B2438B" w:rsidRPr="005511A4">
        <w:rPr>
          <w:rFonts w:ascii="Book Antiqua" w:hAnsi="Book Antiqua" w:cs="Arial"/>
          <w:i/>
          <w:sz w:val="24"/>
          <w:szCs w:val="24"/>
        </w:rPr>
        <w:t>. T</w:t>
      </w:r>
      <w:r w:rsidRPr="005511A4">
        <w:rPr>
          <w:rFonts w:ascii="Book Antiqua" w:hAnsi="Book Antiqua" w:cs="Arial"/>
          <w:i/>
          <w:sz w:val="24"/>
          <w:szCs w:val="24"/>
        </w:rPr>
        <w:t>he elections in 2014 were free and fair</w:t>
      </w:r>
      <w:r w:rsidR="006745FE" w:rsidRPr="005511A4">
        <w:rPr>
          <w:rFonts w:ascii="Book Antiqua" w:hAnsi="Book Antiqua" w:cs="Arial"/>
          <w:i/>
          <w:sz w:val="24"/>
          <w:szCs w:val="24"/>
        </w:rPr>
        <w:t>. The appellant has mentioned high-profile leaders of his party… But there is no country information on their persecution or indeed any other leader of the party of the regions. If this was happening there could be expected to be reports of it but there are none</w:t>
      </w:r>
      <w:r w:rsidR="00B2438B" w:rsidRPr="005511A4">
        <w:rPr>
          <w:rFonts w:ascii="Book Antiqua" w:hAnsi="Book Antiqua" w:cs="Arial"/>
          <w:i/>
          <w:sz w:val="24"/>
          <w:szCs w:val="24"/>
        </w:rPr>
        <w:t>.  Th</w:t>
      </w:r>
      <w:r w:rsidR="00612139" w:rsidRPr="005511A4">
        <w:rPr>
          <w:rFonts w:ascii="Book Antiqua" w:hAnsi="Book Antiqua" w:cs="Arial"/>
          <w:i/>
          <w:sz w:val="24"/>
          <w:szCs w:val="24"/>
        </w:rPr>
        <w:t>e date on the appellant’s membership card undermined his claim to have been involved in the presidential elections in early 2010</w:t>
      </w:r>
      <w:r w:rsidR="00612139" w:rsidRPr="005511A4">
        <w:rPr>
          <w:rFonts w:ascii="Book Antiqua" w:hAnsi="Book Antiqua" w:cs="Arial"/>
          <w:sz w:val="24"/>
          <w:szCs w:val="24"/>
        </w:rPr>
        <w:t>”… “</w:t>
      </w:r>
      <w:r w:rsidR="00612139" w:rsidRPr="005511A4">
        <w:rPr>
          <w:rFonts w:ascii="Book Antiqua" w:hAnsi="Book Antiqua" w:cs="Arial"/>
          <w:i/>
          <w:sz w:val="24"/>
          <w:szCs w:val="24"/>
        </w:rPr>
        <w:t>I find that the appellant has not established a well-founded fear of persecution on account of his involvement in the party of the regions</w:t>
      </w:r>
      <w:r w:rsidR="00612139" w:rsidRPr="005511A4">
        <w:rPr>
          <w:rFonts w:ascii="Book Antiqua" w:hAnsi="Book Antiqua" w:cs="Arial"/>
          <w:sz w:val="24"/>
          <w:szCs w:val="24"/>
        </w:rPr>
        <w:t>”</w:t>
      </w:r>
    </w:p>
    <w:p w14:paraId="78475403" w14:textId="77777777" w:rsidR="00732F35" w:rsidRDefault="00B00EC2" w:rsidP="007A6629">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lastRenderedPageBreak/>
        <w:t xml:space="preserve">As Miss Fisher indicated, </w:t>
      </w:r>
      <w:r w:rsidR="00034A25" w:rsidRPr="005511A4">
        <w:rPr>
          <w:rFonts w:ascii="Book Antiqua" w:hAnsi="Book Antiqua" w:cs="Arial"/>
          <w:sz w:val="24"/>
          <w:szCs w:val="24"/>
        </w:rPr>
        <w:t>the judge had been specifically taken to the pages of the reports which had indeed indicated persecution of former or present political opponents</w:t>
      </w:r>
      <w:r w:rsidR="007A6629" w:rsidRPr="005511A4">
        <w:rPr>
          <w:rFonts w:ascii="Book Antiqua" w:hAnsi="Book Antiqua" w:cs="Arial"/>
          <w:sz w:val="24"/>
          <w:szCs w:val="24"/>
        </w:rPr>
        <w:t>.</w:t>
      </w:r>
      <w:r w:rsidR="009977B0" w:rsidRPr="005511A4">
        <w:rPr>
          <w:rFonts w:ascii="Book Antiqua" w:hAnsi="Book Antiqua" w:cs="Arial"/>
          <w:sz w:val="24"/>
          <w:szCs w:val="24"/>
        </w:rPr>
        <w:t xml:space="preserve"> This was not alluded to in or referenced by the judge in her cumulative findings.</w:t>
      </w:r>
      <w:r w:rsidR="004D0C9F" w:rsidRPr="005511A4">
        <w:rPr>
          <w:rFonts w:ascii="Book Antiqua" w:hAnsi="Book Antiqua" w:cs="Arial"/>
          <w:sz w:val="24"/>
          <w:szCs w:val="24"/>
        </w:rPr>
        <w:t xml:space="preserve"> Nor did she deal with the</w:t>
      </w:r>
      <w:r w:rsidR="00625007" w:rsidRPr="005511A4">
        <w:rPr>
          <w:rFonts w:ascii="Book Antiqua" w:hAnsi="Book Antiqua" w:cs="Arial"/>
          <w:sz w:val="24"/>
          <w:szCs w:val="24"/>
        </w:rPr>
        <w:t xml:space="preserve"> clear submission made by Counsel at the hearing that membership of a political party should not be confused with political opinion</w:t>
      </w:r>
      <w:r w:rsidR="00E10C54" w:rsidRPr="005511A4">
        <w:rPr>
          <w:rFonts w:ascii="Book Antiqua" w:hAnsi="Book Antiqua" w:cs="Arial"/>
          <w:sz w:val="24"/>
          <w:szCs w:val="24"/>
        </w:rPr>
        <w:t>.</w:t>
      </w:r>
      <w:r w:rsidR="00ED0BFF" w:rsidRPr="005511A4">
        <w:rPr>
          <w:rFonts w:ascii="Book Antiqua" w:hAnsi="Book Antiqua" w:cs="Arial"/>
          <w:sz w:val="24"/>
          <w:szCs w:val="24"/>
        </w:rPr>
        <w:t xml:space="preserve"> It would also appear that the judge has taken the elements of the claim separately and for example at paragraph 40</w:t>
      </w:r>
      <w:r w:rsidR="00F8441F" w:rsidRPr="005511A4">
        <w:rPr>
          <w:rFonts w:ascii="Book Antiqua" w:hAnsi="Book Antiqua" w:cs="Arial"/>
          <w:sz w:val="24"/>
          <w:szCs w:val="24"/>
        </w:rPr>
        <w:t>,</w:t>
      </w:r>
      <w:r w:rsidR="00ED0BFF" w:rsidRPr="005511A4">
        <w:rPr>
          <w:rFonts w:ascii="Book Antiqua" w:hAnsi="Book Antiqua" w:cs="Arial"/>
          <w:sz w:val="24"/>
          <w:szCs w:val="24"/>
        </w:rPr>
        <w:t xml:space="preserve"> she states </w:t>
      </w:r>
      <w:r w:rsidR="00F8441F" w:rsidRPr="005511A4">
        <w:rPr>
          <w:rFonts w:ascii="Book Antiqua" w:hAnsi="Book Antiqua" w:cs="Arial"/>
          <w:sz w:val="24"/>
          <w:szCs w:val="24"/>
        </w:rPr>
        <w:t>‘</w:t>
      </w:r>
      <w:r w:rsidR="00ED0BFF" w:rsidRPr="005511A4">
        <w:rPr>
          <w:rFonts w:ascii="Book Antiqua" w:hAnsi="Book Antiqua" w:cs="Arial"/>
          <w:i/>
          <w:sz w:val="24"/>
          <w:szCs w:val="24"/>
        </w:rPr>
        <w:t>I find that the appellant has not established a well-founded fear of persecution on account of his activities with the fisheries department</w:t>
      </w:r>
      <w:r w:rsidR="00F8441F" w:rsidRPr="005511A4">
        <w:rPr>
          <w:rFonts w:ascii="Book Antiqua" w:hAnsi="Book Antiqua" w:cs="Arial"/>
          <w:sz w:val="24"/>
          <w:szCs w:val="24"/>
        </w:rPr>
        <w:t>’</w:t>
      </w:r>
      <w:r w:rsidR="00ED0BFF" w:rsidRPr="005511A4">
        <w:rPr>
          <w:rFonts w:ascii="Book Antiqua" w:hAnsi="Book Antiqua" w:cs="Arial"/>
          <w:sz w:val="24"/>
          <w:szCs w:val="24"/>
        </w:rPr>
        <w:t xml:space="preserve">. </w:t>
      </w:r>
    </w:p>
    <w:p w14:paraId="16DDFDD1" w14:textId="306926D6" w:rsidR="00283378" w:rsidRPr="005511A4" w:rsidRDefault="00ED0BFF" w:rsidP="007A6629">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As Miss Fisher submitted</w:t>
      </w:r>
      <w:r w:rsidR="00014F94" w:rsidRPr="005511A4">
        <w:rPr>
          <w:rFonts w:ascii="Book Antiqua" w:hAnsi="Book Antiqua" w:cs="Arial"/>
          <w:sz w:val="24"/>
          <w:szCs w:val="24"/>
        </w:rPr>
        <w:t xml:space="preserve"> it was not each separate element that needed to be assessed </w:t>
      </w:r>
      <w:r w:rsidR="00B56B02" w:rsidRPr="005511A4">
        <w:rPr>
          <w:rFonts w:ascii="Book Antiqua" w:hAnsi="Book Antiqua" w:cs="Arial"/>
          <w:sz w:val="24"/>
          <w:szCs w:val="24"/>
        </w:rPr>
        <w:t>but</w:t>
      </w:r>
      <w:r w:rsidR="00014F94" w:rsidRPr="005511A4">
        <w:rPr>
          <w:rFonts w:ascii="Book Antiqua" w:hAnsi="Book Antiqua" w:cs="Arial"/>
          <w:sz w:val="24"/>
          <w:szCs w:val="24"/>
        </w:rPr>
        <w:t xml:space="preserve"> the various elements cumulatively</w:t>
      </w:r>
      <w:r w:rsidR="00DA6870" w:rsidRPr="005511A4">
        <w:rPr>
          <w:rFonts w:ascii="Book Antiqua" w:hAnsi="Book Antiqua" w:cs="Arial"/>
          <w:sz w:val="24"/>
          <w:szCs w:val="24"/>
        </w:rPr>
        <w:t xml:space="preserve">. </w:t>
      </w:r>
      <w:r w:rsidR="00F16978">
        <w:rPr>
          <w:rFonts w:ascii="Book Antiqua" w:hAnsi="Book Antiqua" w:cs="Arial"/>
          <w:sz w:val="24"/>
          <w:szCs w:val="24"/>
        </w:rPr>
        <w:t xml:space="preserve">The case was not that the appellant would be targeted solely because of his religious persuasion but this had to be factored into the whole assessment of his profile. </w:t>
      </w:r>
    </w:p>
    <w:p w14:paraId="56B8B835" w14:textId="034D77FE" w:rsidR="007A6629" w:rsidRPr="005511A4" w:rsidRDefault="009C7AB9" w:rsidP="00BD1188">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 xml:space="preserve">Between paragraph 44 and paragraph 45 there </w:t>
      </w:r>
      <w:r w:rsidR="00283378" w:rsidRPr="005511A4">
        <w:rPr>
          <w:rFonts w:ascii="Book Antiqua" w:hAnsi="Book Antiqua" w:cs="Arial"/>
          <w:sz w:val="24"/>
          <w:szCs w:val="24"/>
        </w:rPr>
        <w:t xml:space="preserve">is </w:t>
      </w:r>
      <w:r w:rsidRPr="005511A4">
        <w:rPr>
          <w:rFonts w:ascii="Book Antiqua" w:hAnsi="Book Antiqua" w:cs="Arial"/>
          <w:sz w:val="24"/>
          <w:szCs w:val="24"/>
        </w:rPr>
        <w:t>some contradiction as to whether the judge accepts that the draft summons</w:t>
      </w:r>
      <w:r w:rsidR="00B45787" w:rsidRPr="005511A4">
        <w:rPr>
          <w:rFonts w:ascii="Book Antiqua" w:hAnsi="Book Antiqua" w:cs="Arial"/>
          <w:sz w:val="24"/>
          <w:szCs w:val="24"/>
        </w:rPr>
        <w:t xml:space="preserve"> was indeed issued and a clear finding on this needed to be made.</w:t>
      </w:r>
      <w:r w:rsidR="001173B6" w:rsidRPr="005511A4">
        <w:rPr>
          <w:rFonts w:ascii="Book Antiqua" w:hAnsi="Book Antiqua" w:cs="Arial"/>
          <w:sz w:val="24"/>
          <w:szCs w:val="24"/>
        </w:rPr>
        <w:t xml:space="preserve"> The question the judge needed to </w:t>
      </w:r>
      <w:r w:rsidR="00B43426">
        <w:rPr>
          <w:rFonts w:ascii="Book Antiqua" w:hAnsi="Book Antiqua" w:cs="Arial"/>
          <w:sz w:val="24"/>
          <w:szCs w:val="24"/>
        </w:rPr>
        <w:t xml:space="preserve">make clear findings with reasons, and to </w:t>
      </w:r>
      <w:r w:rsidR="001173B6" w:rsidRPr="005511A4">
        <w:rPr>
          <w:rFonts w:ascii="Book Antiqua" w:hAnsi="Book Antiqua" w:cs="Arial"/>
          <w:sz w:val="24"/>
          <w:szCs w:val="24"/>
        </w:rPr>
        <w:t>ask was whether</w:t>
      </w:r>
      <w:r w:rsidR="00CC4485" w:rsidRPr="005511A4">
        <w:rPr>
          <w:rFonts w:ascii="Book Antiqua" w:hAnsi="Book Antiqua" w:cs="Arial"/>
          <w:sz w:val="24"/>
          <w:szCs w:val="24"/>
        </w:rPr>
        <w:t>, taking into account all the relevant evidence including the evidence relating to</w:t>
      </w:r>
      <w:r w:rsidR="00126A6B" w:rsidRPr="005511A4">
        <w:rPr>
          <w:rFonts w:ascii="Book Antiqua" w:hAnsi="Book Antiqua" w:cs="Arial"/>
          <w:sz w:val="24"/>
          <w:szCs w:val="24"/>
        </w:rPr>
        <w:t xml:space="preserve"> the persecution of supporters of alternative parties, </w:t>
      </w:r>
      <w:r w:rsidR="00F16978">
        <w:rPr>
          <w:rFonts w:ascii="Book Antiqua" w:hAnsi="Book Antiqua" w:cs="Arial"/>
          <w:sz w:val="24"/>
          <w:szCs w:val="24"/>
        </w:rPr>
        <w:t xml:space="preserve">his profile relating to religion, </w:t>
      </w:r>
      <w:r w:rsidR="00700CE6" w:rsidRPr="005511A4">
        <w:rPr>
          <w:rFonts w:ascii="Book Antiqua" w:hAnsi="Book Antiqua" w:cs="Arial"/>
          <w:sz w:val="24"/>
          <w:szCs w:val="24"/>
        </w:rPr>
        <w:t>the appellant would be of interest to the authorities on return to Ukraine</w:t>
      </w:r>
      <w:r w:rsidR="00E977DD" w:rsidRPr="005511A4">
        <w:rPr>
          <w:rFonts w:ascii="Book Antiqua" w:hAnsi="Book Antiqua" w:cs="Arial"/>
          <w:sz w:val="24"/>
          <w:szCs w:val="24"/>
        </w:rPr>
        <w:t xml:space="preserve"> applying, where relevant, </w:t>
      </w:r>
      <w:r w:rsidR="00E977DD" w:rsidRPr="005511A4">
        <w:rPr>
          <w:rFonts w:ascii="Book Antiqua" w:hAnsi="Book Antiqua" w:cs="Arial"/>
          <w:b/>
          <w:sz w:val="24"/>
          <w:szCs w:val="24"/>
          <w:u w:val="single"/>
        </w:rPr>
        <w:t>VB</w:t>
      </w:r>
      <w:r w:rsidR="00BD1188" w:rsidRPr="005511A4">
        <w:rPr>
          <w:rFonts w:ascii="Book Antiqua" w:hAnsi="Book Antiqua" w:cs="Arial"/>
          <w:sz w:val="24"/>
          <w:szCs w:val="24"/>
        </w:rPr>
        <w:t xml:space="preserve"> and considering whether he was an ‘ordinary draft evader’</w:t>
      </w:r>
      <w:r w:rsidR="00700CE6" w:rsidRPr="005511A4">
        <w:rPr>
          <w:rFonts w:ascii="Book Antiqua" w:hAnsi="Book Antiqua" w:cs="Arial"/>
          <w:sz w:val="24"/>
          <w:szCs w:val="24"/>
        </w:rPr>
        <w:t>.</w:t>
      </w:r>
    </w:p>
    <w:p w14:paraId="6988601B" w14:textId="5384FA72" w:rsidR="00BC4071" w:rsidRPr="005511A4" w:rsidRDefault="007A6629" w:rsidP="00BC4071">
      <w:pPr>
        <w:numPr>
          <w:ilvl w:val="0"/>
          <w:numId w:val="1"/>
        </w:numPr>
        <w:tabs>
          <w:tab w:val="clear" w:pos="720"/>
        </w:tabs>
        <w:spacing w:before="240" w:after="0" w:line="240" w:lineRule="auto"/>
        <w:ind w:left="567" w:hanging="567"/>
        <w:jc w:val="both"/>
        <w:rPr>
          <w:rFonts w:ascii="Book Antiqua" w:hAnsi="Book Antiqua" w:cs="Arial"/>
          <w:sz w:val="24"/>
          <w:szCs w:val="24"/>
        </w:rPr>
      </w:pPr>
      <w:r w:rsidRPr="005511A4">
        <w:rPr>
          <w:rFonts w:ascii="Book Antiqua" w:hAnsi="Book Antiqua" w:cs="Arial"/>
          <w:sz w:val="24"/>
          <w:szCs w:val="24"/>
        </w:rPr>
        <w:t xml:space="preserve">For the reasons given I find </w:t>
      </w:r>
      <w:r w:rsidR="00BC4071" w:rsidRPr="005511A4">
        <w:rPr>
          <w:rFonts w:ascii="Book Antiqua" w:hAnsi="Book Antiqua" w:cs="Arial"/>
          <w:sz w:val="24"/>
          <w:szCs w:val="24"/>
        </w:rPr>
        <w:t>the Judge erred materially. I set aside the decision pursuant to Section 12(2)(a) of the Tribunals Courts and Enforcement Act 2007 (TCE 2007).  Bearing in mind the nature and extent of the findings to be made the matter should be remitted to the First-tier Tribunal under section 12(2) (b) (i) of the TCE 2007 and further to 7.2 (b) of the Presidential Practice Statement.</w:t>
      </w:r>
    </w:p>
    <w:p w14:paraId="3A554F8F" w14:textId="77777777" w:rsidR="00140633" w:rsidRPr="005511A4" w:rsidRDefault="00140633" w:rsidP="00140633">
      <w:pPr>
        <w:jc w:val="both"/>
        <w:rPr>
          <w:rFonts w:ascii="Book Antiqua" w:hAnsi="Book Antiqua" w:cs="Arial"/>
          <w:sz w:val="24"/>
          <w:szCs w:val="24"/>
        </w:rPr>
      </w:pPr>
      <w:r w:rsidRPr="005511A4">
        <w:rPr>
          <w:rFonts w:ascii="Book Antiqua" w:hAnsi="Book Antiqua" w:cs="Arial"/>
          <w:b/>
          <w:sz w:val="24"/>
          <w:szCs w:val="24"/>
          <w:u w:val="single"/>
        </w:rPr>
        <w:t>Direction Regarding Anonymity – Rule 14 of the Tribunal Procedure (Upper Tribunal) Rules 2008</w:t>
      </w:r>
    </w:p>
    <w:p w14:paraId="43468DC9" w14:textId="77777777" w:rsidR="00140633" w:rsidRPr="005511A4" w:rsidRDefault="00140633" w:rsidP="00140633">
      <w:pPr>
        <w:jc w:val="both"/>
        <w:rPr>
          <w:rFonts w:ascii="Book Antiqua" w:hAnsi="Book Antiqua" w:cs="Arial"/>
          <w:sz w:val="24"/>
          <w:szCs w:val="24"/>
        </w:rPr>
      </w:pPr>
      <w:r w:rsidRPr="005511A4">
        <w:rPr>
          <w:rFonts w:ascii="Book Antiqua" w:hAnsi="Book Antiqua" w:cs="Arial"/>
          <w:sz w:val="24"/>
          <w:szCs w:val="24"/>
        </w:rPr>
        <w:t xml:space="preserve">Unless and </w:t>
      </w:r>
      <w:r w:rsidRPr="005511A4">
        <w:rPr>
          <w:rFonts w:ascii="Book Antiqua" w:hAnsi="Book Antiqua"/>
          <w:sz w:val="24"/>
          <w:szCs w:val="24"/>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669273D7" w14:textId="77777777" w:rsidR="00931C8D" w:rsidRDefault="00931C8D" w:rsidP="007A6629">
      <w:pPr>
        <w:ind w:left="540" w:hanging="540"/>
        <w:jc w:val="both"/>
        <w:rPr>
          <w:rFonts w:ascii="Book Antiqua" w:hAnsi="Book Antiqua" w:cs="Arial"/>
          <w:sz w:val="24"/>
          <w:szCs w:val="24"/>
        </w:rPr>
      </w:pPr>
    </w:p>
    <w:p w14:paraId="523C63CE" w14:textId="4F1EAAFC" w:rsidR="007A6629" w:rsidRPr="005511A4" w:rsidRDefault="007A6629" w:rsidP="007A6629">
      <w:pPr>
        <w:ind w:left="540" w:hanging="540"/>
        <w:jc w:val="both"/>
        <w:rPr>
          <w:rFonts w:ascii="Book Antiqua" w:hAnsi="Book Antiqua" w:cs="Arial"/>
          <w:sz w:val="24"/>
          <w:szCs w:val="24"/>
        </w:rPr>
      </w:pPr>
      <w:r w:rsidRPr="005511A4">
        <w:rPr>
          <w:rFonts w:ascii="Book Antiqua" w:hAnsi="Book Antiqua" w:cs="Arial"/>
          <w:sz w:val="24"/>
          <w:szCs w:val="24"/>
        </w:rPr>
        <w:t>Signed</w:t>
      </w:r>
      <w:r w:rsidRPr="005511A4">
        <w:rPr>
          <w:rFonts w:ascii="Book Antiqua" w:hAnsi="Book Antiqua" w:cs="Arial"/>
          <w:sz w:val="24"/>
          <w:szCs w:val="24"/>
        </w:rPr>
        <w:tab/>
      </w:r>
      <w:r w:rsidRPr="005511A4">
        <w:rPr>
          <w:rFonts w:ascii="Book Antiqua" w:hAnsi="Book Antiqua" w:cs="Arial"/>
          <w:sz w:val="24"/>
          <w:szCs w:val="24"/>
        </w:rPr>
        <w:tab/>
      </w:r>
      <w:r w:rsidRPr="005511A4">
        <w:rPr>
          <w:rFonts w:ascii="Blackadder ITC" w:hAnsi="Blackadder ITC" w:cs="Arial"/>
          <w:sz w:val="24"/>
          <w:szCs w:val="24"/>
        </w:rPr>
        <w:t xml:space="preserve">Helen </w:t>
      </w:r>
      <w:proofErr w:type="spellStart"/>
      <w:r w:rsidRPr="005511A4">
        <w:rPr>
          <w:rFonts w:ascii="Blackadder ITC" w:hAnsi="Blackadder ITC" w:cs="Arial"/>
          <w:sz w:val="24"/>
          <w:szCs w:val="24"/>
        </w:rPr>
        <w:t>Rimington</w:t>
      </w:r>
      <w:proofErr w:type="spellEnd"/>
      <w:r w:rsidR="0094144B">
        <w:rPr>
          <w:rFonts w:ascii="Book Antiqua" w:hAnsi="Book Antiqua" w:cs="Arial"/>
          <w:sz w:val="24"/>
          <w:szCs w:val="24"/>
        </w:rPr>
        <w:t xml:space="preserve"> </w:t>
      </w:r>
      <w:r w:rsidR="0094144B">
        <w:rPr>
          <w:rFonts w:ascii="Book Antiqua" w:hAnsi="Book Antiqua" w:cs="Arial"/>
          <w:sz w:val="24"/>
          <w:szCs w:val="24"/>
        </w:rPr>
        <w:tab/>
      </w:r>
      <w:r w:rsidR="0094144B">
        <w:rPr>
          <w:rFonts w:ascii="Book Antiqua" w:hAnsi="Book Antiqua" w:cs="Arial"/>
          <w:sz w:val="24"/>
          <w:szCs w:val="24"/>
        </w:rPr>
        <w:tab/>
      </w:r>
      <w:r w:rsidRPr="005511A4">
        <w:rPr>
          <w:rFonts w:ascii="Book Antiqua" w:hAnsi="Book Antiqua" w:cs="Arial"/>
          <w:sz w:val="24"/>
          <w:szCs w:val="24"/>
        </w:rPr>
        <w:t xml:space="preserve">Date      </w:t>
      </w:r>
      <w:r w:rsidR="00140633" w:rsidRPr="005511A4">
        <w:rPr>
          <w:rFonts w:ascii="Book Antiqua" w:hAnsi="Book Antiqua" w:cs="Arial"/>
          <w:sz w:val="24"/>
          <w:szCs w:val="24"/>
        </w:rPr>
        <w:t>15</w:t>
      </w:r>
      <w:r w:rsidR="00140633" w:rsidRPr="005511A4">
        <w:rPr>
          <w:rFonts w:ascii="Book Antiqua" w:hAnsi="Book Antiqua" w:cs="Arial"/>
          <w:sz w:val="24"/>
          <w:szCs w:val="24"/>
          <w:vertAlign w:val="superscript"/>
        </w:rPr>
        <w:t>th</w:t>
      </w:r>
      <w:r w:rsidR="00140633" w:rsidRPr="005511A4">
        <w:rPr>
          <w:rFonts w:ascii="Book Antiqua" w:hAnsi="Book Antiqua" w:cs="Arial"/>
          <w:sz w:val="24"/>
          <w:szCs w:val="24"/>
        </w:rPr>
        <w:t xml:space="preserve"> May 2018</w:t>
      </w:r>
    </w:p>
    <w:p w14:paraId="04355F12" w14:textId="20887AD6" w:rsidR="0094144B" w:rsidRDefault="00931C8D" w:rsidP="0094144B">
      <w:pPr>
        <w:tabs>
          <w:tab w:val="left" w:pos="2520"/>
        </w:tabs>
        <w:jc w:val="both"/>
        <w:rPr>
          <w:rFonts w:ascii="Book Antiqua" w:hAnsi="Book Antiqua" w:cs="Arial"/>
          <w:color w:val="000000"/>
          <w:sz w:val="24"/>
          <w:szCs w:val="24"/>
        </w:rPr>
      </w:pPr>
      <w:r>
        <w:rPr>
          <w:rFonts w:ascii="Book Antiqua" w:hAnsi="Book Antiqua" w:cs="Arial"/>
          <w:color w:val="000000"/>
          <w:sz w:val="24"/>
          <w:szCs w:val="24"/>
        </w:rPr>
        <w:t xml:space="preserve">Upper Tribunal Judge </w:t>
      </w:r>
      <w:proofErr w:type="spellStart"/>
      <w:r>
        <w:rPr>
          <w:rFonts w:ascii="Book Antiqua" w:hAnsi="Book Antiqua" w:cs="Arial"/>
          <w:color w:val="000000"/>
          <w:sz w:val="24"/>
          <w:szCs w:val="24"/>
        </w:rPr>
        <w:t>Rimington</w:t>
      </w:r>
      <w:proofErr w:type="spellEnd"/>
    </w:p>
    <w:sectPr w:rsidR="0094144B" w:rsidSect="0094144B">
      <w:headerReference w:type="default" r:id="rId8"/>
      <w:footerReference w:type="default" r:id="rId9"/>
      <w:headerReference w:type="first" r:id="rId10"/>
      <w:footerReference w:type="firs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076E6" w14:textId="77777777" w:rsidR="00B43426" w:rsidRDefault="00B43426" w:rsidP="00B43426">
      <w:pPr>
        <w:spacing w:after="0" w:line="240" w:lineRule="auto"/>
      </w:pPr>
      <w:r>
        <w:separator/>
      </w:r>
    </w:p>
  </w:endnote>
  <w:endnote w:type="continuationSeparator" w:id="0">
    <w:p w14:paraId="50872322" w14:textId="77777777" w:rsidR="00B43426" w:rsidRDefault="00B43426" w:rsidP="00B4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4CE4F" w14:textId="5728A8AC" w:rsidR="003639B1" w:rsidRPr="00C4371F" w:rsidRDefault="00F16978" w:rsidP="003639B1">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6F799C">
      <w:rPr>
        <w:rStyle w:val="PageNumber"/>
        <w:rFonts w:ascii="Book Antiqua" w:hAnsi="Book Antiqua" w:cs="Arial"/>
        <w:noProof/>
        <w:sz w:val="16"/>
        <w:szCs w:val="16"/>
      </w:rPr>
      <w:t>5</w:t>
    </w:r>
    <w:r w:rsidRPr="00C4371F">
      <w:rPr>
        <w:rStyle w:val="PageNumber"/>
        <w:rFonts w:ascii="Book Antiqua" w:hAnsi="Book Antiqua" w:cs="Arial"/>
        <w:sz w:val="16"/>
        <w:szCs w:val="16"/>
      </w:rPr>
      <w:fldChar w:fldCharType="end"/>
    </w:r>
  </w:p>
  <w:p w14:paraId="635A1D17" w14:textId="77777777" w:rsidR="0080040C" w:rsidRDefault="008004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C4637" w14:textId="77777777" w:rsidR="003639B1" w:rsidRPr="00C4371F" w:rsidRDefault="00F16978" w:rsidP="003639B1">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69139" w14:textId="77777777" w:rsidR="00B43426" w:rsidRDefault="00B43426" w:rsidP="00B43426">
      <w:pPr>
        <w:spacing w:after="0" w:line="240" w:lineRule="auto"/>
      </w:pPr>
      <w:r>
        <w:separator/>
      </w:r>
    </w:p>
  </w:footnote>
  <w:footnote w:type="continuationSeparator" w:id="0">
    <w:p w14:paraId="492AF02A" w14:textId="77777777" w:rsidR="00B43426" w:rsidRDefault="00B43426" w:rsidP="00B43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337DA" w14:textId="77DD9F64" w:rsidR="003639B1" w:rsidRPr="00C4371F" w:rsidRDefault="00F16978" w:rsidP="003639B1">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PA</w:t>
    </w:r>
    <w:r w:rsidRPr="00B43426">
      <w:rPr>
        <w:rFonts w:ascii="Book Antiqua" w:hAnsi="Book Antiqua" w:cs="Arial"/>
        <w:sz w:val="16"/>
        <w:szCs w:val="16"/>
      </w:rPr>
      <w:t>/</w:t>
    </w:r>
    <w:r w:rsidR="00B43426" w:rsidRPr="00B43426">
      <w:rPr>
        <w:rFonts w:ascii="Book Antiqua" w:hAnsi="Book Antiqua" w:cs="Arial"/>
        <w:color w:val="000000"/>
        <w:sz w:val="16"/>
        <w:szCs w:val="16"/>
      </w:rPr>
      <w:t>05352</w:t>
    </w:r>
    <w:r>
      <w:rPr>
        <w:rFonts w:ascii="Book Antiqua" w:hAnsi="Book Antiqua" w:cs="Arial"/>
        <w:sz w:val="16"/>
        <w:szCs w:val="16"/>
      </w:rPr>
      <w:t>/2017</w:t>
    </w:r>
  </w:p>
  <w:p w14:paraId="12293E31" w14:textId="77777777" w:rsidR="0080040C" w:rsidRDefault="008004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29A8D" w14:textId="77777777" w:rsidR="003639B1" w:rsidRPr="00C4371F" w:rsidRDefault="00F16978">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F402856E"/>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5E2AFFE8">
      <w:start w:val="1"/>
      <w:numFmt w:val="lowerRoman"/>
      <w:lvlText w:val="(%6)"/>
      <w:lvlJc w:val="left"/>
      <w:pPr>
        <w:tabs>
          <w:tab w:val="num" w:pos="2662"/>
        </w:tabs>
        <w:ind w:left="2662" w:hanging="1953"/>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882EA0D-9F2E-4A11-9630-3C4F6E1838E3}"/>
    <w:docVar w:name="dgnword-eventsink" w:val="687760736"/>
  </w:docVars>
  <w:rsids>
    <w:rsidRoot w:val="007A6629"/>
    <w:rsid w:val="00014F94"/>
    <w:rsid w:val="00034A25"/>
    <w:rsid w:val="00036431"/>
    <w:rsid w:val="00055EF1"/>
    <w:rsid w:val="000B7945"/>
    <w:rsid w:val="001168A3"/>
    <w:rsid w:val="001173B6"/>
    <w:rsid w:val="00126A6B"/>
    <w:rsid w:val="00140633"/>
    <w:rsid w:val="00145F30"/>
    <w:rsid w:val="001578C0"/>
    <w:rsid w:val="001946A7"/>
    <w:rsid w:val="001E3D27"/>
    <w:rsid w:val="00206C76"/>
    <w:rsid w:val="002233D2"/>
    <w:rsid w:val="00237595"/>
    <w:rsid w:val="00261CC9"/>
    <w:rsid w:val="00274D62"/>
    <w:rsid w:val="00283378"/>
    <w:rsid w:val="002F75C5"/>
    <w:rsid w:val="00310877"/>
    <w:rsid w:val="0033583E"/>
    <w:rsid w:val="00367D02"/>
    <w:rsid w:val="003A240D"/>
    <w:rsid w:val="003A78FC"/>
    <w:rsid w:val="003E41C5"/>
    <w:rsid w:val="004472AA"/>
    <w:rsid w:val="0045251B"/>
    <w:rsid w:val="00453B79"/>
    <w:rsid w:val="00460A41"/>
    <w:rsid w:val="004737E4"/>
    <w:rsid w:val="004C60BC"/>
    <w:rsid w:val="004D0C9F"/>
    <w:rsid w:val="004F1636"/>
    <w:rsid w:val="004F28C1"/>
    <w:rsid w:val="004F7CC3"/>
    <w:rsid w:val="00523EAB"/>
    <w:rsid w:val="005511A4"/>
    <w:rsid w:val="00590750"/>
    <w:rsid w:val="005D118D"/>
    <w:rsid w:val="005E6EBE"/>
    <w:rsid w:val="005F766F"/>
    <w:rsid w:val="00612139"/>
    <w:rsid w:val="00625007"/>
    <w:rsid w:val="00642D81"/>
    <w:rsid w:val="00665479"/>
    <w:rsid w:val="006745FE"/>
    <w:rsid w:val="006C73BB"/>
    <w:rsid w:val="006D003D"/>
    <w:rsid w:val="006F2697"/>
    <w:rsid w:val="006F799C"/>
    <w:rsid w:val="00700CE6"/>
    <w:rsid w:val="00707E3F"/>
    <w:rsid w:val="0073033E"/>
    <w:rsid w:val="00732F35"/>
    <w:rsid w:val="00736BBF"/>
    <w:rsid w:val="007475A2"/>
    <w:rsid w:val="007523A9"/>
    <w:rsid w:val="00753020"/>
    <w:rsid w:val="007677E4"/>
    <w:rsid w:val="00786AF9"/>
    <w:rsid w:val="007A6629"/>
    <w:rsid w:val="007D42EC"/>
    <w:rsid w:val="007F2F78"/>
    <w:rsid w:val="0080040C"/>
    <w:rsid w:val="00800789"/>
    <w:rsid w:val="00834922"/>
    <w:rsid w:val="008614E9"/>
    <w:rsid w:val="008947C5"/>
    <w:rsid w:val="008A0654"/>
    <w:rsid w:val="008B7C5B"/>
    <w:rsid w:val="009063F8"/>
    <w:rsid w:val="00912EC6"/>
    <w:rsid w:val="00931C8D"/>
    <w:rsid w:val="00940855"/>
    <w:rsid w:val="0094144B"/>
    <w:rsid w:val="00956C4B"/>
    <w:rsid w:val="00972BAD"/>
    <w:rsid w:val="00975AEA"/>
    <w:rsid w:val="009977B0"/>
    <w:rsid w:val="009C7AB9"/>
    <w:rsid w:val="009D113F"/>
    <w:rsid w:val="009E7178"/>
    <w:rsid w:val="009F2A56"/>
    <w:rsid w:val="00A045C5"/>
    <w:rsid w:val="00A32145"/>
    <w:rsid w:val="00A50DB5"/>
    <w:rsid w:val="00A84EF0"/>
    <w:rsid w:val="00A94FC7"/>
    <w:rsid w:val="00AD29F1"/>
    <w:rsid w:val="00AF7406"/>
    <w:rsid w:val="00B00EC2"/>
    <w:rsid w:val="00B13E70"/>
    <w:rsid w:val="00B2438B"/>
    <w:rsid w:val="00B369A5"/>
    <w:rsid w:val="00B43426"/>
    <w:rsid w:val="00B4367A"/>
    <w:rsid w:val="00B4457A"/>
    <w:rsid w:val="00B445CF"/>
    <w:rsid w:val="00B45787"/>
    <w:rsid w:val="00B56B02"/>
    <w:rsid w:val="00B62036"/>
    <w:rsid w:val="00B62C86"/>
    <w:rsid w:val="00B921D1"/>
    <w:rsid w:val="00BA4FEC"/>
    <w:rsid w:val="00BC4071"/>
    <w:rsid w:val="00BD1188"/>
    <w:rsid w:val="00BF3A36"/>
    <w:rsid w:val="00C1502A"/>
    <w:rsid w:val="00C3454F"/>
    <w:rsid w:val="00C675A1"/>
    <w:rsid w:val="00C72D05"/>
    <w:rsid w:val="00CC4485"/>
    <w:rsid w:val="00CD3090"/>
    <w:rsid w:val="00CE296B"/>
    <w:rsid w:val="00CE5F93"/>
    <w:rsid w:val="00CF098E"/>
    <w:rsid w:val="00D0088A"/>
    <w:rsid w:val="00D316A0"/>
    <w:rsid w:val="00D977F0"/>
    <w:rsid w:val="00DA13CA"/>
    <w:rsid w:val="00DA6870"/>
    <w:rsid w:val="00DB37CE"/>
    <w:rsid w:val="00DC726D"/>
    <w:rsid w:val="00E065EB"/>
    <w:rsid w:val="00E10C54"/>
    <w:rsid w:val="00E12896"/>
    <w:rsid w:val="00E12FE9"/>
    <w:rsid w:val="00E45F0D"/>
    <w:rsid w:val="00E977DD"/>
    <w:rsid w:val="00ED0BFF"/>
    <w:rsid w:val="00EE04FD"/>
    <w:rsid w:val="00F129C5"/>
    <w:rsid w:val="00F168DE"/>
    <w:rsid w:val="00F16978"/>
    <w:rsid w:val="00F579AE"/>
    <w:rsid w:val="00F67002"/>
    <w:rsid w:val="00F8441F"/>
    <w:rsid w:val="00FC0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D76A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6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A6629"/>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7A6629"/>
    <w:rPr>
      <w:rFonts w:ascii="Times New Roman" w:eastAsia="Times New Roman" w:hAnsi="Times New Roman" w:cs="Times New Roman"/>
      <w:sz w:val="24"/>
      <w:szCs w:val="24"/>
      <w:lang w:eastAsia="en-GB"/>
    </w:rPr>
  </w:style>
  <w:style w:type="paragraph" w:styleId="Footer">
    <w:name w:val="footer"/>
    <w:basedOn w:val="Normal"/>
    <w:link w:val="FooterChar"/>
    <w:rsid w:val="007A6629"/>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rsid w:val="007A6629"/>
    <w:rPr>
      <w:rFonts w:ascii="Times New Roman" w:eastAsia="Times New Roman" w:hAnsi="Times New Roman" w:cs="Times New Roman"/>
      <w:sz w:val="24"/>
      <w:szCs w:val="24"/>
      <w:lang w:eastAsia="en-GB"/>
    </w:rPr>
  </w:style>
  <w:style w:type="character" w:styleId="PageNumber">
    <w:name w:val="page number"/>
    <w:rsid w:val="007A6629"/>
  </w:style>
  <w:style w:type="paragraph" w:styleId="ListParagraph">
    <w:name w:val="List Paragraph"/>
    <w:basedOn w:val="Normal"/>
    <w:uiPriority w:val="34"/>
    <w:qFormat/>
    <w:rsid w:val="005D118D"/>
    <w:pPr>
      <w:ind w:left="720"/>
      <w:contextualSpacing/>
    </w:pPr>
  </w:style>
  <w:style w:type="paragraph" w:styleId="BalloonText">
    <w:name w:val="Balloon Text"/>
    <w:basedOn w:val="Normal"/>
    <w:link w:val="BalloonTextChar"/>
    <w:uiPriority w:val="99"/>
    <w:semiHidden/>
    <w:unhideWhenUsed/>
    <w:rsid w:val="004F7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CC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1655</Words>
  <Characters>9440</Characters>
  <Application>Microsoft Office Word</Application>
  <DocSecurity>0</DocSecurity>
  <Lines>78</Lines>
  <Paragraphs>22</Paragraphs>
  <ScaleCrop>false</ScaleCrop>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2018-06-12T10:17:00Z</dcterms:created>
  <dcterms:modified xsi:type="dcterms:W3CDTF">2018-06-12T10:18:00Z</dcterms:modified>
</cp:coreProperties>
</file>