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BA12" w14:textId="61499CE1" w:rsidR="00D94AFC" w:rsidRPr="002D49C7" w:rsidRDefault="002D49C7" w:rsidP="002D49C7">
      <w:pPr>
        <w:jc w:val="center"/>
        <w:rPr>
          <w:rFonts w:ascii="Arial" w:hAnsi="Arial" w:cs="Arial"/>
          <w:color w:val="000000"/>
          <w:sz w:val="16"/>
          <w:szCs w:val="16"/>
        </w:rPr>
      </w:pPr>
      <w:r w:rsidRPr="002D49C7">
        <w:rPr>
          <w:rFonts w:ascii="Arial" w:hAnsi="Arial" w:cs="Arial"/>
          <w:noProof/>
          <w:sz w:val="16"/>
          <w:szCs w:val="16"/>
          <w:lang w:val="en-US" w:eastAsia="en-US"/>
        </w:rPr>
        <w:drawing>
          <wp:inline distT="0" distB="0" distL="0" distR="0" wp14:anchorId="60144345" wp14:editId="04659E9D">
            <wp:extent cx="1497965"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4745"/>
                    </a:xfrm>
                    <a:prstGeom prst="rect">
                      <a:avLst/>
                    </a:prstGeom>
                    <a:noFill/>
                    <a:ln>
                      <a:noFill/>
                    </a:ln>
                  </pic:spPr>
                </pic:pic>
              </a:graphicData>
            </a:graphic>
          </wp:inline>
        </w:drawing>
      </w:r>
    </w:p>
    <w:p w14:paraId="3BB4BA13" w14:textId="443EB5B1" w:rsidR="00F97703" w:rsidRPr="002D49C7" w:rsidRDefault="00F97703" w:rsidP="002D49C7">
      <w:pPr>
        <w:jc w:val="center"/>
        <w:rPr>
          <w:rFonts w:ascii="Arial" w:hAnsi="Arial" w:cs="Arial"/>
          <w:color w:val="000000"/>
          <w:sz w:val="16"/>
          <w:szCs w:val="16"/>
        </w:rPr>
      </w:pPr>
    </w:p>
    <w:p w14:paraId="3BB4BA14" w14:textId="77777777" w:rsidR="00F97703" w:rsidRPr="008578D0" w:rsidRDefault="576901D2" w:rsidP="576901D2">
      <w:pPr>
        <w:tabs>
          <w:tab w:val="right" w:pos="9720"/>
        </w:tabs>
        <w:ind w:right="-82"/>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14:paraId="3BB4BA16" w14:textId="1CD164BB" w:rsidR="00C345E1" w:rsidRPr="008578D0" w:rsidRDefault="00F97703" w:rsidP="00641165">
      <w:pPr>
        <w:tabs>
          <w:tab w:val="right" w:pos="9720"/>
        </w:tabs>
        <w:ind w:right="-82"/>
        <w:rPr>
          <w:rFonts w:ascii="Arial" w:hAnsi="Arial" w:cs="Arial"/>
          <w:color w:val="000000"/>
        </w:rPr>
      </w:pPr>
      <w:r w:rsidRPr="576901D2">
        <w:rPr>
          <w:rFonts w:ascii="Arial" w:eastAsia="Arial" w:hAnsi="Arial" w:cs="Arial"/>
          <w:b/>
          <w:bCs/>
          <w:color w:val="000000"/>
        </w:rPr>
        <w:t>(Immigration and Asylum Chamber)</w:t>
      </w:r>
      <w:r w:rsidR="00DB70AE" w:rsidRPr="008578D0">
        <w:rPr>
          <w:rFonts w:ascii="Arial" w:hAnsi="Arial" w:cs="Arial"/>
          <w:b/>
          <w:color w:val="000000"/>
        </w:rPr>
        <w:tab/>
      </w:r>
      <w:r w:rsidR="00B3524D" w:rsidRPr="576901D2">
        <w:rPr>
          <w:rFonts w:ascii="Arial" w:eastAsia="Arial" w:hAnsi="Arial" w:cs="Arial"/>
          <w:color w:val="000000"/>
        </w:rPr>
        <w:t>Appeal Number</w:t>
      </w:r>
      <w:r w:rsidR="00D53769" w:rsidRPr="576901D2">
        <w:rPr>
          <w:rFonts w:ascii="Arial" w:eastAsia="Arial" w:hAnsi="Arial" w:cs="Arial"/>
          <w:color w:val="000000"/>
        </w:rPr>
        <w:t>:</w:t>
      </w:r>
      <w:r w:rsidR="00B3524D" w:rsidRPr="576901D2">
        <w:rPr>
          <w:rFonts w:ascii="Arial" w:eastAsia="Arial" w:hAnsi="Arial" w:cs="Arial"/>
          <w:color w:val="000000"/>
        </w:rPr>
        <w:t xml:space="preserve"> </w:t>
      </w:r>
      <w:bookmarkStart w:id="0" w:name="_GoBack"/>
      <w:r w:rsidR="00F104A3">
        <w:rPr>
          <w:rFonts w:ascii="Arial" w:eastAsia="Arial" w:hAnsi="Arial" w:cs="Arial"/>
          <w:color w:val="000000"/>
        </w:rPr>
        <w:t>PA/05484/2018</w:t>
      </w:r>
      <w:bookmarkEnd w:id="0"/>
    </w:p>
    <w:p w14:paraId="3BB4BA17" w14:textId="77777777" w:rsidR="00C345E1" w:rsidRPr="008578D0" w:rsidRDefault="00C345E1" w:rsidP="00C345E1">
      <w:pPr>
        <w:jc w:val="center"/>
        <w:rPr>
          <w:rFonts w:ascii="Arial" w:hAnsi="Arial" w:cs="Arial"/>
          <w:color w:val="000000"/>
        </w:rPr>
      </w:pPr>
    </w:p>
    <w:p w14:paraId="3150885D" w14:textId="77777777" w:rsidR="002D49C7" w:rsidRDefault="002D49C7" w:rsidP="576901D2">
      <w:pPr>
        <w:jc w:val="center"/>
        <w:outlineLvl w:val="0"/>
        <w:rPr>
          <w:rFonts w:ascii="Arial" w:eastAsia="Arial" w:hAnsi="Arial" w:cs="Arial"/>
          <w:b/>
          <w:bCs/>
          <w:color w:val="000000" w:themeColor="text1"/>
          <w:u w:val="single"/>
        </w:rPr>
      </w:pPr>
    </w:p>
    <w:p w14:paraId="3BB4BA18" w14:textId="1A9DC30D" w:rsidR="00C345E1" w:rsidRPr="008578D0" w:rsidRDefault="576901D2" w:rsidP="576901D2">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14:paraId="3BB4BA19" w14:textId="77777777" w:rsidR="00C345E1" w:rsidRPr="008578D0" w:rsidRDefault="00C345E1" w:rsidP="00C345E1">
      <w:pPr>
        <w:jc w:val="center"/>
        <w:rPr>
          <w:rFonts w:ascii="Arial" w:hAnsi="Arial" w:cs="Arial"/>
          <w:b/>
          <w:u w:val="single"/>
        </w:rPr>
      </w:pPr>
    </w:p>
    <w:p w14:paraId="3BB4BA1A" w14:textId="77777777" w:rsidR="00C345E1" w:rsidRPr="008578D0" w:rsidRDefault="00C345E1" w:rsidP="00C345E1">
      <w:pPr>
        <w:jc w:val="center"/>
        <w:rPr>
          <w:rFonts w:ascii="Arial" w:hAnsi="Arial" w:cs="Arial"/>
          <w:b/>
          <w:u w:val="single"/>
        </w:rPr>
      </w:pPr>
    </w:p>
    <w:tbl>
      <w:tblPr>
        <w:tblW w:w="0" w:type="auto"/>
        <w:tblLook w:val="01E0" w:firstRow="1" w:lastRow="1" w:firstColumn="1" w:lastColumn="1" w:noHBand="0" w:noVBand="0"/>
      </w:tblPr>
      <w:tblGrid>
        <w:gridCol w:w="4957"/>
        <w:gridCol w:w="4671"/>
      </w:tblGrid>
      <w:tr w:rsidR="00D22636" w:rsidRPr="00FD50E5" w14:paraId="3BB4BA1D" w14:textId="77777777" w:rsidTr="008B5B3C">
        <w:tc>
          <w:tcPr>
            <w:tcW w:w="4957" w:type="dxa"/>
            <w:shd w:val="clear" w:color="auto" w:fill="auto"/>
          </w:tcPr>
          <w:p w14:paraId="3BB4BA1B" w14:textId="67F06F15" w:rsidR="00D22636" w:rsidRPr="00FD50E5" w:rsidRDefault="576901D2" w:rsidP="00F104A3">
            <w:pPr>
              <w:jc w:val="both"/>
              <w:rPr>
                <w:rFonts w:ascii="Arial" w:eastAsia="Arial" w:hAnsi="Arial" w:cs="Arial"/>
                <w:b/>
                <w:bCs/>
              </w:rPr>
            </w:pPr>
            <w:r w:rsidRPr="576901D2">
              <w:rPr>
                <w:rFonts w:ascii="Arial" w:eastAsia="Arial" w:hAnsi="Arial" w:cs="Arial"/>
                <w:b/>
                <w:bCs/>
              </w:rPr>
              <w:t xml:space="preserve">Heard at </w:t>
            </w:r>
            <w:r w:rsidR="00F104A3">
              <w:rPr>
                <w:rFonts w:ascii="Arial" w:eastAsia="Arial" w:hAnsi="Arial" w:cs="Arial"/>
                <w:b/>
                <w:bCs/>
              </w:rPr>
              <w:t>Manchester Civil Justice Centre</w:t>
            </w:r>
            <w:r w:rsidRPr="576901D2">
              <w:rPr>
                <w:rFonts w:ascii="Arial" w:eastAsia="Arial" w:hAnsi="Arial" w:cs="Arial"/>
                <w:b/>
                <w:bCs/>
              </w:rPr>
              <w:t xml:space="preserve"> </w:t>
            </w:r>
          </w:p>
        </w:tc>
        <w:tc>
          <w:tcPr>
            <w:tcW w:w="4671" w:type="dxa"/>
            <w:shd w:val="clear" w:color="auto" w:fill="auto"/>
          </w:tcPr>
          <w:p w14:paraId="3BB4BA1C" w14:textId="209A0C81" w:rsidR="00D22636" w:rsidRPr="00FD50E5" w:rsidRDefault="008B5B3C" w:rsidP="576901D2">
            <w:pPr>
              <w:jc w:val="both"/>
              <w:rPr>
                <w:rFonts w:ascii="Arial" w:eastAsia="Arial" w:hAnsi="Arial" w:cs="Arial"/>
                <w:b/>
                <w:bCs/>
                <w:color w:val="000000" w:themeColor="text1"/>
              </w:rPr>
            </w:pPr>
            <w:r>
              <w:rPr>
                <w:rFonts w:ascii="Arial" w:eastAsia="Arial" w:hAnsi="Arial" w:cs="Arial"/>
                <w:b/>
                <w:bCs/>
                <w:color w:val="000000" w:themeColor="text1"/>
              </w:rPr>
              <w:t>Decision &amp; Reasons</w:t>
            </w:r>
            <w:r w:rsidR="576901D2" w:rsidRPr="576901D2">
              <w:rPr>
                <w:rFonts w:ascii="Arial" w:eastAsia="Arial" w:hAnsi="Arial" w:cs="Arial"/>
                <w:b/>
                <w:bCs/>
                <w:color w:val="000000" w:themeColor="text1"/>
              </w:rPr>
              <w:t xml:space="preserve"> Promulgated</w:t>
            </w:r>
          </w:p>
        </w:tc>
      </w:tr>
      <w:tr w:rsidR="00D22636" w:rsidRPr="00FD50E5" w14:paraId="3BB4BA20" w14:textId="77777777" w:rsidTr="008B5B3C">
        <w:tc>
          <w:tcPr>
            <w:tcW w:w="4957" w:type="dxa"/>
            <w:shd w:val="clear" w:color="auto" w:fill="auto"/>
          </w:tcPr>
          <w:p w14:paraId="3BB4BA1E" w14:textId="6EEAA511" w:rsidR="00D22636" w:rsidRPr="00FD50E5" w:rsidRDefault="576901D2" w:rsidP="00F104A3">
            <w:pPr>
              <w:jc w:val="both"/>
              <w:rPr>
                <w:rFonts w:ascii="Arial" w:eastAsia="Arial" w:hAnsi="Arial" w:cs="Arial"/>
                <w:b/>
                <w:bCs/>
              </w:rPr>
            </w:pPr>
            <w:r w:rsidRPr="576901D2">
              <w:rPr>
                <w:rFonts w:ascii="Arial" w:eastAsia="Arial" w:hAnsi="Arial" w:cs="Arial"/>
                <w:b/>
                <w:bCs/>
              </w:rPr>
              <w:t xml:space="preserve">On </w:t>
            </w:r>
            <w:r w:rsidR="00641165">
              <w:rPr>
                <w:rFonts w:ascii="Arial" w:eastAsia="Arial" w:hAnsi="Arial" w:cs="Arial"/>
                <w:b/>
                <w:bCs/>
              </w:rPr>
              <w:t>14</w:t>
            </w:r>
            <w:r w:rsidR="00641165" w:rsidRPr="00641165">
              <w:rPr>
                <w:rFonts w:ascii="Arial" w:eastAsia="Arial" w:hAnsi="Arial" w:cs="Arial"/>
                <w:b/>
                <w:bCs/>
                <w:vertAlign w:val="superscript"/>
              </w:rPr>
              <w:t>th</w:t>
            </w:r>
            <w:r w:rsidR="00641165">
              <w:rPr>
                <w:rFonts w:ascii="Arial" w:eastAsia="Arial" w:hAnsi="Arial" w:cs="Arial"/>
                <w:b/>
                <w:bCs/>
              </w:rPr>
              <w:t xml:space="preserve"> </w:t>
            </w:r>
            <w:r w:rsidR="00F104A3">
              <w:rPr>
                <w:rFonts w:ascii="Arial" w:eastAsia="Arial" w:hAnsi="Arial" w:cs="Arial"/>
                <w:b/>
                <w:bCs/>
              </w:rPr>
              <w:t>September 2018</w:t>
            </w:r>
          </w:p>
        </w:tc>
        <w:tc>
          <w:tcPr>
            <w:tcW w:w="4671" w:type="dxa"/>
            <w:shd w:val="clear" w:color="auto" w:fill="auto"/>
          </w:tcPr>
          <w:p w14:paraId="3BB4BA1F" w14:textId="31BBB0D0" w:rsidR="00D22636" w:rsidRPr="00FD50E5" w:rsidRDefault="008B5B3C" w:rsidP="00FD50E5">
            <w:pPr>
              <w:jc w:val="both"/>
              <w:rPr>
                <w:rFonts w:ascii="Arial" w:hAnsi="Arial" w:cs="Arial"/>
                <w:b/>
              </w:rPr>
            </w:pPr>
            <w:r>
              <w:rPr>
                <w:rFonts w:ascii="Arial" w:hAnsi="Arial" w:cs="Arial"/>
                <w:b/>
              </w:rPr>
              <w:t>On 18</w:t>
            </w:r>
            <w:r w:rsidRPr="008B5B3C">
              <w:rPr>
                <w:rFonts w:ascii="Arial" w:hAnsi="Arial" w:cs="Arial"/>
                <w:b/>
                <w:vertAlign w:val="superscript"/>
              </w:rPr>
              <w:t>th</w:t>
            </w:r>
            <w:r>
              <w:rPr>
                <w:rFonts w:ascii="Arial" w:hAnsi="Arial" w:cs="Arial"/>
                <w:b/>
              </w:rPr>
              <w:t xml:space="preserve"> September 2018</w:t>
            </w:r>
          </w:p>
        </w:tc>
      </w:tr>
      <w:tr w:rsidR="00D22636" w:rsidRPr="00FD50E5" w14:paraId="3BB4BA23" w14:textId="77777777" w:rsidTr="008B5B3C">
        <w:tc>
          <w:tcPr>
            <w:tcW w:w="4957" w:type="dxa"/>
            <w:shd w:val="clear" w:color="auto" w:fill="auto"/>
          </w:tcPr>
          <w:p w14:paraId="3BB4BA21" w14:textId="77777777" w:rsidR="00D22636" w:rsidRPr="00FD50E5" w:rsidRDefault="00D22636" w:rsidP="00FD50E5">
            <w:pPr>
              <w:jc w:val="both"/>
              <w:rPr>
                <w:rFonts w:ascii="Arial" w:hAnsi="Arial" w:cs="Arial"/>
                <w:b/>
              </w:rPr>
            </w:pPr>
          </w:p>
        </w:tc>
        <w:tc>
          <w:tcPr>
            <w:tcW w:w="4671" w:type="dxa"/>
            <w:shd w:val="clear" w:color="auto" w:fill="auto"/>
          </w:tcPr>
          <w:p w14:paraId="3BB4BA22" w14:textId="22CAB6F7" w:rsidR="00D22636" w:rsidRPr="00FD50E5" w:rsidRDefault="00D22636" w:rsidP="576901D2">
            <w:pPr>
              <w:jc w:val="both"/>
              <w:rPr>
                <w:rFonts w:ascii="Arial" w:eastAsia="Arial" w:hAnsi="Arial" w:cs="Arial"/>
                <w:b/>
                <w:bCs/>
              </w:rPr>
            </w:pPr>
          </w:p>
        </w:tc>
      </w:tr>
    </w:tbl>
    <w:p w14:paraId="3BB4BA24" w14:textId="77777777" w:rsidR="00A15234" w:rsidRPr="008578D0" w:rsidRDefault="00A15234" w:rsidP="00A15234">
      <w:pPr>
        <w:jc w:val="center"/>
        <w:rPr>
          <w:rFonts w:ascii="Arial" w:hAnsi="Arial" w:cs="Arial"/>
        </w:rPr>
      </w:pPr>
    </w:p>
    <w:p w14:paraId="3BB4BA26" w14:textId="77777777" w:rsidR="00A15234" w:rsidRPr="008578D0" w:rsidRDefault="576901D2" w:rsidP="576901D2">
      <w:pPr>
        <w:jc w:val="center"/>
        <w:outlineLvl w:val="0"/>
        <w:rPr>
          <w:rFonts w:ascii="Arial" w:eastAsia="Arial" w:hAnsi="Arial" w:cs="Arial"/>
          <w:b/>
          <w:bCs/>
        </w:rPr>
      </w:pPr>
      <w:r w:rsidRPr="576901D2">
        <w:rPr>
          <w:rFonts w:ascii="Arial" w:eastAsia="Arial" w:hAnsi="Arial" w:cs="Arial"/>
          <w:b/>
          <w:bCs/>
        </w:rPr>
        <w:t>Before</w:t>
      </w:r>
    </w:p>
    <w:p w14:paraId="3BB4BA27" w14:textId="77777777" w:rsidR="00721E7A" w:rsidRPr="008578D0" w:rsidRDefault="00721E7A" w:rsidP="00A15234">
      <w:pPr>
        <w:jc w:val="center"/>
        <w:rPr>
          <w:rFonts w:ascii="Arial" w:hAnsi="Arial" w:cs="Arial"/>
          <w:b/>
        </w:rPr>
      </w:pPr>
    </w:p>
    <w:p w14:paraId="3BB4BA28" w14:textId="77777777" w:rsidR="00D20757" w:rsidRPr="008578D0" w:rsidRDefault="576901D2" w:rsidP="576901D2">
      <w:pPr>
        <w:jc w:val="center"/>
        <w:rPr>
          <w:rFonts w:ascii="Arial" w:eastAsia="Arial" w:hAnsi="Arial" w:cs="Arial"/>
          <w:b/>
          <w:bCs/>
        </w:rPr>
      </w:pPr>
      <w:r w:rsidRPr="576901D2">
        <w:rPr>
          <w:rFonts w:ascii="Arial" w:eastAsia="Arial" w:hAnsi="Arial" w:cs="Arial"/>
          <w:b/>
          <w:bCs/>
        </w:rPr>
        <w:t>UPPER TRIBUNAL JUDGE COKER</w:t>
      </w:r>
    </w:p>
    <w:p w14:paraId="3BB4BA29" w14:textId="2015A196" w:rsidR="00D8561E" w:rsidRDefault="00D8561E" w:rsidP="00DA4D91">
      <w:pPr>
        <w:jc w:val="center"/>
        <w:outlineLvl w:val="0"/>
        <w:rPr>
          <w:rFonts w:ascii="Arial" w:hAnsi="Arial" w:cs="Arial"/>
          <w:b/>
        </w:rPr>
      </w:pPr>
    </w:p>
    <w:p w14:paraId="78E4BA40" w14:textId="77777777" w:rsidR="002D49C7" w:rsidRPr="008578D0" w:rsidRDefault="002D49C7" w:rsidP="00DA4D91">
      <w:pPr>
        <w:jc w:val="center"/>
        <w:outlineLvl w:val="0"/>
        <w:rPr>
          <w:rFonts w:ascii="Arial" w:hAnsi="Arial" w:cs="Arial"/>
          <w:b/>
        </w:rPr>
      </w:pPr>
    </w:p>
    <w:p w14:paraId="3BB4BA2A" w14:textId="77777777" w:rsidR="00A845DC" w:rsidRPr="008578D0" w:rsidRDefault="576901D2" w:rsidP="576901D2">
      <w:pPr>
        <w:jc w:val="center"/>
        <w:outlineLvl w:val="0"/>
        <w:rPr>
          <w:rFonts w:ascii="Arial" w:eastAsia="Arial" w:hAnsi="Arial" w:cs="Arial"/>
          <w:b/>
          <w:bCs/>
        </w:rPr>
      </w:pPr>
      <w:r w:rsidRPr="576901D2">
        <w:rPr>
          <w:rFonts w:ascii="Arial" w:eastAsia="Arial" w:hAnsi="Arial" w:cs="Arial"/>
          <w:b/>
          <w:bCs/>
        </w:rPr>
        <w:t>Between</w:t>
      </w:r>
    </w:p>
    <w:p w14:paraId="3BB4BA2B" w14:textId="77777777" w:rsidR="00A845DC" w:rsidRPr="008578D0" w:rsidRDefault="00A845DC" w:rsidP="00A15234">
      <w:pPr>
        <w:jc w:val="center"/>
        <w:rPr>
          <w:rFonts w:ascii="Arial" w:hAnsi="Arial" w:cs="Arial"/>
          <w:b/>
        </w:rPr>
      </w:pPr>
    </w:p>
    <w:p w14:paraId="3BB4BA2F" w14:textId="419024F7" w:rsidR="00172D1A" w:rsidRPr="008578D0" w:rsidRDefault="00F104A3" w:rsidP="576901D2">
      <w:pPr>
        <w:jc w:val="center"/>
        <w:outlineLvl w:val="0"/>
        <w:rPr>
          <w:rFonts w:ascii="Arial" w:eastAsia="Arial" w:hAnsi="Arial" w:cs="Arial"/>
          <w:b/>
          <w:bCs/>
        </w:rPr>
      </w:pPr>
      <w:r>
        <w:rPr>
          <w:rFonts w:ascii="Arial" w:eastAsia="Arial" w:hAnsi="Arial" w:cs="Arial"/>
          <w:b/>
          <w:bCs/>
        </w:rPr>
        <w:t>AL</w:t>
      </w:r>
    </w:p>
    <w:p w14:paraId="3BB4BA30" w14:textId="77777777" w:rsidR="00704B6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Appellant</w:t>
      </w:r>
    </w:p>
    <w:p w14:paraId="3BB4BA31" w14:textId="77777777" w:rsidR="00704B61" w:rsidRPr="008578D0" w:rsidRDefault="576901D2" w:rsidP="576901D2">
      <w:pPr>
        <w:jc w:val="center"/>
        <w:rPr>
          <w:rFonts w:ascii="Arial" w:eastAsia="Arial" w:hAnsi="Arial" w:cs="Arial"/>
          <w:b/>
          <w:bCs/>
        </w:rPr>
      </w:pPr>
      <w:r w:rsidRPr="576901D2">
        <w:rPr>
          <w:rFonts w:ascii="Arial" w:eastAsia="Arial" w:hAnsi="Arial" w:cs="Arial"/>
          <w:b/>
          <w:bCs/>
        </w:rPr>
        <w:t>And</w:t>
      </w:r>
    </w:p>
    <w:p w14:paraId="3BB4BA32" w14:textId="77777777" w:rsidR="00172D1A" w:rsidRPr="008578D0" w:rsidRDefault="00172D1A" w:rsidP="00704B61">
      <w:pPr>
        <w:jc w:val="center"/>
        <w:rPr>
          <w:rFonts w:ascii="Arial" w:hAnsi="Arial" w:cs="Arial"/>
          <w:b/>
        </w:rPr>
      </w:pPr>
    </w:p>
    <w:p w14:paraId="3BB4BA33" w14:textId="77777777" w:rsidR="00172D1A" w:rsidRPr="008578D0" w:rsidRDefault="576901D2" w:rsidP="576901D2">
      <w:pPr>
        <w:jc w:val="center"/>
        <w:rPr>
          <w:rFonts w:ascii="Arial" w:eastAsia="Arial" w:hAnsi="Arial" w:cs="Arial"/>
          <w:b/>
          <w:bCs/>
        </w:rPr>
      </w:pPr>
      <w:r w:rsidRPr="576901D2">
        <w:rPr>
          <w:rFonts w:ascii="Arial" w:eastAsia="Arial" w:hAnsi="Arial" w:cs="Arial"/>
          <w:b/>
          <w:bCs/>
        </w:rPr>
        <w:t>SECRETARY OF STATE FOR THE HOME DEPARTMENT</w:t>
      </w:r>
    </w:p>
    <w:p w14:paraId="3BB4BA34" w14:textId="77777777" w:rsidR="00DD507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Respondent</w:t>
      </w:r>
    </w:p>
    <w:p w14:paraId="3BB4BA35" w14:textId="1CD43D9E" w:rsidR="00DD5071" w:rsidRDefault="00DD5071" w:rsidP="00DD5071">
      <w:pPr>
        <w:rPr>
          <w:rFonts w:ascii="Arial" w:hAnsi="Arial" w:cs="Arial"/>
          <w:u w:val="single"/>
        </w:rPr>
      </w:pPr>
    </w:p>
    <w:p w14:paraId="154C902C" w14:textId="77777777" w:rsidR="002D49C7" w:rsidRPr="008578D0" w:rsidRDefault="002D49C7" w:rsidP="00DD5071">
      <w:pPr>
        <w:rPr>
          <w:rFonts w:ascii="Arial" w:hAnsi="Arial" w:cs="Arial"/>
          <w:u w:val="single"/>
        </w:rPr>
      </w:pPr>
    </w:p>
    <w:p w14:paraId="3BB4BA36" w14:textId="77777777" w:rsidR="00DD5071" w:rsidRPr="008578D0" w:rsidRDefault="576901D2" w:rsidP="576901D2">
      <w:pPr>
        <w:outlineLvl w:val="0"/>
        <w:rPr>
          <w:rFonts w:ascii="Arial" w:eastAsia="Arial" w:hAnsi="Arial" w:cs="Arial"/>
        </w:rPr>
      </w:pPr>
      <w:r w:rsidRPr="576901D2">
        <w:rPr>
          <w:rFonts w:ascii="Arial" w:eastAsia="Arial" w:hAnsi="Arial" w:cs="Arial"/>
          <w:b/>
          <w:bCs/>
          <w:u w:val="single"/>
        </w:rPr>
        <w:t>Representation</w:t>
      </w:r>
      <w:r w:rsidRPr="576901D2">
        <w:rPr>
          <w:rFonts w:ascii="Arial" w:eastAsia="Arial" w:hAnsi="Arial" w:cs="Arial"/>
          <w:b/>
          <w:bCs/>
        </w:rPr>
        <w:t>:</w:t>
      </w:r>
    </w:p>
    <w:p w14:paraId="3BB4BA38" w14:textId="733D9BB0" w:rsidR="00DE7DB7" w:rsidRPr="008578D0" w:rsidRDefault="00DE7DB7" w:rsidP="576901D2">
      <w:pPr>
        <w:tabs>
          <w:tab w:val="left" w:pos="2520"/>
        </w:tabs>
        <w:outlineLvl w:val="0"/>
        <w:rPr>
          <w:rFonts w:ascii="Arial" w:eastAsia="Arial" w:hAnsi="Arial" w:cs="Arial"/>
        </w:rPr>
      </w:pPr>
      <w:r w:rsidRPr="576901D2">
        <w:rPr>
          <w:rFonts w:ascii="Arial" w:eastAsia="Arial" w:hAnsi="Arial" w:cs="Arial"/>
        </w:rPr>
        <w:t>For the Appellant:</w:t>
      </w:r>
      <w:r w:rsidRPr="008578D0">
        <w:rPr>
          <w:rFonts w:ascii="Arial" w:hAnsi="Arial" w:cs="Arial"/>
        </w:rPr>
        <w:tab/>
      </w:r>
      <w:r w:rsidR="00F104A3">
        <w:rPr>
          <w:rFonts w:ascii="Arial" w:hAnsi="Arial" w:cs="Arial"/>
        </w:rPr>
        <w:t>In person, through an interpreter</w:t>
      </w:r>
    </w:p>
    <w:p w14:paraId="3BB4BA39" w14:textId="2A5045E4" w:rsidR="00DE7DB7" w:rsidRPr="008578D0" w:rsidRDefault="00DE7DB7" w:rsidP="576901D2">
      <w:pPr>
        <w:tabs>
          <w:tab w:val="left" w:pos="2520"/>
        </w:tabs>
        <w:rPr>
          <w:rFonts w:ascii="Arial" w:eastAsia="Arial" w:hAnsi="Arial" w:cs="Arial"/>
        </w:rPr>
      </w:pPr>
      <w:r w:rsidRPr="576901D2">
        <w:rPr>
          <w:rFonts w:ascii="Arial" w:eastAsia="Arial" w:hAnsi="Arial" w:cs="Arial"/>
        </w:rPr>
        <w:t>For the Respondent:</w:t>
      </w:r>
      <w:r w:rsidRPr="008578D0">
        <w:rPr>
          <w:rFonts w:ascii="Arial" w:hAnsi="Arial" w:cs="Arial"/>
        </w:rPr>
        <w:tab/>
      </w:r>
      <w:r w:rsidR="004F77C5" w:rsidRPr="576901D2">
        <w:rPr>
          <w:rFonts w:ascii="Arial" w:eastAsia="Arial" w:hAnsi="Arial" w:cs="Arial"/>
        </w:rPr>
        <w:t>M</w:t>
      </w:r>
      <w:r w:rsidR="00126036" w:rsidRPr="576901D2">
        <w:rPr>
          <w:rFonts w:ascii="Arial" w:eastAsia="Arial" w:hAnsi="Arial" w:cs="Arial"/>
        </w:rPr>
        <w:t xml:space="preserve">r </w:t>
      </w:r>
      <w:r w:rsidR="00F104A3">
        <w:rPr>
          <w:rFonts w:ascii="Arial" w:eastAsia="Arial" w:hAnsi="Arial" w:cs="Arial"/>
        </w:rPr>
        <w:t xml:space="preserve">A Mc </w:t>
      </w:r>
      <w:proofErr w:type="spellStart"/>
      <w:r w:rsidR="00F104A3">
        <w:rPr>
          <w:rFonts w:ascii="Arial" w:eastAsia="Arial" w:hAnsi="Arial" w:cs="Arial"/>
        </w:rPr>
        <w:t>Veety</w:t>
      </w:r>
      <w:proofErr w:type="spellEnd"/>
      <w:r w:rsidR="00852DCE" w:rsidRPr="576901D2">
        <w:rPr>
          <w:rFonts w:ascii="Arial" w:eastAsia="Arial" w:hAnsi="Arial" w:cs="Arial"/>
        </w:rPr>
        <w:t xml:space="preserve">, Senior Home Office Presenting Officer </w:t>
      </w:r>
    </w:p>
    <w:p w14:paraId="3BB4BA3A" w14:textId="77777777" w:rsidR="00DE7DB7" w:rsidRDefault="00DE7DB7" w:rsidP="00402B9E">
      <w:pPr>
        <w:tabs>
          <w:tab w:val="left" w:pos="2520"/>
        </w:tabs>
        <w:jc w:val="center"/>
        <w:rPr>
          <w:rFonts w:ascii="Arial" w:hAnsi="Arial" w:cs="Arial"/>
        </w:rPr>
      </w:pPr>
    </w:p>
    <w:p w14:paraId="3BB4BA3B" w14:textId="77777777" w:rsidR="00D463AA" w:rsidRPr="008578D0" w:rsidRDefault="00D463AA" w:rsidP="00402B9E">
      <w:pPr>
        <w:tabs>
          <w:tab w:val="left" w:pos="2520"/>
        </w:tabs>
        <w:jc w:val="center"/>
        <w:rPr>
          <w:rFonts w:ascii="Arial" w:hAnsi="Arial" w:cs="Arial"/>
        </w:rPr>
      </w:pPr>
    </w:p>
    <w:p w14:paraId="3BB4BA3C" w14:textId="77777777" w:rsidR="00DE7DB7" w:rsidRDefault="576901D2" w:rsidP="576901D2">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p>
    <w:p w14:paraId="3BB4BA3D" w14:textId="77777777" w:rsidR="00673E8F" w:rsidRPr="008578D0" w:rsidRDefault="00673E8F" w:rsidP="00DA4D91">
      <w:pPr>
        <w:tabs>
          <w:tab w:val="left" w:pos="2520"/>
        </w:tabs>
        <w:jc w:val="center"/>
        <w:outlineLvl w:val="0"/>
        <w:rPr>
          <w:rFonts w:ascii="Arial" w:hAnsi="Arial" w:cs="Arial"/>
        </w:rPr>
      </w:pPr>
    </w:p>
    <w:p w14:paraId="3BB4BA3E" w14:textId="108937A8" w:rsidR="00AB6C32" w:rsidRPr="00673E8F" w:rsidRDefault="576901D2" w:rsidP="576901D2">
      <w:pPr>
        <w:ind w:left="360"/>
        <w:jc w:val="both"/>
        <w:rPr>
          <w:rFonts w:ascii="Arial" w:eastAsia="Arial" w:hAnsi="Arial" w:cs="Arial"/>
          <w:b/>
          <w:bCs/>
          <w:color w:val="000080"/>
        </w:rPr>
      </w:pPr>
      <w:r w:rsidRPr="576901D2">
        <w:rPr>
          <w:rFonts w:ascii="Arial" w:eastAsia="Arial" w:hAnsi="Arial" w:cs="Arial"/>
          <w:b/>
          <w:bCs/>
        </w:rPr>
        <w:t xml:space="preserve">Pursuant to Rule 14 of the Tribunal Procedure (Upper Tribunal) Rules 2008 (SI 2008/269) I make an anonymity order. Unless the Upper Tribunal or a Court directs otherwise, no report of these proceedings or any form of publication thereof shall directly or indirectly identify the appellant in this determination identified as </w:t>
      </w:r>
      <w:r w:rsidR="00F104A3">
        <w:rPr>
          <w:rFonts w:ascii="Arial" w:eastAsia="Arial" w:hAnsi="Arial" w:cs="Arial"/>
          <w:b/>
          <w:bCs/>
        </w:rPr>
        <w:t>AL</w:t>
      </w:r>
      <w:r w:rsidRPr="576901D2">
        <w:rPr>
          <w:rFonts w:ascii="Arial" w:eastAsia="Arial" w:hAnsi="Arial" w:cs="Arial"/>
          <w:b/>
          <w:bCs/>
        </w:rPr>
        <w:t>. This direction applies to, amongst others, all parties. Any failure to comply with this direction could give rise to contempt of court proceedings</w:t>
      </w:r>
    </w:p>
    <w:p w14:paraId="3BB4BA3F" w14:textId="77777777" w:rsidR="00673E8F" w:rsidRPr="00673E8F" w:rsidRDefault="00673E8F" w:rsidP="00673E8F">
      <w:pPr>
        <w:ind w:left="360"/>
        <w:jc w:val="both"/>
        <w:rPr>
          <w:rFonts w:ascii="Arial" w:hAnsi="Arial" w:cs="Arial"/>
          <w:b/>
          <w:color w:val="000080"/>
        </w:rPr>
      </w:pPr>
    </w:p>
    <w:p w14:paraId="3BB4BA40" w14:textId="77777777" w:rsidR="00402B9E" w:rsidRPr="008578D0" w:rsidRDefault="00402B9E" w:rsidP="00036813">
      <w:pPr>
        <w:tabs>
          <w:tab w:val="left" w:pos="2520"/>
        </w:tabs>
        <w:jc w:val="both"/>
        <w:rPr>
          <w:rFonts w:ascii="Arial" w:hAnsi="Arial" w:cs="Arial"/>
        </w:rPr>
      </w:pPr>
    </w:p>
    <w:p w14:paraId="3BB4BA41" w14:textId="77777777" w:rsidR="00AB6C32" w:rsidRPr="008578D0" w:rsidRDefault="00AB6C32" w:rsidP="00AB6C32">
      <w:pPr>
        <w:pStyle w:val="ListParagraph"/>
        <w:contextualSpacing/>
        <w:jc w:val="both"/>
        <w:rPr>
          <w:rFonts w:ascii="Arial" w:hAnsi="Arial" w:cs="Arial"/>
        </w:rPr>
      </w:pPr>
    </w:p>
    <w:p w14:paraId="6FF6AC4F" w14:textId="18F3E931" w:rsidR="00C10BAF" w:rsidRDefault="00F104A3" w:rsidP="576901D2">
      <w:pPr>
        <w:pStyle w:val="ListParagraph"/>
        <w:numPr>
          <w:ilvl w:val="0"/>
          <w:numId w:val="28"/>
        </w:numPr>
        <w:contextualSpacing/>
        <w:jc w:val="both"/>
        <w:rPr>
          <w:rFonts w:ascii="Arial" w:eastAsia="Arial" w:hAnsi="Arial" w:cs="Arial"/>
        </w:rPr>
      </w:pPr>
      <w:r>
        <w:rPr>
          <w:rFonts w:ascii="Arial" w:eastAsia="Arial" w:hAnsi="Arial" w:cs="Arial"/>
        </w:rPr>
        <w:lastRenderedPageBreak/>
        <w:t xml:space="preserve">The appellant’s asylum </w:t>
      </w:r>
      <w:r w:rsidR="006F0E50">
        <w:rPr>
          <w:rFonts w:ascii="Arial" w:eastAsia="Arial" w:hAnsi="Arial" w:cs="Arial"/>
        </w:rPr>
        <w:t xml:space="preserve">and human rights </w:t>
      </w:r>
      <w:r>
        <w:rPr>
          <w:rFonts w:ascii="Arial" w:eastAsia="Arial" w:hAnsi="Arial" w:cs="Arial"/>
        </w:rPr>
        <w:t xml:space="preserve">claim was refused by the respondent for reasons set out in a letter dated </w:t>
      </w:r>
      <w:r w:rsidR="00C10BAF">
        <w:rPr>
          <w:rFonts w:ascii="Arial" w:eastAsia="Arial" w:hAnsi="Arial" w:cs="Arial"/>
        </w:rPr>
        <w:t>13</w:t>
      </w:r>
      <w:r w:rsidR="00C10BAF" w:rsidRPr="00C10BAF">
        <w:rPr>
          <w:rFonts w:ascii="Arial" w:eastAsia="Arial" w:hAnsi="Arial" w:cs="Arial"/>
          <w:vertAlign w:val="superscript"/>
        </w:rPr>
        <w:t>th</w:t>
      </w:r>
      <w:r w:rsidR="00C10BAF">
        <w:rPr>
          <w:rFonts w:ascii="Arial" w:eastAsia="Arial" w:hAnsi="Arial" w:cs="Arial"/>
        </w:rPr>
        <w:t xml:space="preserve"> April 2018. His appeal before the First-tier Tribunal was refused for reasons set out in a decision promulgated on 22</w:t>
      </w:r>
      <w:r w:rsidR="00C10BAF" w:rsidRPr="00C10BAF">
        <w:rPr>
          <w:rFonts w:ascii="Arial" w:eastAsia="Arial" w:hAnsi="Arial" w:cs="Arial"/>
          <w:vertAlign w:val="superscript"/>
        </w:rPr>
        <w:t>nd</w:t>
      </w:r>
      <w:r w:rsidR="00C10BAF">
        <w:rPr>
          <w:rFonts w:ascii="Arial" w:eastAsia="Arial" w:hAnsi="Arial" w:cs="Arial"/>
        </w:rPr>
        <w:t xml:space="preserve"> June 2018, following a hearing on 25</w:t>
      </w:r>
      <w:r w:rsidR="00C10BAF" w:rsidRPr="00C10BAF">
        <w:rPr>
          <w:rFonts w:ascii="Arial" w:eastAsia="Arial" w:hAnsi="Arial" w:cs="Arial"/>
          <w:vertAlign w:val="superscript"/>
        </w:rPr>
        <w:t>th</w:t>
      </w:r>
      <w:r w:rsidR="00C10BAF">
        <w:rPr>
          <w:rFonts w:ascii="Arial" w:eastAsia="Arial" w:hAnsi="Arial" w:cs="Arial"/>
        </w:rPr>
        <w:t xml:space="preserve"> May 2018.</w:t>
      </w:r>
    </w:p>
    <w:p w14:paraId="7AE78D94" w14:textId="77777777" w:rsidR="00C10BAF" w:rsidRDefault="00C10BAF" w:rsidP="00C10BAF">
      <w:pPr>
        <w:pStyle w:val="ListParagraph"/>
        <w:ind w:left="1560"/>
        <w:contextualSpacing/>
        <w:jc w:val="both"/>
        <w:rPr>
          <w:rFonts w:ascii="Arial" w:eastAsia="Arial" w:hAnsi="Arial" w:cs="Arial"/>
        </w:rPr>
      </w:pPr>
    </w:p>
    <w:p w14:paraId="43BC48D4" w14:textId="6D5FFBC3" w:rsidR="00685146" w:rsidRDefault="00C10BAF" w:rsidP="576901D2">
      <w:pPr>
        <w:pStyle w:val="ListParagraph"/>
        <w:numPr>
          <w:ilvl w:val="0"/>
          <w:numId w:val="28"/>
        </w:numPr>
        <w:contextualSpacing/>
        <w:jc w:val="both"/>
        <w:rPr>
          <w:rFonts w:ascii="Arial" w:eastAsia="Arial" w:hAnsi="Arial" w:cs="Arial"/>
        </w:rPr>
      </w:pPr>
      <w:r>
        <w:rPr>
          <w:rFonts w:ascii="Arial" w:eastAsia="Arial" w:hAnsi="Arial" w:cs="Arial"/>
        </w:rPr>
        <w:t>The appellant, who has been unrepresented throughout, sought permission to appeal in a handwritten note on the grounds that he had been s</w:t>
      </w:r>
      <w:r w:rsidR="00685146">
        <w:rPr>
          <w:rFonts w:ascii="Arial" w:eastAsia="Arial" w:hAnsi="Arial" w:cs="Arial"/>
        </w:rPr>
        <w:t>u</w:t>
      </w:r>
      <w:r>
        <w:rPr>
          <w:rFonts w:ascii="Arial" w:eastAsia="Arial" w:hAnsi="Arial" w:cs="Arial"/>
        </w:rPr>
        <w:t>ffering from mental distress and depression whe</w:t>
      </w:r>
      <w:r w:rsidR="006F0E50">
        <w:rPr>
          <w:rFonts w:ascii="Arial" w:eastAsia="Arial" w:hAnsi="Arial" w:cs="Arial"/>
        </w:rPr>
        <w:t>n interviewed by the respondent</w:t>
      </w:r>
      <w:r>
        <w:rPr>
          <w:rFonts w:ascii="Arial" w:eastAsia="Arial" w:hAnsi="Arial" w:cs="Arial"/>
        </w:rPr>
        <w:t>, that he has many sleepless nights thinking about his son in Sierra Leone</w:t>
      </w:r>
      <w:r w:rsidR="00685146">
        <w:rPr>
          <w:rFonts w:ascii="Arial" w:eastAsia="Arial" w:hAnsi="Arial" w:cs="Arial"/>
        </w:rPr>
        <w:t xml:space="preserve"> and that he has a relationship with his son here in the UK.</w:t>
      </w:r>
    </w:p>
    <w:p w14:paraId="031582C0" w14:textId="77777777" w:rsidR="00685146" w:rsidRPr="00685146" w:rsidRDefault="00685146" w:rsidP="00685146">
      <w:pPr>
        <w:contextualSpacing/>
        <w:jc w:val="both"/>
        <w:rPr>
          <w:rFonts w:ascii="Arial" w:eastAsia="Arial" w:hAnsi="Arial" w:cs="Arial"/>
        </w:rPr>
      </w:pPr>
    </w:p>
    <w:p w14:paraId="6AF2FD4A" w14:textId="77777777" w:rsidR="00685146" w:rsidRDefault="00685146" w:rsidP="576901D2">
      <w:pPr>
        <w:pStyle w:val="ListParagraph"/>
        <w:numPr>
          <w:ilvl w:val="0"/>
          <w:numId w:val="28"/>
        </w:numPr>
        <w:contextualSpacing/>
        <w:jc w:val="both"/>
        <w:rPr>
          <w:rFonts w:ascii="Arial" w:eastAsia="Arial" w:hAnsi="Arial" w:cs="Arial"/>
        </w:rPr>
      </w:pPr>
      <w:r>
        <w:rPr>
          <w:rFonts w:ascii="Arial" w:eastAsia="Arial" w:hAnsi="Arial" w:cs="Arial"/>
        </w:rPr>
        <w:t>First-tier Tribunal Judge Mailer granted permission to appeal to the Upper Tribunal in the following terms:</w:t>
      </w:r>
    </w:p>
    <w:p w14:paraId="2675E19F" w14:textId="77777777" w:rsidR="00685146" w:rsidRPr="00685146" w:rsidRDefault="00685146" w:rsidP="00685146">
      <w:pPr>
        <w:contextualSpacing/>
        <w:jc w:val="both"/>
        <w:rPr>
          <w:rFonts w:ascii="Arial" w:eastAsia="Arial" w:hAnsi="Arial" w:cs="Arial"/>
        </w:rPr>
      </w:pPr>
    </w:p>
    <w:p w14:paraId="7252FE75" w14:textId="3F21A432" w:rsidR="00685146" w:rsidRPr="00685146" w:rsidRDefault="00685146" w:rsidP="00685146">
      <w:pPr>
        <w:pStyle w:val="ListParagraph"/>
        <w:ind w:left="1842" w:firstLine="141"/>
        <w:contextualSpacing/>
        <w:jc w:val="both"/>
        <w:rPr>
          <w:rFonts w:ascii="Arial" w:eastAsia="Arial" w:hAnsi="Arial" w:cs="Arial"/>
          <w:sz w:val="20"/>
          <w:szCs w:val="20"/>
        </w:rPr>
      </w:pPr>
      <w:proofErr w:type="gramStart"/>
      <w:r w:rsidRPr="00685146">
        <w:rPr>
          <w:rFonts w:ascii="Arial" w:eastAsia="Arial" w:hAnsi="Arial" w:cs="Arial"/>
          <w:sz w:val="20"/>
          <w:szCs w:val="20"/>
        </w:rPr>
        <w:t>…</w:t>
      </w:r>
      <w:r w:rsidR="006F0E50">
        <w:rPr>
          <w:rFonts w:ascii="Arial" w:eastAsia="Arial" w:hAnsi="Arial" w:cs="Arial"/>
          <w:sz w:val="20"/>
          <w:szCs w:val="20"/>
        </w:rPr>
        <w:t>..</w:t>
      </w:r>
      <w:proofErr w:type="gramEnd"/>
      <w:r w:rsidR="006F0E50">
        <w:rPr>
          <w:rFonts w:ascii="Arial" w:eastAsia="Arial" w:hAnsi="Arial" w:cs="Arial"/>
          <w:sz w:val="20"/>
          <w:szCs w:val="20"/>
        </w:rPr>
        <w:t>It is evident</w:t>
      </w:r>
      <w:r w:rsidRPr="00685146">
        <w:rPr>
          <w:rFonts w:ascii="Arial" w:eastAsia="Arial" w:hAnsi="Arial" w:cs="Arial"/>
          <w:sz w:val="20"/>
          <w:szCs w:val="20"/>
        </w:rPr>
        <w:t xml:space="preserve"> that the judge did note that he [the appellant] claimed difficulty with his memory and could not remember many alleged incidents. It appears from the Medical report produced that the appellant had reported problems with his </w:t>
      </w:r>
      <w:proofErr w:type="gramStart"/>
      <w:r w:rsidRPr="00685146">
        <w:rPr>
          <w:rFonts w:ascii="Arial" w:eastAsia="Arial" w:hAnsi="Arial" w:cs="Arial"/>
          <w:sz w:val="20"/>
          <w:szCs w:val="20"/>
        </w:rPr>
        <w:t>short term</w:t>
      </w:r>
      <w:proofErr w:type="gramEnd"/>
      <w:r w:rsidRPr="00685146">
        <w:rPr>
          <w:rFonts w:ascii="Arial" w:eastAsia="Arial" w:hAnsi="Arial" w:cs="Arial"/>
          <w:sz w:val="20"/>
          <w:szCs w:val="20"/>
        </w:rPr>
        <w:t xml:space="preserve"> memory. The report noted that he stated that he forgets information. He appears to struggle with keeping up with the questions and did appear to lose track when he was answering.</w:t>
      </w:r>
    </w:p>
    <w:p w14:paraId="7501B56C" w14:textId="2D251F0E" w:rsidR="00685146" w:rsidRDefault="00685146" w:rsidP="00685146">
      <w:pPr>
        <w:pStyle w:val="ListParagraph"/>
        <w:ind w:left="1842" w:firstLine="141"/>
        <w:contextualSpacing/>
        <w:jc w:val="both"/>
        <w:rPr>
          <w:rFonts w:ascii="Arial" w:eastAsia="Arial" w:hAnsi="Arial" w:cs="Arial"/>
        </w:rPr>
      </w:pPr>
      <w:r w:rsidRPr="00685146">
        <w:rPr>
          <w:rFonts w:ascii="Arial" w:eastAsia="Arial" w:hAnsi="Arial" w:cs="Arial"/>
          <w:sz w:val="20"/>
          <w:szCs w:val="20"/>
        </w:rPr>
        <w:t>It is arguable that the judge may have erred in his summary of the report which led to his conclusions at paragraph 8. It is arguable that the case should have been adjourned to obtain proper information as to the appellant’s potential memory problems, which might have affected his ability to remember details of his past.</w:t>
      </w:r>
    </w:p>
    <w:p w14:paraId="7284EEA5" w14:textId="77777777" w:rsidR="00685146" w:rsidRDefault="00685146" w:rsidP="00685146">
      <w:pPr>
        <w:pStyle w:val="ListParagraph"/>
        <w:ind w:left="1560" w:firstLine="141"/>
        <w:contextualSpacing/>
        <w:jc w:val="both"/>
        <w:rPr>
          <w:rFonts w:ascii="Arial" w:eastAsia="Arial" w:hAnsi="Arial" w:cs="Arial"/>
        </w:rPr>
      </w:pPr>
    </w:p>
    <w:p w14:paraId="004F529D" w14:textId="0E9C771B" w:rsidR="00BC1CFB" w:rsidRDefault="00BC1CFB" w:rsidP="00685146">
      <w:pPr>
        <w:pStyle w:val="ListParagraph"/>
        <w:numPr>
          <w:ilvl w:val="0"/>
          <w:numId w:val="28"/>
        </w:numPr>
        <w:contextualSpacing/>
        <w:jc w:val="both"/>
        <w:rPr>
          <w:rFonts w:ascii="Arial" w:eastAsia="Arial" w:hAnsi="Arial" w:cs="Arial"/>
        </w:rPr>
      </w:pPr>
      <w:r>
        <w:rPr>
          <w:rFonts w:ascii="Arial" w:eastAsia="Arial" w:hAnsi="Arial" w:cs="Arial"/>
        </w:rPr>
        <w:t>The appellant was unrepresented before me. He did not seek an adjournment. In response to questions from me whether he had attempted to obtain legal representation he said he had contacted a number of legal advisors but the cost quoted for representation (some £2000) was more than he could afford. I was satisfied the hearing could proceed with the appellant in person, speaking through an interpreter who he confirmed he understood.</w:t>
      </w:r>
    </w:p>
    <w:p w14:paraId="6029840C" w14:textId="77777777" w:rsidR="00BC1CFB" w:rsidRDefault="00BC1CFB" w:rsidP="00BC1CFB">
      <w:pPr>
        <w:pStyle w:val="ListParagraph"/>
        <w:ind w:left="1560"/>
        <w:contextualSpacing/>
        <w:jc w:val="both"/>
        <w:rPr>
          <w:rFonts w:ascii="Arial" w:eastAsia="Arial" w:hAnsi="Arial" w:cs="Arial"/>
        </w:rPr>
      </w:pPr>
    </w:p>
    <w:p w14:paraId="5374DEF8" w14:textId="77777777" w:rsidR="00BC1CFB" w:rsidRDefault="00E35FF9" w:rsidP="00685146">
      <w:pPr>
        <w:pStyle w:val="ListParagraph"/>
        <w:numPr>
          <w:ilvl w:val="0"/>
          <w:numId w:val="28"/>
        </w:numPr>
        <w:contextualSpacing/>
        <w:jc w:val="both"/>
        <w:rPr>
          <w:rFonts w:ascii="Arial" w:eastAsia="Arial" w:hAnsi="Arial" w:cs="Arial"/>
        </w:rPr>
      </w:pPr>
      <w:r>
        <w:rPr>
          <w:rFonts w:ascii="Arial" w:eastAsia="Arial" w:hAnsi="Arial" w:cs="Arial"/>
        </w:rPr>
        <w:t xml:space="preserve">The </w:t>
      </w:r>
      <w:r w:rsidR="00BC1CFB">
        <w:rPr>
          <w:rFonts w:ascii="Arial" w:eastAsia="Arial" w:hAnsi="Arial" w:cs="Arial"/>
        </w:rPr>
        <w:t xml:space="preserve">appellant did not seek an adjournment of the hearing before the First-tier Tribunal. The judge nevertheless considered whether an adjournment was necessary and decided to proceed on the basis that the appellant had had adequate time to obtain legal representation. The judge considered the medical report. He notes in his summary that </w:t>
      </w:r>
    </w:p>
    <w:p w14:paraId="5C9DC327" w14:textId="77777777" w:rsidR="00BC1CFB" w:rsidRPr="00BC1CFB" w:rsidRDefault="00BC1CFB" w:rsidP="00BC1CFB">
      <w:pPr>
        <w:contextualSpacing/>
        <w:jc w:val="both"/>
        <w:rPr>
          <w:rFonts w:ascii="Arial" w:eastAsia="Arial" w:hAnsi="Arial" w:cs="Arial"/>
        </w:rPr>
      </w:pPr>
    </w:p>
    <w:p w14:paraId="6CEED76C" w14:textId="77777777" w:rsidR="00BC1CFB" w:rsidRPr="006F0E50" w:rsidRDefault="00BC1CFB" w:rsidP="006F0E50">
      <w:pPr>
        <w:pStyle w:val="ListParagraph"/>
        <w:ind w:left="1701" w:firstLine="141"/>
        <w:contextualSpacing/>
        <w:jc w:val="both"/>
        <w:rPr>
          <w:rFonts w:ascii="Arial" w:eastAsia="Arial" w:hAnsi="Arial" w:cs="Arial"/>
          <w:sz w:val="20"/>
          <w:szCs w:val="20"/>
        </w:rPr>
      </w:pPr>
      <w:r w:rsidRPr="006F0E50">
        <w:rPr>
          <w:rFonts w:ascii="Arial" w:eastAsia="Arial" w:hAnsi="Arial" w:cs="Arial"/>
          <w:sz w:val="20"/>
          <w:szCs w:val="20"/>
        </w:rPr>
        <w:t>The [medical report] makes no mention of cognitive problems or memory issues…</w:t>
      </w:r>
    </w:p>
    <w:p w14:paraId="0F2FD9A6" w14:textId="77777777" w:rsidR="00BC1CFB" w:rsidRDefault="00BC1CFB" w:rsidP="00BC1CFB">
      <w:pPr>
        <w:pStyle w:val="ListParagraph"/>
        <w:ind w:left="1560" w:firstLine="141"/>
        <w:contextualSpacing/>
        <w:jc w:val="both"/>
        <w:rPr>
          <w:rFonts w:ascii="Arial" w:eastAsia="Arial" w:hAnsi="Arial" w:cs="Arial"/>
        </w:rPr>
      </w:pPr>
    </w:p>
    <w:p w14:paraId="53785827" w14:textId="77777777" w:rsidR="00BC1CFB" w:rsidRDefault="00BC1CFB" w:rsidP="00BC1CFB">
      <w:pPr>
        <w:pStyle w:val="ListParagraph"/>
        <w:numPr>
          <w:ilvl w:val="0"/>
          <w:numId w:val="28"/>
        </w:numPr>
        <w:contextualSpacing/>
        <w:jc w:val="both"/>
        <w:rPr>
          <w:rFonts w:ascii="Arial" w:eastAsia="Arial" w:hAnsi="Arial" w:cs="Arial"/>
        </w:rPr>
      </w:pPr>
      <w:r>
        <w:rPr>
          <w:rFonts w:ascii="Arial" w:eastAsia="Arial" w:hAnsi="Arial" w:cs="Arial"/>
        </w:rPr>
        <w:t>The report, which is dated 9</w:t>
      </w:r>
      <w:r w:rsidRPr="00BC1CFB">
        <w:rPr>
          <w:rFonts w:ascii="Arial" w:eastAsia="Arial" w:hAnsi="Arial" w:cs="Arial"/>
          <w:vertAlign w:val="superscript"/>
        </w:rPr>
        <w:t>th</w:t>
      </w:r>
      <w:r>
        <w:rPr>
          <w:rFonts w:ascii="Arial" w:eastAsia="Arial" w:hAnsi="Arial" w:cs="Arial"/>
        </w:rPr>
        <w:t xml:space="preserve"> May 2018 and was written after attendance by the appellant at a clinic on 24</w:t>
      </w:r>
      <w:r w:rsidRPr="00BC1CFB">
        <w:rPr>
          <w:rFonts w:ascii="Arial" w:eastAsia="Arial" w:hAnsi="Arial" w:cs="Arial"/>
          <w:vertAlign w:val="superscript"/>
        </w:rPr>
        <w:t>th</w:t>
      </w:r>
      <w:r>
        <w:rPr>
          <w:rFonts w:ascii="Arial" w:eastAsia="Arial" w:hAnsi="Arial" w:cs="Arial"/>
        </w:rPr>
        <w:t xml:space="preserve"> April 2018 states, inter alia,</w:t>
      </w:r>
    </w:p>
    <w:p w14:paraId="4AE5B568" w14:textId="77777777" w:rsidR="006F0E50" w:rsidRDefault="006F0E50" w:rsidP="006F0E50">
      <w:pPr>
        <w:pStyle w:val="ListParagraph"/>
        <w:ind w:left="1560"/>
        <w:contextualSpacing/>
        <w:jc w:val="both"/>
        <w:rPr>
          <w:rFonts w:ascii="Arial" w:eastAsia="Arial" w:hAnsi="Arial" w:cs="Arial"/>
        </w:rPr>
      </w:pPr>
    </w:p>
    <w:p w14:paraId="2B44F0F6" w14:textId="77777777" w:rsidR="007B31E9" w:rsidRPr="007B31E9" w:rsidRDefault="007B31E9" w:rsidP="007B31E9">
      <w:pPr>
        <w:pStyle w:val="ListParagraph"/>
        <w:ind w:left="1842" w:firstLine="141"/>
        <w:contextualSpacing/>
        <w:jc w:val="both"/>
        <w:rPr>
          <w:rFonts w:ascii="Arial" w:eastAsia="Arial" w:hAnsi="Arial" w:cs="Arial"/>
          <w:sz w:val="20"/>
          <w:szCs w:val="20"/>
        </w:rPr>
      </w:pPr>
      <w:r w:rsidRPr="007B31E9">
        <w:rPr>
          <w:rFonts w:ascii="Arial" w:eastAsia="Arial" w:hAnsi="Arial" w:cs="Arial"/>
          <w:sz w:val="20"/>
          <w:szCs w:val="20"/>
        </w:rPr>
        <w:t>Thoughts/Feelings – remained cohesive, logical, rational providing positive insight into current difficulties – no evidence of any incongruent or intrusive thoughts.</w:t>
      </w:r>
    </w:p>
    <w:p w14:paraId="4C67B4BC" w14:textId="77777777" w:rsidR="007B31E9" w:rsidRPr="007B31E9" w:rsidRDefault="007B31E9" w:rsidP="007B31E9">
      <w:pPr>
        <w:pStyle w:val="ListParagraph"/>
        <w:ind w:left="1842" w:firstLine="141"/>
        <w:contextualSpacing/>
        <w:jc w:val="both"/>
        <w:rPr>
          <w:rFonts w:ascii="Arial" w:eastAsia="Arial" w:hAnsi="Arial" w:cs="Arial"/>
          <w:sz w:val="20"/>
          <w:szCs w:val="20"/>
        </w:rPr>
      </w:pPr>
      <w:r w:rsidRPr="007B31E9">
        <w:rPr>
          <w:rFonts w:ascii="Arial" w:eastAsia="Arial" w:hAnsi="Arial" w:cs="Arial"/>
          <w:sz w:val="20"/>
          <w:szCs w:val="20"/>
        </w:rPr>
        <w:t>….</w:t>
      </w:r>
    </w:p>
    <w:p w14:paraId="47962FE1" w14:textId="77777777" w:rsidR="007B31E9" w:rsidRPr="007B31E9" w:rsidRDefault="007B31E9" w:rsidP="007B31E9">
      <w:pPr>
        <w:pStyle w:val="ListParagraph"/>
        <w:ind w:left="1842" w:firstLine="141"/>
        <w:contextualSpacing/>
        <w:jc w:val="both"/>
        <w:rPr>
          <w:rFonts w:ascii="Arial" w:eastAsia="Arial" w:hAnsi="Arial" w:cs="Arial"/>
          <w:sz w:val="20"/>
          <w:szCs w:val="20"/>
        </w:rPr>
      </w:pPr>
      <w:r w:rsidRPr="007B31E9">
        <w:rPr>
          <w:rFonts w:ascii="Arial" w:eastAsia="Arial" w:hAnsi="Arial" w:cs="Arial"/>
          <w:sz w:val="20"/>
          <w:szCs w:val="20"/>
        </w:rPr>
        <w:t xml:space="preserve">Cognitions – orientated as to time place and person. He reports problems with his </w:t>
      </w:r>
      <w:proofErr w:type="gramStart"/>
      <w:r w:rsidRPr="007B31E9">
        <w:rPr>
          <w:rFonts w:ascii="Arial" w:eastAsia="Arial" w:hAnsi="Arial" w:cs="Arial"/>
          <w:sz w:val="20"/>
          <w:szCs w:val="20"/>
        </w:rPr>
        <w:t>short term</w:t>
      </w:r>
      <w:proofErr w:type="gramEnd"/>
      <w:r w:rsidRPr="007B31E9">
        <w:rPr>
          <w:rFonts w:ascii="Arial" w:eastAsia="Arial" w:hAnsi="Arial" w:cs="Arial"/>
          <w:sz w:val="20"/>
          <w:szCs w:val="20"/>
        </w:rPr>
        <w:t xml:space="preserve"> memory. He states he forgets information; will struggle cooking due to poor concentration and memory. He appeared to struggle with keeping up with questions and did appear to lose track when he was answering.</w:t>
      </w:r>
    </w:p>
    <w:p w14:paraId="09B62483" w14:textId="77777777" w:rsidR="007B31E9" w:rsidRPr="007B31E9" w:rsidRDefault="007B31E9" w:rsidP="007B31E9">
      <w:pPr>
        <w:pStyle w:val="ListParagraph"/>
        <w:ind w:left="1842" w:firstLine="141"/>
        <w:contextualSpacing/>
        <w:jc w:val="both"/>
        <w:rPr>
          <w:rFonts w:ascii="Arial" w:eastAsia="Arial" w:hAnsi="Arial" w:cs="Arial"/>
          <w:sz w:val="20"/>
          <w:szCs w:val="20"/>
        </w:rPr>
      </w:pPr>
      <w:r w:rsidRPr="007B31E9">
        <w:rPr>
          <w:rFonts w:ascii="Arial" w:eastAsia="Arial" w:hAnsi="Arial" w:cs="Arial"/>
          <w:sz w:val="20"/>
          <w:szCs w:val="20"/>
        </w:rPr>
        <w:t>Insight; very good insight into his symptoms and circumstances.</w:t>
      </w:r>
    </w:p>
    <w:p w14:paraId="7CAB464F" w14:textId="77777777" w:rsidR="007B31E9" w:rsidRPr="007B31E9" w:rsidRDefault="007B31E9" w:rsidP="007B31E9">
      <w:pPr>
        <w:pStyle w:val="ListParagraph"/>
        <w:ind w:left="1842" w:firstLine="141"/>
        <w:contextualSpacing/>
        <w:jc w:val="both"/>
        <w:rPr>
          <w:rFonts w:ascii="Arial" w:eastAsia="Arial" w:hAnsi="Arial" w:cs="Arial"/>
          <w:sz w:val="20"/>
          <w:szCs w:val="20"/>
        </w:rPr>
      </w:pPr>
      <w:r w:rsidRPr="007B31E9">
        <w:rPr>
          <w:rFonts w:ascii="Arial" w:eastAsia="Arial" w:hAnsi="Arial" w:cs="Arial"/>
          <w:sz w:val="20"/>
          <w:szCs w:val="20"/>
        </w:rPr>
        <w:t>….</w:t>
      </w:r>
    </w:p>
    <w:p w14:paraId="6CFF7FFB" w14:textId="77777777" w:rsidR="007B31E9" w:rsidRPr="007B31E9" w:rsidRDefault="007B31E9" w:rsidP="007B31E9">
      <w:pPr>
        <w:pStyle w:val="ListParagraph"/>
        <w:ind w:left="1842" w:firstLine="141"/>
        <w:contextualSpacing/>
        <w:jc w:val="both"/>
        <w:rPr>
          <w:rFonts w:ascii="Arial" w:eastAsia="Arial" w:hAnsi="Arial" w:cs="Arial"/>
          <w:sz w:val="20"/>
          <w:szCs w:val="20"/>
        </w:rPr>
      </w:pPr>
      <w:r w:rsidRPr="007B31E9">
        <w:rPr>
          <w:rFonts w:ascii="Arial" w:eastAsia="Arial" w:hAnsi="Arial" w:cs="Arial"/>
          <w:sz w:val="20"/>
          <w:szCs w:val="20"/>
        </w:rPr>
        <w:t>I felt [the appellant] was presenting with reactive depression in context of his current situation. He also presents with anxiety thoughts relating to his difficult circumstances.</w:t>
      </w:r>
    </w:p>
    <w:p w14:paraId="751F13D0" w14:textId="77777777" w:rsidR="007B31E9" w:rsidRDefault="007B31E9" w:rsidP="007B31E9">
      <w:pPr>
        <w:pStyle w:val="ListParagraph"/>
        <w:ind w:left="1842" w:firstLine="141"/>
        <w:contextualSpacing/>
        <w:jc w:val="both"/>
        <w:rPr>
          <w:rFonts w:ascii="Arial" w:eastAsia="Arial" w:hAnsi="Arial" w:cs="Arial"/>
        </w:rPr>
      </w:pPr>
      <w:r w:rsidRPr="007B31E9">
        <w:rPr>
          <w:rFonts w:ascii="Arial" w:eastAsia="Arial" w:hAnsi="Arial" w:cs="Arial"/>
          <w:sz w:val="20"/>
          <w:szCs w:val="20"/>
        </w:rPr>
        <w:t>I was not convinced he fulfilled the criteria for PTSD.</w:t>
      </w:r>
    </w:p>
    <w:p w14:paraId="183C069C" w14:textId="77777777" w:rsidR="007B31E9" w:rsidRDefault="007B31E9" w:rsidP="00BC1CFB">
      <w:pPr>
        <w:pStyle w:val="ListParagraph"/>
        <w:ind w:left="1560" w:firstLine="141"/>
        <w:contextualSpacing/>
        <w:jc w:val="both"/>
        <w:rPr>
          <w:rFonts w:ascii="Arial" w:eastAsia="Arial" w:hAnsi="Arial" w:cs="Arial"/>
        </w:rPr>
      </w:pPr>
    </w:p>
    <w:p w14:paraId="5D9379BA" w14:textId="77777777" w:rsidR="007B31E9" w:rsidRDefault="007B31E9" w:rsidP="007B31E9">
      <w:pPr>
        <w:pStyle w:val="ListParagraph"/>
        <w:numPr>
          <w:ilvl w:val="0"/>
          <w:numId w:val="28"/>
        </w:numPr>
        <w:contextualSpacing/>
        <w:jc w:val="both"/>
        <w:rPr>
          <w:rFonts w:ascii="Arial" w:eastAsia="Arial" w:hAnsi="Arial" w:cs="Arial"/>
        </w:rPr>
      </w:pPr>
      <w:r>
        <w:rPr>
          <w:rFonts w:ascii="Arial" w:eastAsia="Arial" w:hAnsi="Arial" w:cs="Arial"/>
        </w:rPr>
        <w:t xml:space="preserve">The First-tier Tribunal judge did not in his decision accurately record that the appellant was noted by the Mental Health team as having complained of memory problems. </w:t>
      </w:r>
    </w:p>
    <w:p w14:paraId="26C72970" w14:textId="77777777" w:rsidR="007B31E9" w:rsidRDefault="007B31E9" w:rsidP="007B31E9">
      <w:pPr>
        <w:pStyle w:val="ListParagraph"/>
        <w:ind w:left="1560"/>
        <w:contextualSpacing/>
        <w:jc w:val="both"/>
        <w:rPr>
          <w:rFonts w:ascii="Arial" w:eastAsia="Arial" w:hAnsi="Arial" w:cs="Arial"/>
        </w:rPr>
      </w:pPr>
    </w:p>
    <w:p w14:paraId="404EB834" w14:textId="1ECF1FD7" w:rsidR="00FD1F54" w:rsidRDefault="007B31E9" w:rsidP="007B31E9">
      <w:pPr>
        <w:pStyle w:val="ListParagraph"/>
        <w:numPr>
          <w:ilvl w:val="0"/>
          <w:numId w:val="28"/>
        </w:numPr>
        <w:contextualSpacing/>
        <w:jc w:val="both"/>
        <w:rPr>
          <w:rFonts w:ascii="Arial" w:eastAsia="Arial" w:hAnsi="Arial" w:cs="Arial"/>
        </w:rPr>
      </w:pPr>
      <w:r>
        <w:rPr>
          <w:rFonts w:ascii="Arial" w:eastAsia="Arial" w:hAnsi="Arial" w:cs="Arial"/>
        </w:rPr>
        <w:t xml:space="preserve">Dealing first with the grant of permission on the basis that </w:t>
      </w:r>
      <w:r w:rsidR="00BB71F1">
        <w:rPr>
          <w:rFonts w:ascii="Arial" w:eastAsia="Arial" w:hAnsi="Arial" w:cs="Arial"/>
        </w:rPr>
        <w:t xml:space="preserve">it was arguable </w:t>
      </w:r>
      <w:r>
        <w:rPr>
          <w:rFonts w:ascii="Arial" w:eastAsia="Arial" w:hAnsi="Arial" w:cs="Arial"/>
        </w:rPr>
        <w:t>an adjo</w:t>
      </w:r>
      <w:r w:rsidR="006F0E50">
        <w:rPr>
          <w:rFonts w:ascii="Arial" w:eastAsia="Arial" w:hAnsi="Arial" w:cs="Arial"/>
        </w:rPr>
        <w:t>urnment should</w:t>
      </w:r>
      <w:r>
        <w:rPr>
          <w:rFonts w:ascii="Arial" w:eastAsia="Arial" w:hAnsi="Arial" w:cs="Arial"/>
        </w:rPr>
        <w:t xml:space="preserve"> have been granted to obtain further medical evidence. This is hopeless. The medical report produced was as a result of an examination only one month earlier. Although mention is made of memory issues these are to short term memory. There is an indication of a possible difficulty in concentration and keeping up with questions but there is no indication in the report that these presented as a significant difficulty for the hearing before the First-tier Tribunal. There is no suggestion in the r</w:t>
      </w:r>
      <w:r w:rsidR="00FD1F54">
        <w:rPr>
          <w:rFonts w:ascii="Arial" w:eastAsia="Arial" w:hAnsi="Arial" w:cs="Arial"/>
        </w:rPr>
        <w:t>e</w:t>
      </w:r>
      <w:r>
        <w:rPr>
          <w:rFonts w:ascii="Arial" w:eastAsia="Arial" w:hAnsi="Arial" w:cs="Arial"/>
        </w:rPr>
        <w:t>port that further investigation is required</w:t>
      </w:r>
      <w:r w:rsidR="00FD1F54">
        <w:rPr>
          <w:rFonts w:ascii="Arial" w:eastAsia="Arial" w:hAnsi="Arial" w:cs="Arial"/>
        </w:rPr>
        <w:t xml:space="preserve"> or that a more detailed report should be obtained.</w:t>
      </w:r>
    </w:p>
    <w:p w14:paraId="62C9E495" w14:textId="77777777" w:rsidR="00FD1F54" w:rsidRPr="00FD1F54" w:rsidRDefault="00FD1F54" w:rsidP="00FD1F54">
      <w:pPr>
        <w:contextualSpacing/>
        <w:jc w:val="both"/>
        <w:rPr>
          <w:rFonts w:ascii="Arial" w:eastAsia="Arial" w:hAnsi="Arial" w:cs="Arial"/>
        </w:rPr>
      </w:pPr>
    </w:p>
    <w:p w14:paraId="6B5E4F07" w14:textId="77777777" w:rsidR="00FD1F54" w:rsidRDefault="00FD1F54" w:rsidP="007B31E9">
      <w:pPr>
        <w:pStyle w:val="ListParagraph"/>
        <w:numPr>
          <w:ilvl w:val="0"/>
          <w:numId w:val="28"/>
        </w:numPr>
        <w:contextualSpacing/>
        <w:jc w:val="both"/>
        <w:rPr>
          <w:rFonts w:ascii="Arial" w:eastAsia="Arial" w:hAnsi="Arial" w:cs="Arial"/>
        </w:rPr>
      </w:pPr>
      <w:r>
        <w:rPr>
          <w:rFonts w:ascii="Arial" w:eastAsia="Arial" w:hAnsi="Arial" w:cs="Arial"/>
        </w:rPr>
        <w:t>The basis upon which permission was granted was incorrect. There was no arguable error of law that an adjournment should have been granted.</w:t>
      </w:r>
    </w:p>
    <w:p w14:paraId="6256E08C" w14:textId="77777777" w:rsidR="00FD1F54" w:rsidRPr="00FD1F54" w:rsidRDefault="00FD1F54" w:rsidP="00FD1F54">
      <w:pPr>
        <w:contextualSpacing/>
        <w:jc w:val="both"/>
        <w:rPr>
          <w:rFonts w:ascii="Arial" w:eastAsia="Arial" w:hAnsi="Arial" w:cs="Arial"/>
        </w:rPr>
      </w:pPr>
    </w:p>
    <w:p w14:paraId="24EBB80A" w14:textId="48B6B3E7" w:rsidR="00FD1F54" w:rsidRDefault="00FD1F54" w:rsidP="007B31E9">
      <w:pPr>
        <w:pStyle w:val="ListParagraph"/>
        <w:numPr>
          <w:ilvl w:val="0"/>
          <w:numId w:val="28"/>
        </w:numPr>
        <w:contextualSpacing/>
        <w:jc w:val="both"/>
        <w:rPr>
          <w:rFonts w:ascii="Arial" w:eastAsia="Arial" w:hAnsi="Arial" w:cs="Arial"/>
        </w:rPr>
      </w:pPr>
      <w:r>
        <w:rPr>
          <w:rFonts w:ascii="Arial" w:eastAsia="Arial" w:hAnsi="Arial" w:cs="Arial"/>
        </w:rPr>
        <w:t xml:space="preserve">Nevertheless, given the broad terms in which permission to appeal had been sought and because the appellant was unrepresented, Mr McVeety very properly addressed the decision of the First-tier Tribunal as </w:t>
      </w:r>
      <w:r w:rsidR="006F0E50">
        <w:rPr>
          <w:rFonts w:ascii="Arial" w:eastAsia="Arial" w:hAnsi="Arial" w:cs="Arial"/>
        </w:rPr>
        <w:t>to whether</w:t>
      </w:r>
      <w:r>
        <w:rPr>
          <w:rFonts w:ascii="Arial" w:eastAsia="Arial" w:hAnsi="Arial" w:cs="Arial"/>
        </w:rPr>
        <w:t xml:space="preserve"> there was an identifiable material error of law.</w:t>
      </w:r>
      <w:r w:rsidR="00CE4526">
        <w:rPr>
          <w:rFonts w:ascii="Arial" w:eastAsia="Arial" w:hAnsi="Arial" w:cs="Arial"/>
        </w:rPr>
        <w:t xml:space="preserve"> </w:t>
      </w:r>
    </w:p>
    <w:p w14:paraId="7A93843B" w14:textId="77777777" w:rsidR="00CE4526" w:rsidRPr="00CE4526" w:rsidRDefault="00CE4526" w:rsidP="00CE4526">
      <w:pPr>
        <w:contextualSpacing/>
        <w:jc w:val="both"/>
        <w:rPr>
          <w:rFonts w:ascii="Arial" w:eastAsia="Arial" w:hAnsi="Arial" w:cs="Arial"/>
        </w:rPr>
      </w:pPr>
    </w:p>
    <w:p w14:paraId="03125E9E" w14:textId="5D22E21C" w:rsidR="00CE4526" w:rsidRDefault="00CE4526" w:rsidP="007B31E9">
      <w:pPr>
        <w:pStyle w:val="ListParagraph"/>
        <w:numPr>
          <w:ilvl w:val="0"/>
          <w:numId w:val="28"/>
        </w:numPr>
        <w:contextualSpacing/>
        <w:jc w:val="both"/>
        <w:rPr>
          <w:rFonts w:ascii="Arial" w:eastAsia="Arial" w:hAnsi="Arial" w:cs="Arial"/>
        </w:rPr>
      </w:pPr>
      <w:r>
        <w:rPr>
          <w:rFonts w:ascii="Arial" w:eastAsia="Arial" w:hAnsi="Arial" w:cs="Arial"/>
        </w:rPr>
        <w:t xml:space="preserve">The judge considered whether the appellant had memory problems which affected his ability to give evidence relating to the basis of his claim for asylum and concluded he did not. The First-tier Tribunal judge identified matters that cast significant doubt on the appellant’s account of fear of the </w:t>
      </w:r>
      <w:proofErr w:type="spellStart"/>
      <w:r>
        <w:rPr>
          <w:rFonts w:ascii="Arial" w:eastAsia="Arial" w:hAnsi="Arial" w:cs="Arial"/>
        </w:rPr>
        <w:t>Poro</w:t>
      </w:r>
      <w:proofErr w:type="spellEnd"/>
      <w:r>
        <w:rPr>
          <w:rFonts w:ascii="Arial" w:eastAsia="Arial" w:hAnsi="Arial" w:cs="Arial"/>
        </w:rPr>
        <w:t xml:space="preserve"> Society when considered in the context of the country material before him. None of these matters required evidence that could be affected by short term memory loss; for example:</w:t>
      </w:r>
    </w:p>
    <w:p w14:paraId="1E493AD8" w14:textId="77777777" w:rsidR="00CE4526" w:rsidRPr="00CE4526" w:rsidRDefault="00CE4526" w:rsidP="00CE4526">
      <w:pPr>
        <w:contextualSpacing/>
        <w:jc w:val="both"/>
        <w:rPr>
          <w:rFonts w:ascii="Arial" w:eastAsia="Arial" w:hAnsi="Arial" w:cs="Arial"/>
        </w:rPr>
      </w:pPr>
    </w:p>
    <w:p w14:paraId="6D1BC35E" w14:textId="573436CD" w:rsidR="00CE4526" w:rsidRDefault="00CE4526" w:rsidP="00CE4526">
      <w:pPr>
        <w:pStyle w:val="ListParagraph"/>
        <w:numPr>
          <w:ilvl w:val="0"/>
          <w:numId w:val="29"/>
        </w:numPr>
        <w:contextualSpacing/>
        <w:jc w:val="both"/>
        <w:rPr>
          <w:rFonts w:ascii="Arial" w:eastAsia="Arial" w:hAnsi="Arial" w:cs="Arial"/>
        </w:rPr>
      </w:pPr>
      <w:r>
        <w:rPr>
          <w:rFonts w:ascii="Arial" w:eastAsia="Arial" w:hAnsi="Arial" w:cs="Arial"/>
        </w:rPr>
        <w:t xml:space="preserve">Inconsistent in his answers whether his older brother was a member of the </w:t>
      </w:r>
      <w:proofErr w:type="spellStart"/>
      <w:r>
        <w:rPr>
          <w:rFonts w:ascii="Arial" w:eastAsia="Arial" w:hAnsi="Arial" w:cs="Arial"/>
        </w:rPr>
        <w:t>Poro</w:t>
      </w:r>
      <w:proofErr w:type="spellEnd"/>
      <w:r>
        <w:rPr>
          <w:rFonts w:ascii="Arial" w:eastAsia="Arial" w:hAnsi="Arial" w:cs="Arial"/>
        </w:rPr>
        <w:t xml:space="preserve"> Society</w:t>
      </w:r>
      <w:r w:rsidR="006F0E50">
        <w:rPr>
          <w:rFonts w:ascii="Arial" w:eastAsia="Arial" w:hAnsi="Arial" w:cs="Arial"/>
        </w:rPr>
        <w:t>;</w:t>
      </w:r>
      <w:r>
        <w:rPr>
          <w:rFonts w:ascii="Arial" w:eastAsia="Arial" w:hAnsi="Arial" w:cs="Arial"/>
        </w:rPr>
        <w:t xml:space="preserve"> it would be reasonable to know this;</w:t>
      </w:r>
    </w:p>
    <w:p w14:paraId="21530A25" w14:textId="75882110" w:rsidR="00CE4526" w:rsidRDefault="00CE4526" w:rsidP="00CE4526">
      <w:pPr>
        <w:pStyle w:val="ListParagraph"/>
        <w:numPr>
          <w:ilvl w:val="0"/>
          <w:numId w:val="29"/>
        </w:numPr>
        <w:contextualSpacing/>
        <w:jc w:val="both"/>
        <w:rPr>
          <w:rFonts w:ascii="Arial" w:eastAsia="Arial" w:hAnsi="Arial" w:cs="Arial"/>
        </w:rPr>
      </w:pPr>
      <w:r>
        <w:rPr>
          <w:rFonts w:ascii="Arial" w:eastAsia="Arial" w:hAnsi="Arial" w:cs="Arial"/>
        </w:rPr>
        <w:t xml:space="preserve">That according to his evidence and the country material it is the oldest son who is expected to take over the role as senior member of the </w:t>
      </w:r>
      <w:proofErr w:type="spellStart"/>
      <w:r>
        <w:rPr>
          <w:rFonts w:ascii="Arial" w:eastAsia="Arial" w:hAnsi="Arial" w:cs="Arial"/>
        </w:rPr>
        <w:t>Poro</w:t>
      </w:r>
      <w:proofErr w:type="spellEnd"/>
      <w:r>
        <w:rPr>
          <w:rFonts w:ascii="Arial" w:eastAsia="Arial" w:hAnsi="Arial" w:cs="Arial"/>
        </w:rPr>
        <w:t xml:space="preserve"> Society yet the appellant is not the oldest son;</w:t>
      </w:r>
    </w:p>
    <w:p w14:paraId="537C861C" w14:textId="677E6770" w:rsidR="00CE4526" w:rsidRDefault="00CE4526" w:rsidP="00CE4526">
      <w:pPr>
        <w:pStyle w:val="ListParagraph"/>
        <w:numPr>
          <w:ilvl w:val="0"/>
          <w:numId w:val="29"/>
        </w:numPr>
        <w:contextualSpacing/>
        <w:jc w:val="both"/>
        <w:rPr>
          <w:rFonts w:ascii="Arial" w:eastAsia="Arial" w:hAnsi="Arial" w:cs="Arial"/>
        </w:rPr>
      </w:pPr>
      <w:r>
        <w:rPr>
          <w:rFonts w:ascii="Arial" w:eastAsia="Arial" w:hAnsi="Arial" w:cs="Arial"/>
        </w:rPr>
        <w:t>That the age at which membership was initiated varied between 7/8 and 10/11 and yet he claimed his initiation took place when he was 24;</w:t>
      </w:r>
    </w:p>
    <w:p w14:paraId="0DF7F5AD" w14:textId="38E5DAE2" w:rsidR="00CE4526" w:rsidRDefault="00CE4526" w:rsidP="00CE4526">
      <w:pPr>
        <w:pStyle w:val="ListParagraph"/>
        <w:numPr>
          <w:ilvl w:val="0"/>
          <w:numId w:val="29"/>
        </w:numPr>
        <w:contextualSpacing/>
        <w:jc w:val="both"/>
        <w:rPr>
          <w:rFonts w:ascii="Arial" w:eastAsia="Arial" w:hAnsi="Arial" w:cs="Arial"/>
        </w:rPr>
      </w:pPr>
      <w:r>
        <w:rPr>
          <w:rFonts w:ascii="Arial" w:eastAsia="Arial" w:hAnsi="Arial" w:cs="Arial"/>
        </w:rPr>
        <w:t xml:space="preserve">The name given to the </w:t>
      </w:r>
      <w:proofErr w:type="gramStart"/>
      <w:r>
        <w:rPr>
          <w:rFonts w:ascii="Arial" w:eastAsia="Arial" w:hAnsi="Arial" w:cs="Arial"/>
        </w:rPr>
        <w:t>highest ranking</w:t>
      </w:r>
      <w:proofErr w:type="gramEnd"/>
      <w:r>
        <w:rPr>
          <w:rFonts w:ascii="Arial" w:eastAsia="Arial" w:hAnsi="Arial" w:cs="Arial"/>
        </w:rPr>
        <w:t xml:space="preserve"> member was not that described in the country material;</w:t>
      </w:r>
    </w:p>
    <w:p w14:paraId="3C773DA9" w14:textId="3E85A310" w:rsidR="00CE4526" w:rsidRDefault="00CE4526" w:rsidP="00CE4526">
      <w:pPr>
        <w:pStyle w:val="ListParagraph"/>
        <w:numPr>
          <w:ilvl w:val="0"/>
          <w:numId w:val="29"/>
        </w:numPr>
        <w:contextualSpacing/>
        <w:jc w:val="both"/>
        <w:rPr>
          <w:rFonts w:ascii="Arial" w:eastAsia="Arial" w:hAnsi="Arial" w:cs="Arial"/>
        </w:rPr>
      </w:pPr>
      <w:r>
        <w:rPr>
          <w:rFonts w:ascii="Arial" w:eastAsia="Arial" w:hAnsi="Arial" w:cs="Arial"/>
        </w:rPr>
        <w:t xml:space="preserve">He was unable to provide details of the </w:t>
      </w:r>
      <w:proofErr w:type="spellStart"/>
      <w:r>
        <w:rPr>
          <w:rFonts w:ascii="Arial" w:eastAsia="Arial" w:hAnsi="Arial" w:cs="Arial"/>
        </w:rPr>
        <w:t>Poro</w:t>
      </w:r>
      <w:proofErr w:type="spellEnd"/>
      <w:r>
        <w:rPr>
          <w:rFonts w:ascii="Arial" w:eastAsia="Arial" w:hAnsi="Arial" w:cs="Arial"/>
        </w:rPr>
        <w:t xml:space="preserve"> society despite claiming to have been initiated as a member;</w:t>
      </w:r>
    </w:p>
    <w:p w14:paraId="626E34A0" w14:textId="482E32D1" w:rsidR="00CE4526" w:rsidRDefault="00CE4526" w:rsidP="00CE4526">
      <w:pPr>
        <w:pStyle w:val="ListParagraph"/>
        <w:numPr>
          <w:ilvl w:val="0"/>
          <w:numId w:val="29"/>
        </w:numPr>
        <w:contextualSpacing/>
        <w:jc w:val="both"/>
        <w:rPr>
          <w:rFonts w:ascii="Arial" w:eastAsia="Arial" w:hAnsi="Arial" w:cs="Arial"/>
        </w:rPr>
      </w:pPr>
      <w:r>
        <w:rPr>
          <w:rFonts w:ascii="Arial" w:eastAsia="Arial" w:hAnsi="Arial" w:cs="Arial"/>
        </w:rPr>
        <w:t>The witness evidence relied upon did not support his account</w:t>
      </w:r>
    </w:p>
    <w:p w14:paraId="07E29810" w14:textId="77777777" w:rsidR="00CE4526" w:rsidRDefault="00CE4526" w:rsidP="00CE4526">
      <w:pPr>
        <w:pStyle w:val="ListParagraph"/>
        <w:ind w:left="1560"/>
        <w:contextualSpacing/>
        <w:jc w:val="both"/>
        <w:rPr>
          <w:rFonts w:ascii="Arial" w:eastAsia="Arial" w:hAnsi="Arial" w:cs="Arial"/>
        </w:rPr>
      </w:pPr>
    </w:p>
    <w:p w14:paraId="1E3F4EBF" w14:textId="0FD01C8B" w:rsidR="00CE4526" w:rsidRDefault="00CE4526" w:rsidP="00CE4526">
      <w:pPr>
        <w:pStyle w:val="ListParagraph"/>
        <w:numPr>
          <w:ilvl w:val="0"/>
          <w:numId w:val="28"/>
        </w:numPr>
        <w:contextualSpacing/>
        <w:jc w:val="both"/>
        <w:rPr>
          <w:rFonts w:ascii="Arial" w:eastAsia="Arial" w:hAnsi="Arial" w:cs="Arial"/>
        </w:rPr>
      </w:pPr>
      <w:r>
        <w:rPr>
          <w:rFonts w:ascii="Arial" w:eastAsia="Arial" w:hAnsi="Arial" w:cs="Arial"/>
        </w:rPr>
        <w:t xml:space="preserve">The judge also took account of the fact that although the appellant had arrived in the UK sometime in 2006, he did not claim asylum for some 10 years even though he claimed to have left Sierra Leone to escape problems and that his brother and sister had claimed asylum in the UK. </w:t>
      </w:r>
    </w:p>
    <w:p w14:paraId="3DE3ABE1" w14:textId="77777777" w:rsidR="00CE4526" w:rsidRDefault="00CE4526" w:rsidP="00CE4526">
      <w:pPr>
        <w:pStyle w:val="ListParagraph"/>
        <w:ind w:left="1560"/>
        <w:contextualSpacing/>
        <w:jc w:val="both"/>
        <w:rPr>
          <w:rFonts w:ascii="Arial" w:eastAsia="Arial" w:hAnsi="Arial" w:cs="Arial"/>
        </w:rPr>
      </w:pPr>
    </w:p>
    <w:p w14:paraId="340745EB" w14:textId="77777777" w:rsidR="006F0E50" w:rsidRDefault="00CE4526" w:rsidP="00CE4526">
      <w:pPr>
        <w:pStyle w:val="ListParagraph"/>
        <w:numPr>
          <w:ilvl w:val="0"/>
          <w:numId w:val="28"/>
        </w:numPr>
        <w:contextualSpacing/>
        <w:jc w:val="both"/>
        <w:rPr>
          <w:rFonts w:ascii="Arial" w:eastAsia="Arial" w:hAnsi="Arial" w:cs="Arial"/>
        </w:rPr>
      </w:pPr>
      <w:r>
        <w:rPr>
          <w:rFonts w:ascii="Arial" w:eastAsia="Arial" w:hAnsi="Arial" w:cs="Arial"/>
        </w:rPr>
        <w:lastRenderedPageBreak/>
        <w:t xml:space="preserve">Although the appellant is recorded as having short term memory problems I am satisfied that those problems did not affect his evidence before the </w:t>
      </w:r>
      <w:r w:rsidR="006F0E50">
        <w:rPr>
          <w:rFonts w:ascii="Arial" w:eastAsia="Arial" w:hAnsi="Arial" w:cs="Arial"/>
        </w:rPr>
        <w:t>First-tier Tribunal. The judge reached findings on the asylum claim that were rational and clearly open to him on the basis of the evidence before him.</w:t>
      </w:r>
    </w:p>
    <w:p w14:paraId="4C649514" w14:textId="77777777" w:rsidR="006F0E50" w:rsidRPr="006F0E50" w:rsidRDefault="006F0E50" w:rsidP="006F0E50">
      <w:pPr>
        <w:contextualSpacing/>
        <w:jc w:val="both"/>
        <w:rPr>
          <w:rFonts w:ascii="Arial" w:eastAsia="Arial" w:hAnsi="Arial" w:cs="Arial"/>
        </w:rPr>
      </w:pPr>
    </w:p>
    <w:p w14:paraId="2CF7C369" w14:textId="77777777" w:rsidR="006F0E50" w:rsidRDefault="006F0E50" w:rsidP="00CE4526">
      <w:pPr>
        <w:pStyle w:val="ListParagraph"/>
        <w:numPr>
          <w:ilvl w:val="0"/>
          <w:numId w:val="28"/>
        </w:numPr>
        <w:contextualSpacing/>
        <w:jc w:val="both"/>
        <w:rPr>
          <w:rFonts w:ascii="Arial" w:eastAsia="Arial" w:hAnsi="Arial" w:cs="Arial"/>
        </w:rPr>
      </w:pPr>
      <w:r>
        <w:rPr>
          <w:rFonts w:ascii="Arial" w:eastAsia="Arial" w:hAnsi="Arial" w:cs="Arial"/>
        </w:rPr>
        <w:t>The appellant in his application for permission to appeal repeated detail about his family in the UK. Those claims were a repeat of evidence that had been considered by the First-tier Tribunal judge and do not disclose any evidence that was not considered by the judge but simply express a disagreement with the conclusions reached.</w:t>
      </w:r>
    </w:p>
    <w:p w14:paraId="14724536" w14:textId="77777777" w:rsidR="006F0E50" w:rsidRPr="006F0E50" w:rsidRDefault="006F0E50" w:rsidP="006F0E50">
      <w:pPr>
        <w:contextualSpacing/>
        <w:jc w:val="both"/>
        <w:rPr>
          <w:rFonts w:ascii="Arial" w:eastAsia="Arial" w:hAnsi="Arial" w:cs="Arial"/>
        </w:rPr>
      </w:pPr>
    </w:p>
    <w:p w14:paraId="0C2221AB" w14:textId="7D17222E" w:rsidR="006F0E50" w:rsidRDefault="006F0E50" w:rsidP="00CE4526">
      <w:pPr>
        <w:pStyle w:val="ListParagraph"/>
        <w:numPr>
          <w:ilvl w:val="0"/>
          <w:numId w:val="28"/>
        </w:numPr>
        <w:contextualSpacing/>
        <w:jc w:val="both"/>
        <w:rPr>
          <w:rFonts w:ascii="Arial" w:eastAsia="Arial" w:hAnsi="Arial" w:cs="Arial"/>
        </w:rPr>
      </w:pPr>
      <w:r>
        <w:rPr>
          <w:rFonts w:ascii="Arial" w:eastAsia="Arial" w:hAnsi="Arial" w:cs="Arial"/>
        </w:rPr>
        <w:t>There is no identifiable material error of law in the decision of the First-tier Tribunal. I do not set aside the decision.</w:t>
      </w:r>
    </w:p>
    <w:p w14:paraId="68433BF3" w14:textId="77777777" w:rsidR="006F0E50" w:rsidRPr="006F0E50" w:rsidRDefault="006F0E50" w:rsidP="006F0E50">
      <w:pPr>
        <w:contextualSpacing/>
        <w:jc w:val="both"/>
        <w:rPr>
          <w:rFonts w:ascii="Arial" w:eastAsia="Arial" w:hAnsi="Arial" w:cs="Arial"/>
        </w:rPr>
      </w:pPr>
    </w:p>
    <w:p w14:paraId="3BB4BADA" w14:textId="77777777" w:rsidR="005965E5" w:rsidRPr="008578D0" w:rsidRDefault="005965E5" w:rsidP="00036813">
      <w:pPr>
        <w:tabs>
          <w:tab w:val="left" w:pos="567"/>
        </w:tabs>
        <w:ind w:left="360"/>
        <w:jc w:val="both"/>
        <w:rPr>
          <w:rFonts w:ascii="Arial" w:hAnsi="Arial" w:cs="Arial"/>
        </w:rPr>
      </w:pPr>
    </w:p>
    <w:p w14:paraId="3BB4BADB" w14:textId="77777777" w:rsidR="00EB45D2" w:rsidRPr="008578D0" w:rsidRDefault="576901D2" w:rsidP="576901D2">
      <w:pPr>
        <w:tabs>
          <w:tab w:val="left" w:pos="567"/>
        </w:tabs>
        <w:jc w:val="both"/>
        <w:rPr>
          <w:rFonts w:ascii="Arial" w:eastAsia="Arial" w:hAnsi="Arial" w:cs="Arial"/>
          <w:u w:val="single"/>
        </w:rPr>
      </w:pPr>
      <w:r w:rsidRPr="576901D2">
        <w:rPr>
          <w:rFonts w:ascii="Arial" w:eastAsia="Arial" w:hAnsi="Arial" w:cs="Arial"/>
        </w:rPr>
        <w:t xml:space="preserve">          </w:t>
      </w:r>
      <w:r w:rsidRPr="576901D2">
        <w:rPr>
          <w:rFonts w:ascii="Arial" w:eastAsia="Arial" w:hAnsi="Arial" w:cs="Arial"/>
          <w:u w:val="single"/>
        </w:rPr>
        <w:t>Conclusions:</w:t>
      </w:r>
    </w:p>
    <w:p w14:paraId="3BB4BADC" w14:textId="77777777" w:rsidR="00EB45D2" w:rsidRPr="008578D0" w:rsidRDefault="00EB45D2" w:rsidP="00EB45D2">
      <w:pPr>
        <w:tabs>
          <w:tab w:val="left" w:pos="567"/>
        </w:tabs>
        <w:jc w:val="both"/>
        <w:rPr>
          <w:rFonts w:ascii="Arial" w:hAnsi="Arial" w:cs="Arial"/>
        </w:rPr>
      </w:pPr>
    </w:p>
    <w:p w14:paraId="3BB4BADD" w14:textId="0B328F0A"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The making of the decision</w:t>
      </w:r>
      <w:r w:rsidR="006F0E50">
        <w:rPr>
          <w:rFonts w:ascii="Arial" w:eastAsia="Arial" w:hAnsi="Arial" w:cs="Arial"/>
        </w:rPr>
        <w:t xml:space="preserve"> of the First-tier Tribunal </w:t>
      </w:r>
      <w:r w:rsidRPr="576901D2">
        <w:rPr>
          <w:rFonts w:ascii="Arial" w:eastAsia="Arial" w:hAnsi="Arial" w:cs="Arial"/>
        </w:rPr>
        <w:t>did not involve the making of an error on a point of law.</w:t>
      </w:r>
    </w:p>
    <w:p w14:paraId="3BB4BADE" w14:textId="77777777" w:rsidR="00EB45D2" w:rsidRPr="008578D0" w:rsidRDefault="00EB45D2" w:rsidP="00EB45D2">
      <w:pPr>
        <w:tabs>
          <w:tab w:val="left" w:pos="567"/>
        </w:tabs>
        <w:jc w:val="both"/>
        <w:rPr>
          <w:rFonts w:ascii="Arial" w:hAnsi="Arial" w:cs="Arial"/>
        </w:rPr>
      </w:pPr>
    </w:p>
    <w:p w14:paraId="3BB4BAEB" w14:textId="5856143F" w:rsidR="00EB45D2" w:rsidRPr="008578D0" w:rsidRDefault="006F0E50" w:rsidP="006F0E50">
      <w:pPr>
        <w:tabs>
          <w:tab w:val="left" w:pos="567"/>
        </w:tabs>
        <w:ind w:left="567"/>
        <w:jc w:val="both"/>
        <w:rPr>
          <w:rFonts w:ascii="Arial" w:eastAsia="Arial" w:hAnsi="Arial" w:cs="Arial"/>
          <w:i/>
          <w:iCs/>
        </w:rPr>
      </w:pPr>
      <w:r>
        <w:rPr>
          <w:rFonts w:ascii="Arial" w:eastAsia="Arial" w:hAnsi="Arial" w:cs="Arial"/>
        </w:rPr>
        <w:t xml:space="preserve">I </w:t>
      </w:r>
      <w:r w:rsidR="00EB45D2" w:rsidRPr="576901D2">
        <w:rPr>
          <w:rFonts w:ascii="Arial" w:eastAsia="Arial" w:hAnsi="Arial" w:cs="Arial"/>
        </w:rPr>
        <w:t>do not set aside the decision</w:t>
      </w:r>
      <w:r>
        <w:rPr>
          <w:rFonts w:ascii="Arial" w:eastAsia="Arial" w:hAnsi="Arial" w:cs="Arial"/>
        </w:rPr>
        <w:t>. The decision of the First-tier Tribunal stands; the appeal against the decision of the respondent rejecting the appellant’s international protection and human rights claim is dismissed.</w:t>
      </w:r>
      <w:r w:rsidR="576901D2" w:rsidRPr="576901D2">
        <w:rPr>
          <w:rFonts w:ascii="Arial" w:eastAsia="Arial" w:hAnsi="Arial" w:cs="Arial"/>
          <w:i/>
          <w:iCs/>
        </w:rPr>
        <w:t xml:space="preserve"> </w:t>
      </w:r>
    </w:p>
    <w:p w14:paraId="3BB4BAEC" w14:textId="77777777" w:rsidR="00EB45D2" w:rsidRPr="008578D0" w:rsidRDefault="00EB45D2" w:rsidP="00EB45D2">
      <w:pPr>
        <w:tabs>
          <w:tab w:val="left" w:pos="567"/>
        </w:tabs>
        <w:jc w:val="both"/>
        <w:rPr>
          <w:rFonts w:ascii="Arial" w:hAnsi="Arial" w:cs="Arial"/>
        </w:rPr>
      </w:pPr>
    </w:p>
    <w:p w14:paraId="3BB4BAED" w14:textId="77777777"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Anonymity</w:t>
      </w:r>
    </w:p>
    <w:p w14:paraId="3BB4BAEE" w14:textId="77777777" w:rsidR="00EB45D2" w:rsidRPr="008578D0" w:rsidRDefault="00EB45D2" w:rsidP="00EB45D2">
      <w:pPr>
        <w:tabs>
          <w:tab w:val="left" w:pos="567"/>
        </w:tabs>
        <w:ind w:left="567"/>
        <w:jc w:val="both"/>
        <w:rPr>
          <w:rFonts w:ascii="Arial" w:hAnsi="Arial" w:cs="Arial"/>
        </w:rPr>
      </w:pPr>
    </w:p>
    <w:p w14:paraId="3BB4BAEF" w14:textId="01402A07" w:rsidR="00EB45D2" w:rsidRPr="008578D0" w:rsidRDefault="00685146" w:rsidP="576901D2">
      <w:pPr>
        <w:tabs>
          <w:tab w:val="left" w:pos="567"/>
        </w:tabs>
        <w:ind w:left="567"/>
        <w:jc w:val="both"/>
        <w:rPr>
          <w:rFonts w:ascii="Arial" w:eastAsia="Arial" w:hAnsi="Arial" w:cs="Arial"/>
        </w:rPr>
      </w:pPr>
      <w:r>
        <w:rPr>
          <w:rFonts w:ascii="Arial" w:eastAsia="Arial" w:hAnsi="Arial" w:cs="Arial"/>
        </w:rPr>
        <w:t xml:space="preserve">The First-tier Tribunal </w:t>
      </w:r>
      <w:r w:rsidR="576901D2" w:rsidRPr="576901D2">
        <w:rPr>
          <w:rFonts w:ascii="Arial" w:eastAsia="Arial" w:hAnsi="Arial" w:cs="Arial"/>
        </w:rPr>
        <w:t>did not make an order pursuant to rule 45(4)(</w:t>
      </w:r>
      <w:proofErr w:type="spellStart"/>
      <w:r w:rsidR="576901D2" w:rsidRPr="576901D2">
        <w:rPr>
          <w:rFonts w:ascii="Arial" w:eastAsia="Arial" w:hAnsi="Arial" w:cs="Arial"/>
        </w:rPr>
        <w:t>i</w:t>
      </w:r>
      <w:proofErr w:type="spellEnd"/>
      <w:r w:rsidR="576901D2" w:rsidRPr="576901D2">
        <w:rPr>
          <w:rFonts w:ascii="Arial" w:eastAsia="Arial" w:hAnsi="Arial" w:cs="Arial"/>
        </w:rPr>
        <w:t>) of the Asylum and Immigration Tribunal (Procedure) Rules 2005.</w:t>
      </w:r>
    </w:p>
    <w:p w14:paraId="3BB4BAF0" w14:textId="77777777" w:rsidR="00EB45D2" w:rsidRPr="008578D0" w:rsidRDefault="00EB45D2" w:rsidP="00EB45D2">
      <w:pPr>
        <w:tabs>
          <w:tab w:val="left" w:pos="567"/>
        </w:tabs>
        <w:ind w:left="567"/>
        <w:jc w:val="both"/>
        <w:rPr>
          <w:rFonts w:ascii="Arial" w:hAnsi="Arial" w:cs="Arial"/>
        </w:rPr>
      </w:pPr>
    </w:p>
    <w:p w14:paraId="3BB4BAF1" w14:textId="1E3645C4" w:rsidR="00EB45D2" w:rsidRPr="008578D0" w:rsidRDefault="00685146" w:rsidP="576901D2">
      <w:pPr>
        <w:tabs>
          <w:tab w:val="left" w:pos="567"/>
        </w:tabs>
        <w:ind w:left="567"/>
        <w:jc w:val="both"/>
        <w:rPr>
          <w:rFonts w:ascii="Arial" w:eastAsia="Arial" w:hAnsi="Arial" w:cs="Arial"/>
        </w:rPr>
      </w:pPr>
      <w:r>
        <w:rPr>
          <w:rFonts w:ascii="Arial" w:eastAsia="Arial" w:hAnsi="Arial" w:cs="Arial"/>
        </w:rPr>
        <w:t>I make an</w:t>
      </w:r>
      <w:r w:rsidR="576901D2" w:rsidRPr="576901D2">
        <w:rPr>
          <w:rFonts w:ascii="Arial" w:eastAsia="Arial" w:hAnsi="Arial" w:cs="Arial"/>
        </w:rPr>
        <w:t xml:space="preserve"> order (pursuant to rule 14 of the Tribunal Procedure (Upper Tribunal) Rules 2008).</w:t>
      </w:r>
    </w:p>
    <w:p w14:paraId="3BB4BAF2" w14:textId="77777777" w:rsidR="00EB45D2" w:rsidRPr="008578D0" w:rsidRDefault="00EB45D2" w:rsidP="00EB45D2">
      <w:pPr>
        <w:tabs>
          <w:tab w:val="left" w:pos="567"/>
        </w:tabs>
        <w:jc w:val="both"/>
        <w:rPr>
          <w:rFonts w:ascii="Arial" w:hAnsi="Arial" w:cs="Arial"/>
        </w:rPr>
      </w:pPr>
    </w:p>
    <w:p w14:paraId="3BB4BAFD" w14:textId="77777777" w:rsidR="00181749" w:rsidRPr="008578D0" w:rsidRDefault="00181749" w:rsidP="0062579D">
      <w:pPr>
        <w:tabs>
          <w:tab w:val="left" w:pos="567"/>
        </w:tabs>
        <w:ind w:left="360"/>
        <w:jc w:val="both"/>
        <w:rPr>
          <w:rFonts w:ascii="Arial" w:hAnsi="Arial" w:cs="Arial"/>
        </w:rPr>
      </w:pPr>
    </w:p>
    <w:p w14:paraId="3BB4BAFE" w14:textId="77777777" w:rsidR="009F5220" w:rsidRPr="008578D0" w:rsidRDefault="009F5220" w:rsidP="00780F86">
      <w:pPr>
        <w:ind w:left="540" w:hanging="540"/>
        <w:jc w:val="both"/>
        <w:rPr>
          <w:rFonts w:ascii="Arial" w:hAnsi="Arial" w:cs="Arial"/>
        </w:rPr>
      </w:pPr>
    </w:p>
    <w:p w14:paraId="3BB4BAFF" w14:textId="77777777" w:rsidR="001F2716" w:rsidRPr="008578D0" w:rsidRDefault="001F2716" w:rsidP="00780F86">
      <w:pPr>
        <w:ind w:left="540" w:hanging="540"/>
        <w:jc w:val="both"/>
        <w:rPr>
          <w:rFonts w:ascii="Arial" w:hAnsi="Arial" w:cs="Arial"/>
        </w:rPr>
      </w:pPr>
    </w:p>
    <w:p w14:paraId="3BB4BB00" w14:textId="77777777" w:rsidR="00A509FA" w:rsidRDefault="00A509FA" w:rsidP="00780F86">
      <w:pPr>
        <w:ind w:left="540" w:hanging="540"/>
        <w:jc w:val="both"/>
        <w:rPr>
          <w:rFonts w:ascii="Arial" w:hAnsi="Arial" w:cs="Arial"/>
        </w:rPr>
      </w:pPr>
    </w:p>
    <w:p w14:paraId="3BB4BB01" w14:textId="77777777" w:rsidR="00423156" w:rsidRPr="008578D0" w:rsidRDefault="00423156" w:rsidP="00780F86">
      <w:pPr>
        <w:ind w:left="540" w:hanging="540"/>
        <w:jc w:val="both"/>
        <w:rPr>
          <w:rFonts w:ascii="Arial" w:hAnsi="Arial" w:cs="Arial"/>
        </w:rPr>
      </w:pPr>
    </w:p>
    <w:p w14:paraId="3BB4BB02" w14:textId="14BFB0F2" w:rsidR="001F2716" w:rsidRPr="008578D0" w:rsidRDefault="00780F86" w:rsidP="576901D2">
      <w:pPr>
        <w:ind w:left="1079" w:hanging="539"/>
        <w:rPr>
          <w:rFonts w:ascii="Arial" w:eastAsia="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576901D2">
        <w:rPr>
          <w:rFonts w:ascii="Arial" w:eastAsia="Arial" w:hAnsi="Arial" w:cs="Arial"/>
        </w:rPr>
        <w:t>Date</w:t>
      </w:r>
      <w:r w:rsidR="002E575D" w:rsidRPr="576901D2">
        <w:rPr>
          <w:rFonts w:ascii="Arial" w:eastAsia="Arial" w:hAnsi="Arial" w:cs="Arial"/>
        </w:rPr>
        <w:t xml:space="preserve"> </w:t>
      </w:r>
      <w:r w:rsidR="006F0E50">
        <w:rPr>
          <w:rFonts w:ascii="Arial" w:eastAsia="Arial" w:hAnsi="Arial" w:cs="Arial"/>
        </w:rPr>
        <w:t>14</w:t>
      </w:r>
      <w:r w:rsidR="006F0E50" w:rsidRPr="006F0E50">
        <w:rPr>
          <w:rFonts w:ascii="Arial" w:eastAsia="Arial" w:hAnsi="Arial" w:cs="Arial"/>
          <w:vertAlign w:val="superscript"/>
        </w:rPr>
        <w:t>th</w:t>
      </w:r>
      <w:r w:rsidR="006F0E50">
        <w:rPr>
          <w:rFonts w:ascii="Arial" w:eastAsia="Arial" w:hAnsi="Arial" w:cs="Arial"/>
        </w:rPr>
        <w:t xml:space="preserve"> September 2018</w:t>
      </w:r>
    </w:p>
    <w:p w14:paraId="3BB4BB03" w14:textId="77777777" w:rsidR="00423156" w:rsidRDefault="00082D15" w:rsidP="00B55768">
      <w:pPr>
        <w:tabs>
          <w:tab w:val="left" w:pos="2520"/>
        </w:tabs>
        <w:rPr>
          <w:rFonts w:ascii="Arial" w:hAnsi="Arial" w:cs="Arial"/>
          <w:color w:val="000000"/>
        </w:rPr>
      </w:pPr>
      <w:r>
        <w:rPr>
          <w:rFonts w:ascii="Arial" w:hAnsi="Arial" w:cs="Arial"/>
          <w:noProof/>
          <w:color w:val="000000"/>
          <w:lang w:val="en-US" w:eastAsia="en-US"/>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14:paraId="3BB4BB04" w14:textId="77777777" w:rsidR="00423156" w:rsidRDefault="00423156" w:rsidP="00B55768">
      <w:pPr>
        <w:tabs>
          <w:tab w:val="left" w:pos="2520"/>
        </w:tabs>
        <w:rPr>
          <w:rFonts w:ascii="Arial" w:hAnsi="Arial" w:cs="Arial"/>
          <w:color w:val="000000"/>
        </w:rPr>
      </w:pPr>
    </w:p>
    <w:p w14:paraId="3BB4BB05" w14:textId="77777777" w:rsidR="00423156" w:rsidRDefault="00423156" w:rsidP="00B55768">
      <w:pPr>
        <w:tabs>
          <w:tab w:val="left" w:pos="2520"/>
        </w:tabs>
        <w:rPr>
          <w:rFonts w:ascii="Arial" w:hAnsi="Arial" w:cs="Arial"/>
          <w:color w:val="000000"/>
        </w:rPr>
      </w:pPr>
    </w:p>
    <w:p w14:paraId="3BB4BB06" w14:textId="77777777" w:rsidR="00B95326" w:rsidRPr="008578D0" w:rsidRDefault="576901D2" w:rsidP="576901D2">
      <w:pPr>
        <w:tabs>
          <w:tab w:val="left" w:pos="2520"/>
        </w:tabs>
        <w:rPr>
          <w:rFonts w:ascii="Arial" w:eastAsia="Arial" w:hAnsi="Arial" w:cs="Arial"/>
          <w:color w:val="000000" w:themeColor="text1"/>
        </w:rPr>
      </w:pPr>
      <w:r w:rsidRPr="576901D2">
        <w:rPr>
          <w:rFonts w:ascii="Arial" w:eastAsia="Arial" w:hAnsi="Arial" w:cs="Arial"/>
          <w:color w:val="000000" w:themeColor="text1"/>
        </w:rPr>
        <w:t>Upper Tribunal Judge Coker</w:t>
      </w:r>
    </w:p>
    <w:sectPr w:rsidR="00B95326" w:rsidRPr="008578D0" w:rsidSect="000645AE">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7463E" w14:textId="77777777" w:rsidR="00511056" w:rsidRDefault="00511056">
      <w:r>
        <w:separator/>
      </w:r>
    </w:p>
  </w:endnote>
  <w:endnote w:type="continuationSeparator" w:id="0">
    <w:p w14:paraId="79C92BD7" w14:textId="77777777" w:rsidR="00511056" w:rsidRDefault="0051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1" w14:textId="33FBE66A"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C1035">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3" w14:textId="2E6ECE7F"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18A77" w14:textId="77777777" w:rsidR="00511056" w:rsidRDefault="00511056">
      <w:r>
        <w:separator/>
      </w:r>
    </w:p>
  </w:footnote>
  <w:footnote w:type="continuationSeparator" w:id="0">
    <w:p w14:paraId="227443A2" w14:textId="77777777" w:rsidR="00511056" w:rsidRDefault="00511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0" w14:textId="13DD09EE" w:rsidR="001F6F7E" w:rsidRPr="003C5CE5" w:rsidRDefault="001F6F7E" w:rsidP="576901D2">
    <w:pPr>
      <w:pStyle w:val="Header"/>
      <w:jc w:val="right"/>
      <w:rPr>
        <w:rFonts w:ascii="Arial" w:eastAsia="Arial" w:hAnsi="Arial" w:cs="Arial"/>
        <w:sz w:val="16"/>
        <w:szCs w:val="16"/>
      </w:rPr>
    </w:pPr>
    <w:r w:rsidRPr="576901D2">
      <w:rPr>
        <w:rFonts w:ascii="Arial" w:eastAsia="Arial" w:hAnsi="Arial" w:cs="Arial"/>
        <w:sz w:val="16"/>
        <w:szCs w:val="16"/>
      </w:rPr>
      <w:t>Appeal Number:</w:t>
    </w:r>
    <w:r w:rsidR="00D463AA" w:rsidRPr="576901D2">
      <w:rPr>
        <w:rFonts w:ascii="Arial" w:eastAsia="Arial" w:hAnsi="Arial" w:cs="Arial"/>
        <w:sz w:val="16"/>
        <w:szCs w:val="16"/>
      </w:rPr>
      <w:t xml:space="preserve"> </w:t>
    </w:r>
    <w:r w:rsidR="00685146">
      <w:rPr>
        <w:rFonts w:ascii="Arial" w:eastAsia="Arial" w:hAnsi="Arial" w:cs="Arial"/>
        <w:sz w:val="16"/>
        <w:szCs w:val="16"/>
      </w:rPr>
      <w:t>PA/05484/2018</w:t>
    </w:r>
    <w:r w:rsidRPr="576901D2">
      <w:rPr>
        <w:rFonts w:ascii="Arial" w:eastAsia="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70218D"/>
    <w:multiLevelType w:val="hybridMultilevel"/>
    <w:tmpl w:val="555031B0"/>
    <w:lvl w:ilvl="0" w:tplc="0EE4A43E">
      <w:start w:val="7"/>
      <w:numFmt w:val="bullet"/>
      <w:lvlText w:val=""/>
      <w:lvlJc w:val="left"/>
      <w:pPr>
        <w:ind w:left="1920" w:hanging="360"/>
      </w:pPr>
      <w:rPr>
        <w:rFonts w:ascii="Symbol" w:eastAsia="Arial" w:hAnsi="Symbol" w:cs="Aria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81E593A"/>
    <w:multiLevelType w:val="hybridMultilevel"/>
    <w:tmpl w:val="CCDC9F84"/>
    <w:lvl w:ilvl="0" w:tplc="FFFFFFFF">
      <w:start w:val="1"/>
      <w:numFmt w:val="decimal"/>
      <w:lvlText w:val="%1."/>
      <w:lvlJc w:val="left"/>
      <w:pPr>
        <w:tabs>
          <w:tab w:val="num" w:pos="1560"/>
        </w:tabs>
        <w:ind w:left="1560"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7"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3"/>
  </w:num>
  <w:num w:numId="4">
    <w:abstractNumId w:val="11"/>
  </w:num>
  <w:num w:numId="5">
    <w:abstractNumId w:val="22"/>
  </w:num>
  <w:num w:numId="6">
    <w:abstractNumId w:val="25"/>
  </w:num>
  <w:num w:numId="7">
    <w:abstractNumId w:val="23"/>
  </w:num>
  <w:num w:numId="8">
    <w:abstractNumId w:val="27"/>
  </w:num>
  <w:num w:numId="9">
    <w:abstractNumId w:val="10"/>
  </w:num>
  <w:num w:numId="10">
    <w:abstractNumId w:val="14"/>
  </w:num>
  <w:num w:numId="11">
    <w:abstractNumId w:val="2"/>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4"/>
  </w:num>
  <w:num w:numId="21">
    <w:abstractNumId w:val="24"/>
  </w:num>
  <w:num w:numId="22">
    <w:abstractNumId w:val="5"/>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33D3D"/>
    <w:rsid w:val="00036813"/>
    <w:rsid w:val="00051C2D"/>
    <w:rsid w:val="00062F02"/>
    <w:rsid w:val="000645AE"/>
    <w:rsid w:val="00071A7E"/>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165A7"/>
    <w:rsid w:val="00126036"/>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F2716"/>
    <w:rsid w:val="001F4A9C"/>
    <w:rsid w:val="001F6F7E"/>
    <w:rsid w:val="00206D4B"/>
    <w:rsid w:val="00207617"/>
    <w:rsid w:val="0021104D"/>
    <w:rsid w:val="00212C9C"/>
    <w:rsid w:val="0023134B"/>
    <w:rsid w:val="00232618"/>
    <w:rsid w:val="00232E7A"/>
    <w:rsid w:val="00233CF5"/>
    <w:rsid w:val="00242BC1"/>
    <w:rsid w:val="00247922"/>
    <w:rsid w:val="00267DEE"/>
    <w:rsid w:val="0027048E"/>
    <w:rsid w:val="00270844"/>
    <w:rsid w:val="00270E13"/>
    <w:rsid w:val="00271186"/>
    <w:rsid w:val="00273160"/>
    <w:rsid w:val="002774EE"/>
    <w:rsid w:val="002814F4"/>
    <w:rsid w:val="00283659"/>
    <w:rsid w:val="00290C6F"/>
    <w:rsid w:val="00296D48"/>
    <w:rsid w:val="002A224B"/>
    <w:rsid w:val="002A67C1"/>
    <w:rsid w:val="002B6EE0"/>
    <w:rsid w:val="002C6BD4"/>
    <w:rsid w:val="002D3F52"/>
    <w:rsid w:val="002D49C7"/>
    <w:rsid w:val="002D68BF"/>
    <w:rsid w:val="002D6D9A"/>
    <w:rsid w:val="002E151A"/>
    <w:rsid w:val="002E575D"/>
    <w:rsid w:val="002F12D1"/>
    <w:rsid w:val="002F2F63"/>
    <w:rsid w:val="002F5398"/>
    <w:rsid w:val="002F6B98"/>
    <w:rsid w:val="003161B0"/>
    <w:rsid w:val="00322A5E"/>
    <w:rsid w:val="00336CBF"/>
    <w:rsid w:val="00337CE6"/>
    <w:rsid w:val="00342F01"/>
    <w:rsid w:val="00343FE3"/>
    <w:rsid w:val="003509D4"/>
    <w:rsid w:val="003546C8"/>
    <w:rsid w:val="00354DD7"/>
    <w:rsid w:val="003645CD"/>
    <w:rsid w:val="00365573"/>
    <w:rsid w:val="00373539"/>
    <w:rsid w:val="00381CAE"/>
    <w:rsid w:val="00386793"/>
    <w:rsid w:val="00394820"/>
    <w:rsid w:val="003A3EB7"/>
    <w:rsid w:val="003A7CF2"/>
    <w:rsid w:val="003C0E80"/>
    <w:rsid w:val="003C5CE5"/>
    <w:rsid w:val="003C5D94"/>
    <w:rsid w:val="003E1F16"/>
    <w:rsid w:val="003E260A"/>
    <w:rsid w:val="003E267B"/>
    <w:rsid w:val="003E7CD1"/>
    <w:rsid w:val="004024BC"/>
    <w:rsid w:val="0040281D"/>
    <w:rsid w:val="00402B9E"/>
    <w:rsid w:val="00406F0F"/>
    <w:rsid w:val="004106DE"/>
    <w:rsid w:val="00415F05"/>
    <w:rsid w:val="00420DA0"/>
    <w:rsid w:val="00422F82"/>
    <w:rsid w:val="00423156"/>
    <w:rsid w:val="004249CB"/>
    <w:rsid w:val="0043425E"/>
    <w:rsid w:val="0044127D"/>
    <w:rsid w:val="004448DB"/>
    <w:rsid w:val="00446C9A"/>
    <w:rsid w:val="00452EA8"/>
    <w:rsid w:val="00452F2B"/>
    <w:rsid w:val="004751B6"/>
    <w:rsid w:val="00477193"/>
    <w:rsid w:val="0048742E"/>
    <w:rsid w:val="004A0BEA"/>
    <w:rsid w:val="004A1848"/>
    <w:rsid w:val="004A6F4A"/>
    <w:rsid w:val="004B1D2E"/>
    <w:rsid w:val="004C773C"/>
    <w:rsid w:val="004D2C44"/>
    <w:rsid w:val="004D32F6"/>
    <w:rsid w:val="004E416B"/>
    <w:rsid w:val="004E4717"/>
    <w:rsid w:val="004F77C5"/>
    <w:rsid w:val="005035E7"/>
    <w:rsid w:val="00507FEC"/>
    <w:rsid w:val="00510F0E"/>
    <w:rsid w:val="00511056"/>
    <w:rsid w:val="005176C7"/>
    <w:rsid w:val="00530192"/>
    <w:rsid w:val="005479E1"/>
    <w:rsid w:val="00550CF9"/>
    <w:rsid w:val="0055283B"/>
    <w:rsid w:val="00553E0A"/>
    <w:rsid w:val="005570FD"/>
    <w:rsid w:val="005575EA"/>
    <w:rsid w:val="00562348"/>
    <w:rsid w:val="005656DF"/>
    <w:rsid w:val="00570EF1"/>
    <w:rsid w:val="0057323B"/>
    <w:rsid w:val="005750C2"/>
    <w:rsid w:val="0057790C"/>
    <w:rsid w:val="00593795"/>
    <w:rsid w:val="00593821"/>
    <w:rsid w:val="005965E5"/>
    <w:rsid w:val="005966DA"/>
    <w:rsid w:val="005A0343"/>
    <w:rsid w:val="005A549B"/>
    <w:rsid w:val="005A75FF"/>
    <w:rsid w:val="005B0A90"/>
    <w:rsid w:val="005C1035"/>
    <w:rsid w:val="005D10AB"/>
    <w:rsid w:val="005E52F3"/>
    <w:rsid w:val="005F0ED1"/>
    <w:rsid w:val="005F484F"/>
    <w:rsid w:val="0060112E"/>
    <w:rsid w:val="00601D8F"/>
    <w:rsid w:val="0060237D"/>
    <w:rsid w:val="006061F8"/>
    <w:rsid w:val="00611276"/>
    <w:rsid w:val="00624F1A"/>
    <w:rsid w:val="0062579D"/>
    <w:rsid w:val="00630C34"/>
    <w:rsid w:val="00633D25"/>
    <w:rsid w:val="00641165"/>
    <w:rsid w:val="00645E92"/>
    <w:rsid w:val="00653E97"/>
    <w:rsid w:val="006664A5"/>
    <w:rsid w:val="00673E8F"/>
    <w:rsid w:val="00680319"/>
    <w:rsid w:val="00683EEF"/>
    <w:rsid w:val="00684A74"/>
    <w:rsid w:val="00685146"/>
    <w:rsid w:val="00690B8A"/>
    <w:rsid w:val="006A345A"/>
    <w:rsid w:val="006A405B"/>
    <w:rsid w:val="006B0197"/>
    <w:rsid w:val="006B1AB5"/>
    <w:rsid w:val="006B57D6"/>
    <w:rsid w:val="006D333C"/>
    <w:rsid w:val="006E08A1"/>
    <w:rsid w:val="006E46D9"/>
    <w:rsid w:val="006F0E50"/>
    <w:rsid w:val="006F2CF1"/>
    <w:rsid w:val="006F43A2"/>
    <w:rsid w:val="006F668F"/>
    <w:rsid w:val="007038ED"/>
    <w:rsid w:val="00703BC3"/>
    <w:rsid w:val="00704B61"/>
    <w:rsid w:val="00714348"/>
    <w:rsid w:val="00717C98"/>
    <w:rsid w:val="0072121B"/>
    <w:rsid w:val="00721E7A"/>
    <w:rsid w:val="00723292"/>
    <w:rsid w:val="007243EE"/>
    <w:rsid w:val="007334B3"/>
    <w:rsid w:val="00734672"/>
    <w:rsid w:val="0074320E"/>
    <w:rsid w:val="007552A9"/>
    <w:rsid w:val="007601F3"/>
    <w:rsid w:val="00761858"/>
    <w:rsid w:val="007656C6"/>
    <w:rsid w:val="00767D59"/>
    <w:rsid w:val="0077393E"/>
    <w:rsid w:val="00776E97"/>
    <w:rsid w:val="00780F86"/>
    <w:rsid w:val="00782743"/>
    <w:rsid w:val="00784D03"/>
    <w:rsid w:val="007912AD"/>
    <w:rsid w:val="007937AD"/>
    <w:rsid w:val="00796712"/>
    <w:rsid w:val="007A7B35"/>
    <w:rsid w:val="007B0824"/>
    <w:rsid w:val="007B31E9"/>
    <w:rsid w:val="007B5D3C"/>
    <w:rsid w:val="007B7552"/>
    <w:rsid w:val="007D6EAB"/>
    <w:rsid w:val="007E37AC"/>
    <w:rsid w:val="007F665C"/>
    <w:rsid w:val="00800360"/>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578D0"/>
    <w:rsid w:val="00861DFF"/>
    <w:rsid w:val="00870267"/>
    <w:rsid w:val="00871D34"/>
    <w:rsid w:val="00874C7E"/>
    <w:rsid w:val="008825F7"/>
    <w:rsid w:val="00894951"/>
    <w:rsid w:val="00895F9E"/>
    <w:rsid w:val="008A37E3"/>
    <w:rsid w:val="008B270C"/>
    <w:rsid w:val="008B5078"/>
    <w:rsid w:val="008B5B3C"/>
    <w:rsid w:val="008C3D3D"/>
    <w:rsid w:val="008C71A2"/>
    <w:rsid w:val="008D382E"/>
    <w:rsid w:val="008D4131"/>
    <w:rsid w:val="008F1932"/>
    <w:rsid w:val="008F1E92"/>
    <w:rsid w:val="00903C06"/>
    <w:rsid w:val="009162E8"/>
    <w:rsid w:val="009164EF"/>
    <w:rsid w:val="00921062"/>
    <w:rsid w:val="00924E18"/>
    <w:rsid w:val="00925AB2"/>
    <w:rsid w:val="009722BC"/>
    <w:rsid w:val="0097235D"/>
    <w:rsid w:val="009727A3"/>
    <w:rsid w:val="0097577A"/>
    <w:rsid w:val="00977E5A"/>
    <w:rsid w:val="009873DD"/>
    <w:rsid w:val="00987774"/>
    <w:rsid w:val="00990CF3"/>
    <w:rsid w:val="00992C74"/>
    <w:rsid w:val="009A0F09"/>
    <w:rsid w:val="009A11E8"/>
    <w:rsid w:val="009A2B75"/>
    <w:rsid w:val="009C2408"/>
    <w:rsid w:val="009C40B8"/>
    <w:rsid w:val="009C6CC6"/>
    <w:rsid w:val="009D055C"/>
    <w:rsid w:val="009F5220"/>
    <w:rsid w:val="009F526C"/>
    <w:rsid w:val="009F637C"/>
    <w:rsid w:val="00A15234"/>
    <w:rsid w:val="00A201AB"/>
    <w:rsid w:val="00A27297"/>
    <w:rsid w:val="00A31C8B"/>
    <w:rsid w:val="00A343D8"/>
    <w:rsid w:val="00A35CFC"/>
    <w:rsid w:val="00A509FA"/>
    <w:rsid w:val="00A5238A"/>
    <w:rsid w:val="00A5334F"/>
    <w:rsid w:val="00A719B9"/>
    <w:rsid w:val="00A845DC"/>
    <w:rsid w:val="00A905CD"/>
    <w:rsid w:val="00A91607"/>
    <w:rsid w:val="00A91E1E"/>
    <w:rsid w:val="00AA7A2D"/>
    <w:rsid w:val="00AB0287"/>
    <w:rsid w:val="00AB15C9"/>
    <w:rsid w:val="00AB6C32"/>
    <w:rsid w:val="00AC664C"/>
    <w:rsid w:val="00AC6A9F"/>
    <w:rsid w:val="00AD27F4"/>
    <w:rsid w:val="00AE1907"/>
    <w:rsid w:val="00AF39EB"/>
    <w:rsid w:val="00B0097A"/>
    <w:rsid w:val="00B03496"/>
    <w:rsid w:val="00B03A37"/>
    <w:rsid w:val="00B10A9C"/>
    <w:rsid w:val="00B11FCD"/>
    <w:rsid w:val="00B26AA2"/>
    <w:rsid w:val="00B27DFE"/>
    <w:rsid w:val="00B300CE"/>
    <w:rsid w:val="00B3524D"/>
    <w:rsid w:val="00B37AC9"/>
    <w:rsid w:val="00B40F69"/>
    <w:rsid w:val="00B434A7"/>
    <w:rsid w:val="00B46616"/>
    <w:rsid w:val="00B55768"/>
    <w:rsid w:val="00B564F9"/>
    <w:rsid w:val="00B574ED"/>
    <w:rsid w:val="00B64A78"/>
    <w:rsid w:val="00B668D8"/>
    <w:rsid w:val="00B7040A"/>
    <w:rsid w:val="00B71BF5"/>
    <w:rsid w:val="00B83391"/>
    <w:rsid w:val="00B866FB"/>
    <w:rsid w:val="00B9038B"/>
    <w:rsid w:val="00B914CB"/>
    <w:rsid w:val="00B94048"/>
    <w:rsid w:val="00B95326"/>
    <w:rsid w:val="00BA7391"/>
    <w:rsid w:val="00BB0BED"/>
    <w:rsid w:val="00BB39BE"/>
    <w:rsid w:val="00BB71F1"/>
    <w:rsid w:val="00BC1CFB"/>
    <w:rsid w:val="00BC3E53"/>
    <w:rsid w:val="00BC7D66"/>
    <w:rsid w:val="00BD06DD"/>
    <w:rsid w:val="00BD4196"/>
    <w:rsid w:val="00BF1A11"/>
    <w:rsid w:val="00BF22CA"/>
    <w:rsid w:val="00BF23BB"/>
    <w:rsid w:val="00BF7921"/>
    <w:rsid w:val="00C0003A"/>
    <w:rsid w:val="00C10BAF"/>
    <w:rsid w:val="00C12F97"/>
    <w:rsid w:val="00C1533A"/>
    <w:rsid w:val="00C22D9F"/>
    <w:rsid w:val="00C26032"/>
    <w:rsid w:val="00C345E1"/>
    <w:rsid w:val="00C43BFD"/>
    <w:rsid w:val="00C46F62"/>
    <w:rsid w:val="00C640A8"/>
    <w:rsid w:val="00C64A47"/>
    <w:rsid w:val="00C7704B"/>
    <w:rsid w:val="00C81167"/>
    <w:rsid w:val="00C865C1"/>
    <w:rsid w:val="00C951B1"/>
    <w:rsid w:val="00C95BBD"/>
    <w:rsid w:val="00CA107F"/>
    <w:rsid w:val="00CA10A1"/>
    <w:rsid w:val="00CA5CE4"/>
    <w:rsid w:val="00CB6E35"/>
    <w:rsid w:val="00CC3A26"/>
    <w:rsid w:val="00CC6AB3"/>
    <w:rsid w:val="00CE1A46"/>
    <w:rsid w:val="00CE4526"/>
    <w:rsid w:val="00CE465E"/>
    <w:rsid w:val="00CF14D4"/>
    <w:rsid w:val="00D105F2"/>
    <w:rsid w:val="00D20757"/>
    <w:rsid w:val="00D20AA6"/>
    <w:rsid w:val="00D21B5D"/>
    <w:rsid w:val="00D22636"/>
    <w:rsid w:val="00D273A7"/>
    <w:rsid w:val="00D31443"/>
    <w:rsid w:val="00D3621D"/>
    <w:rsid w:val="00D40FD9"/>
    <w:rsid w:val="00D463AA"/>
    <w:rsid w:val="00D46C41"/>
    <w:rsid w:val="00D472E1"/>
    <w:rsid w:val="00D47606"/>
    <w:rsid w:val="00D53769"/>
    <w:rsid w:val="00D70B67"/>
    <w:rsid w:val="00D8561E"/>
    <w:rsid w:val="00D85C13"/>
    <w:rsid w:val="00D8626F"/>
    <w:rsid w:val="00D86F3A"/>
    <w:rsid w:val="00D9111A"/>
    <w:rsid w:val="00D91BE3"/>
    <w:rsid w:val="00D9326A"/>
    <w:rsid w:val="00D94AFC"/>
    <w:rsid w:val="00DA4D91"/>
    <w:rsid w:val="00DB70AE"/>
    <w:rsid w:val="00DC6C25"/>
    <w:rsid w:val="00DD19E4"/>
    <w:rsid w:val="00DD5071"/>
    <w:rsid w:val="00DD5ADB"/>
    <w:rsid w:val="00DD5C39"/>
    <w:rsid w:val="00DD7829"/>
    <w:rsid w:val="00DE6C66"/>
    <w:rsid w:val="00DE7DB7"/>
    <w:rsid w:val="00E00A0A"/>
    <w:rsid w:val="00E066DE"/>
    <w:rsid w:val="00E07F57"/>
    <w:rsid w:val="00E13F63"/>
    <w:rsid w:val="00E13FE0"/>
    <w:rsid w:val="00E30683"/>
    <w:rsid w:val="00E35FF9"/>
    <w:rsid w:val="00E453D8"/>
    <w:rsid w:val="00E50BCE"/>
    <w:rsid w:val="00E574BF"/>
    <w:rsid w:val="00E61292"/>
    <w:rsid w:val="00E77C4D"/>
    <w:rsid w:val="00E80AD9"/>
    <w:rsid w:val="00E81D01"/>
    <w:rsid w:val="00E83C14"/>
    <w:rsid w:val="00E92383"/>
    <w:rsid w:val="00EB2144"/>
    <w:rsid w:val="00EB45D2"/>
    <w:rsid w:val="00ED036F"/>
    <w:rsid w:val="00ED6D23"/>
    <w:rsid w:val="00EE1FA1"/>
    <w:rsid w:val="00EE45D8"/>
    <w:rsid w:val="00EF0787"/>
    <w:rsid w:val="00EF49C7"/>
    <w:rsid w:val="00EF5E91"/>
    <w:rsid w:val="00F052AB"/>
    <w:rsid w:val="00F104A3"/>
    <w:rsid w:val="00F10DE1"/>
    <w:rsid w:val="00F12BB0"/>
    <w:rsid w:val="00F22AA0"/>
    <w:rsid w:val="00F22EDA"/>
    <w:rsid w:val="00F313E3"/>
    <w:rsid w:val="00F3769F"/>
    <w:rsid w:val="00F52CE2"/>
    <w:rsid w:val="00F563B2"/>
    <w:rsid w:val="00F65CD9"/>
    <w:rsid w:val="00F71D8B"/>
    <w:rsid w:val="00F734A7"/>
    <w:rsid w:val="00F829C0"/>
    <w:rsid w:val="00F86938"/>
    <w:rsid w:val="00F902FD"/>
    <w:rsid w:val="00F97703"/>
    <w:rsid w:val="00FA0071"/>
    <w:rsid w:val="00FA77E1"/>
    <w:rsid w:val="00FA7A30"/>
    <w:rsid w:val="00FC20F8"/>
    <w:rsid w:val="00FD1F54"/>
    <w:rsid w:val="00FD50E5"/>
    <w:rsid w:val="00FE06E1"/>
    <w:rsid w:val="00FF2A4A"/>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BB4BA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C468-EFA9-44B7-8E2B-10FE9013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1385</Words>
  <Characters>7073</Characters>
  <Application>Microsoft Office Word</Application>
  <DocSecurity>0</DocSecurity>
  <Lines>58</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2018-10-05T14:11:00Z</dcterms:created>
  <dcterms:modified xsi:type="dcterms:W3CDTF">2018-10-05T14:11:00Z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