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BB0BED" w:rsidRDefault="0052444A"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extent cx="1418400" cy="10692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18400" cy="1069200"/>
                    </a:xfrm>
                    <a:prstGeom prst="rect">
                      <a:avLst/>
                    </a:prstGeom>
                    <a:noFill/>
                    <a:ln>
                      <a:noFill/>
                    </a:ln>
                  </pic:spPr>
                </pic:pic>
              </a:graphicData>
            </a:graphic>
          </wp:inline>
        </w:drawing>
      </w:r>
      <w:bookmarkStart w:id="0" w:name="_GoBack"/>
      <w:bookmarkEnd w:id="0"/>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F66F55" w:rsidRPr="004E295B" w:rsidRDefault="00D219F1" w:rsidP="00503887">
      <w:pPr>
        <w:tabs>
          <w:tab w:val="right" w:pos="9720"/>
        </w:tabs>
        <w:ind w:right="-82"/>
        <w:rPr>
          <w:rFonts w:ascii="Book Antiqua" w:hAnsi="Book Antiqua" w:cs="Arial"/>
          <w:b/>
          <w:color w:val="000000"/>
        </w:rPr>
      </w:pPr>
      <w:r w:rsidRPr="00BB0BED">
        <w:rPr>
          <w:rFonts w:ascii="Book Antiqua" w:hAnsi="Book Antiqua" w:cs="Arial"/>
          <w:b/>
          <w:color w:val="000000"/>
        </w:rPr>
        <w:t>(</w:t>
      </w:r>
      <w:r w:rsidR="004E295B">
        <w:rPr>
          <w:rFonts w:ascii="Book Antiqua" w:hAnsi="Book Antiqua" w:cs="Arial"/>
          <w:b/>
          <w:color w:val="000000"/>
        </w:rPr>
        <w:t xml:space="preserve">Immigration and Asylum </w:t>
      </w:r>
      <w:proofErr w:type="gramStart"/>
      <w:r w:rsidR="004E295B">
        <w:rPr>
          <w:rFonts w:ascii="Book Antiqua" w:hAnsi="Book Antiqua" w:cs="Arial"/>
          <w:b/>
          <w:color w:val="000000"/>
        </w:rPr>
        <w:t xml:space="preserve">Chamber)   </w:t>
      </w:r>
      <w:proofErr w:type="gramEnd"/>
      <w:r w:rsidR="004E295B">
        <w:rPr>
          <w:rFonts w:ascii="Book Antiqua" w:hAnsi="Book Antiqua" w:cs="Arial"/>
          <w:b/>
          <w:color w:val="000000"/>
        </w:rPr>
        <w:t xml:space="preserve">                    </w:t>
      </w:r>
      <w:r w:rsidR="00CF4F17" w:rsidRPr="004E295B">
        <w:rPr>
          <w:rFonts w:ascii="Book Antiqua" w:hAnsi="Book Antiqua" w:cs="Arial"/>
          <w:b/>
          <w:color w:val="000000"/>
        </w:rPr>
        <w:t>Appeal Number:</w:t>
      </w:r>
      <w:r w:rsidR="004E295B">
        <w:rPr>
          <w:rFonts w:ascii="Book Antiqua" w:hAnsi="Book Antiqua" w:cs="Arial"/>
          <w:b/>
          <w:color w:val="000000"/>
        </w:rPr>
        <w:t xml:space="preserve"> </w:t>
      </w:r>
      <w:r w:rsidR="00710177" w:rsidRPr="004E295B">
        <w:rPr>
          <w:rFonts w:ascii="Book Antiqua" w:hAnsi="Book Antiqua" w:cs="Arial"/>
          <w:b/>
          <w:color w:val="000000"/>
        </w:rPr>
        <w:t>PA/05528/</w:t>
      </w:r>
      <w:r w:rsidR="00033D1B" w:rsidRPr="004E295B">
        <w:rPr>
          <w:rFonts w:ascii="Book Antiqua" w:hAnsi="Book Antiqua" w:cs="Arial"/>
          <w:b/>
          <w:color w:val="000000"/>
        </w:rPr>
        <w:t>20</w:t>
      </w:r>
      <w:r w:rsidR="00710177" w:rsidRPr="004E295B">
        <w:rPr>
          <w:rFonts w:ascii="Book Antiqua" w:hAnsi="Book Antiqua" w:cs="Arial"/>
          <w:b/>
          <w:color w:val="000000"/>
        </w:rPr>
        <w:t>17</w:t>
      </w:r>
    </w:p>
    <w:p w:rsidR="00D676BC" w:rsidRDefault="00D676BC" w:rsidP="00503887">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D219F1" w:rsidP="004E295B">
      <w:pPr>
        <w:tabs>
          <w:tab w:val="right" w:pos="9720"/>
        </w:tabs>
        <w:ind w:right="-82"/>
        <w:jc w:val="center"/>
        <w:rPr>
          <w:rFonts w:ascii="Book Antiqua" w:hAnsi="Book Antiqua" w:cs="Arial"/>
          <w:b/>
          <w:color w:val="000000"/>
          <w:u w:val="single"/>
        </w:rPr>
      </w:pPr>
      <w:r w:rsidRPr="00BB0BED">
        <w:rPr>
          <w:rFonts w:ascii="Book Antiqua" w:hAnsi="Book Antiqua" w:cs="Arial"/>
          <w:b/>
          <w:color w:val="000000"/>
          <w:u w:val="single"/>
        </w:rPr>
        <w:t>THE IMMIGRATION ACTS</w:t>
      </w:r>
    </w:p>
    <w:p w:rsidR="00F42483" w:rsidRPr="00BB0BED" w:rsidRDefault="00F42483" w:rsidP="00503887">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19F1" w:rsidRPr="00C03009" w:rsidTr="004E295B">
        <w:trPr>
          <w:trHeight w:val="320"/>
        </w:trPr>
        <w:tc>
          <w:tcPr>
            <w:tcW w:w="5245" w:type="dxa"/>
          </w:tcPr>
          <w:p w:rsidR="00D219F1" w:rsidRDefault="004E5610" w:rsidP="00030A29">
            <w:pPr>
              <w:jc w:val="both"/>
              <w:rPr>
                <w:rFonts w:ascii="Book Antiqua" w:hAnsi="Book Antiqua" w:cs="Arial"/>
                <w:b/>
              </w:rPr>
            </w:pPr>
            <w:r>
              <w:rPr>
                <w:rFonts w:ascii="Book Antiqua" w:hAnsi="Book Antiqua" w:cs="Arial"/>
                <w:b/>
              </w:rPr>
              <w:t>Heard a</w:t>
            </w:r>
            <w:r w:rsidR="00427CE0">
              <w:rPr>
                <w:rFonts w:ascii="Book Antiqua" w:hAnsi="Book Antiqua" w:cs="Arial"/>
                <w:b/>
              </w:rPr>
              <w:t xml:space="preserve">t Manchester Civil Justice Centre </w:t>
            </w:r>
            <w:r w:rsidR="003833A5">
              <w:rPr>
                <w:rFonts w:ascii="Book Antiqua" w:hAnsi="Book Antiqua" w:cs="Arial"/>
                <w:b/>
              </w:rPr>
              <w:t xml:space="preserve">                              </w:t>
            </w:r>
          </w:p>
          <w:p w:rsidR="008133F6" w:rsidRPr="00C03009" w:rsidRDefault="005F1754" w:rsidP="00030A29">
            <w:pPr>
              <w:jc w:val="both"/>
              <w:rPr>
                <w:rFonts w:ascii="Book Antiqua" w:hAnsi="Book Antiqua" w:cs="Arial"/>
                <w:b/>
              </w:rPr>
            </w:pPr>
            <w:r>
              <w:rPr>
                <w:rFonts w:ascii="Book Antiqua" w:hAnsi="Book Antiqua" w:cs="Arial"/>
                <w:b/>
              </w:rPr>
              <w:t>On: 22</w:t>
            </w:r>
            <w:r w:rsidR="00427CE0">
              <w:rPr>
                <w:rFonts w:ascii="Book Antiqua" w:hAnsi="Book Antiqua" w:cs="Arial"/>
                <w:b/>
              </w:rPr>
              <w:t xml:space="preserve"> May</w:t>
            </w:r>
            <w:r w:rsidR="008133F6">
              <w:rPr>
                <w:rFonts w:ascii="Book Antiqua" w:hAnsi="Book Antiqua" w:cs="Arial"/>
                <w:b/>
              </w:rPr>
              <w:t xml:space="preserve"> 2018</w:t>
            </w:r>
          </w:p>
        </w:tc>
        <w:tc>
          <w:tcPr>
            <w:tcW w:w="4393" w:type="dxa"/>
          </w:tcPr>
          <w:p w:rsidR="00D219F1" w:rsidRDefault="004E295B" w:rsidP="003833A5">
            <w:pPr>
              <w:rPr>
                <w:rFonts w:ascii="Book Antiqua" w:hAnsi="Book Antiqua" w:cs="Arial"/>
                <w:b/>
              </w:rPr>
            </w:pPr>
            <w:r>
              <w:rPr>
                <w:rFonts w:ascii="Book Antiqua" w:hAnsi="Book Antiqua" w:cs="Arial"/>
                <w:b/>
              </w:rPr>
              <w:t xml:space="preserve"> </w:t>
            </w:r>
            <w:r w:rsidR="00956142">
              <w:rPr>
                <w:rFonts w:ascii="Book Antiqua" w:hAnsi="Book Antiqua" w:cs="Arial"/>
                <w:b/>
              </w:rPr>
              <w:t>Decision Promulgated</w:t>
            </w:r>
          </w:p>
          <w:p w:rsidR="003833A5" w:rsidRPr="00C03009" w:rsidRDefault="004E295B" w:rsidP="003833A5">
            <w:pPr>
              <w:rPr>
                <w:rFonts w:ascii="Book Antiqua" w:hAnsi="Book Antiqua" w:cs="Arial"/>
                <w:b/>
              </w:rPr>
            </w:pPr>
            <w:r>
              <w:rPr>
                <w:rFonts w:ascii="Book Antiqua" w:hAnsi="Book Antiqua" w:cs="Arial"/>
                <w:b/>
              </w:rPr>
              <w:t xml:space="preserve"> </w:t>
            </w:r>
            <w:r w:rsidR="003833A5">
              <w:rPr>
                <w:rFonts w:ascii="Book Antiqua" w:hAnsi="Book Antiqua" w:cs="Arial"/>
                <w:b/>
              </w:rPr>
              <w:t xml:space="preserve">On: 27 June 2018 </w:t>
            </w:r>
          </w:p>
        </w:tc>
      </w:tr>
      <w:tr w:rsidR="00D219F1" w:rsidRPr="00C03009" w:rsidTr="004E295B">
        <w:trPr>
          <w:trHeight w:val="80"/>
        </w:trPr>
        <w:tc>
          <w:tcPr>
            <w:tcW w:w="5245" w:type="dxa"/>
          </w:tcPr>
          <w:p w:rsidR="00D219F1" w:rsidRPr="00C03009" w:rsidRDefault="00D219F1" w:rsidP="00256F9B">
            <w:pPr>
              <w:jc w:val="both"/>
              <w:rPr>
                <w:rFonts w:ascii="Book Antiqua" w:hAnsi="Book Antiqua" w:cs="Arial"/>
                <w:b/>
              </w:rPr>
            </w:pPr>
          </w:p>
        </w:tc>
        <w:tc>
          <w:tcPr>
            <w:tcW w:w="4393" w:type="dxa"/>
          </w:tcPr>
          <w:p w:rsidR="00D219F1" w:rsidRPr="00C03009" w:rsidRDefault="00D219F1" w:rsidP="00256F9B">
            <w:pPr>
              <w:jc w:val="both"/>
              <w:rPr>
                <w:rFonts w:ascii="Book Antiqua" w:hAnsi="Book Antiqua" w:cs="Arial"/>
                <w:b/>
              </w:rPr>
            </w:pPr>
          </w:p>
        </w:tc>
      </w:tr>
    </w:tbl>
    <w:p w:rsidR="00D219F1" w:rsidRPr="00BB0BED" w:rsidRDefault="00D219F1" w:rsidP="00503887">
      <w:pPr>
        <w:jc w:val="center"/>
        <w:rPr>
          <w:rFonts w:ascii="Book Antiqua" w:hAnsi="Book Antiqua" w:cs="Arial"/>
        </w:rPr>
      </w:pPr>
    </w:p>
    <w:p w:rsidR="004E295B" w:rsidRDefault="004E295B"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D219F1" w:rsidRDefault="00D219F1" w:rsidP="00503887">
      <w:pPr>
        <w:jc w:val="center"/>
        <w:rPr>
          <w:rFonts w:ascii="Book Antiqua" w:hAnsi="Book Antiqua" w:cs="Arial"/>
          <w:b/>
        </w:rPr>
      </w:pPr>
    </w:p>
    <w:p w:rsidR="005F1754" w:rsidRDefault="005F1754" w:rsidP="005F1754">
      <w:pPr>
        <w:jc w:val="center"/>
        <w:rPr>
          <w:rFonts w:ascii="Book Antiqua" w:hAnsi="Book Antiqua" w:cs="Arial"/>
          <w:b/>
        </w:rPr>
      </w:pPr>
    </w:p>
    <w:p w:rsidR="005F1754" w:rsidRDefault="00710177" w:rsidP="005F1754">
      <w:pPr>
        <w:jc w:val="center"/>
        <w:rPr>
          <w:rFonts w:ascii="Book Antiqua" w:hAnsi="Book Antiqua" w:cs="Arial"/>
          <w:b/>
        </w:rPr>
      </w:pPr>
      <w:r>
        <w:rPr>
          <w:rFonts w:ascii="Book Antiqua" w:hAnsi="Book Antiqua" w:cs="Arial"/>
          <w:b/>
        </w:rPr>
        <w:t>CA</w:t>
      </w:r>
    </w:p>
    <w:p w:rsidR="005F1754" w:rsidRPr="004E295B" w:rsidRDefault="004E295B" w:rsidP="005F1754">
      <w:pPr>
        <w:jc w:val="center"/>
        <w:rPr>
          <w:rFonts w:ascii="Book Antiqua" w:hAnsi="Book Antiqua" w:cs="Arial"/>
        </w:rPr>
      </w:pPr>
      <w:r w:rsidRPr="004E295B">
        <w:rPr>
          <w:rFonts w:ascii="Book Antiqua" w:hAnsi="Book Antiqua" w:cs="Arial"/>
        </w:rPr>
        <w:t xml:space="preserve"> (ANONYMITY DIRECTION MADE)</w:t>
      </w:r>
    </w:p>
    <w:p w:rsidR="00D219F1" w:rsidRPr="00030A29" w:rsidRDefault="00F62C83" w:rsidP="00503887">
      <w:pPr>
        <w:jc w:val="right"/>
        <w:outlineLvl w:val="0"/>
        <w:rPr>
          <w:rFonts w:ascii="Book Antiqua" w:hAnsi="Book Antiqua" w:cs="Arial"/>
          <w:u w:val="single"/>
        </w:rPr>
      </w:pPr>
      <w:r>
        <w:rPr>
          <w:rFonts w:ascii="Book Antiqua" w:hAnsi="Book Antiqua" w:cs="Arial"/>
          <w:u w:val="single"/>
        </w:rPr>
        <w:t>A</w:t>
      </w:r>
      <w:r w:rsidR="00D219F1" w:rsidRPr="00030A29">
        <w:rPr>
          <w:rFonts w:ascii="Book Antiqua" w:hAnsi="Book Antiqua" w:cs="Arial"/>
          <w:u w:val="single"/>
        </w:rPr>
        <w:t>ppellant</w:t>
      </w:r>
    </w:p>
    <w:p w:rsidR="00F62C83" w:rsidRDefault="00F62C83" w:rsidP="00503887">
      <w:pPr>
        <w:jc w:val="center"/>
        <w:rPr>
          <w:rFonts w:ascii="Book Antiqua" w:hAnsi="Book Antiqua" w:cs="Arial"/>
          <w:b/>
        </w:rPr>
      </w:pPr>
    </w:p>
    <w:p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rsidR="00764A18" w:rsidRDefault="00764A18" w:rsidP="00503887">
      <w:pPr>
        <w:jc w:val="center"/>
        <w:rPr>
          <w:rFonts w:ascii="Book Antiqua" w:hAnsi="Book Antiqua" w:cs="Arial"/>
          <w:b/>
        </w:rPr>
      </w:pPr>
    </w:p>
    <w:p w:rsidR="005F1754" w:rsidRDefault="004E295B" w:rsidP="005F1754">
      <w:pPr>
        <w:jc w:val="center"/>
        <w:rPr>
          <w:rFonts w:ascii="Book Antiqua" w:hAnsi="Book Antiqua" w:cs="Arial"/>
          <w:b/>
        </w:rPr>
      </w:pPr>
      <w:r>
        <w:rPr>
          <w:rFonts w:ascii="Book Antiqua" w:hAnsi="Book Antiqua" w:cs="Arial"/>
          <w:b/>
        </w:rPr>
        <w:t>THE SECRETARY OF STATE FOR THE HOME DEPARTMENT</w:t>
      </w:r>
    </w:p>
    <w:p w:rsidR="00D219F1" w:rsidRPr="008951EA" w:rsidRDefault="00D219F1" w:rsidP="006B153F">
      <w:pPr>
        <w:jc w:val="right"/>
        <w:outlineLvl w:val="0"/>
        <w:rPr>
          <w:rFonts w:ascii="Book Antiqua" w:hAnsi="Book Antiqua" w:cs="Arial"/>
          <w:u w:val="single"/>
        </w:rPr>
      </w:pPr>
      <w:r w:rsidRPr="008951EA">
        <w:rPr>
          <w:rFonts w:ascii="Book Antiqua" w:hAnsi="Book Antiqua" w:cs="Arial"/>
          <w:u w:val="single"/>
        </w:rPr>
        <w:t>Respondent</w:t>
      </w:r>
    </w:p>
    <w:p w:rsidR="00555389" w:rsidRPr="008951EA" w:rsidRDefault="00555389" w:rsidP="00473C4B">
      <w:pPr>
        <w:rPr>
          <w:rFonts w:ascii="Book Antiqua" w:hAnsi="Book Antiqua" w:cs="Arial"/>
          <w:b/>
        </w:rPr>
      </w:pPr>
    </w:p>
    <w:p w:rsidR="004E295B" w:rsidRPr="004E295B" w:rsidRDefault="004E295B" w:rsidP="0062352D">
      <w:pPr>
        <w:rPr>
          <w:rFonts w:ascii="Book Antiqua" w:hAnsi="Book Antiqua" w:cs="Arial"/>
          <w:b/>
          <w:u w:val="single"/>
        </w:rPr>
      </w:pPr>
      <w:r>
        <w:rPr>
          <w:rFonts w:ascii="Book Antiqua" w:hAnsi="Book Antiqua" w:cs="Arial"/>
          <w:b/>
          <w:u w:val="single"/>
        </w:rPr>
        <w:t>Representation:</w:t>
      </w:r>
    </w:p>
    <w:p w:rsidR="004E295B" w:rsidRDefault="004E295B" w:rsidP="0062352D">
      <w:pPr>
        <w:rPr>
          <w:rFonts w:ascii="Book Antiqua" w:hAnsi="Book Antiqua" w:cs="Arial"/>
        </w:rPr>
      </w:pPr>
    </w:p>
    <w:p w:rsidR="0062352D" w:rsidRPr="004E295B" w:rsidRDefault="005F1754" w:rsidP="0062352D">
      <w:pPr>
        <w:rPr>
          <w:rFonts w:ascii="Book Antiqua" w:hAnsi="Book Antiqua" w:cs="Arial"/>
        </w:rPr>
      </w:pPr>
      <w:r w:rsidRPr="004E295B">
        <w:rPr>
          <w:rFonts w:ascii="Book Antiqua" w:hAnsi="Book Antiqua" w:cs="Arial"/>
        </w:rPr>
        <w:t>For the Appellant</w:t>
      </w:r>
      <w:r w:rsidR="008133F6" w:rsidRPr="004E295B">
        <w:rPr>
          <w:rFonts w:ascii="Book Antiqua" w:hAnsi="Book Antiqua" w:cs="Arial"/>
        </w:rPr>
        <w:t>:</w:t>
      </w:r>
      <w:r w:rsidRPr="004E295B">
        <w:rPr>
          <w:rFonts w:ascii="Book Antiqua" w:hAnsi="Book Antiqua" w:cs="Arial"/>
        </w:rPr>
        <w:tab/>
      </w:r>
      <w:r w:rsidR="0062352D" w:rsidRPr="004E295B">
        <w:rPr>
          <w:rFonts w:ascii="Book Antiqua" w:hAnsi="Book Antiqua" w:cs="Arial"/>
        </w:rPr>
        <w:tab/>
      </w:r>
      <w:r w:rsidR="00C90B17" w:rsidRPr="004E295B">
        <w:rPr>
          <w:rFonts w:ascii="Book Antiqua" w:hAnsi="Book Antiqua" w:cs="Arial"/>
        </w:rPr>
        <w:t xml:space="preserve">Mr Chaudhry, </w:t>
      </w:r>
      <w:proofErr w:type="spellStart"/>
      <w:r w:rsidR="00710177" w:rsidRPr="004E295B">
        <w:rPr>
          <w:rFonts w:ascii="Book Antiqua" w:hAnsi="Book Antiqua" w:cs="Arial"/>
        </w:rPr>
        <w:t>Broudie</w:t>
      </w:r>
      <w:proofErr w:type="spellEnd"/>
      <w:r w:rsidR="00710177" w:rsidRPr="004E295B">
        <w:rPr>
          <w:rFonts w:ascii="Book Antiqua" w:hAnsi="Book Antiqua" w:cs="Arial"/>
        </w:rPr>
        <w:t xml:space="preserve"> Jackson Canter S</w:t>
      </w:r>
      <w:r w:rsidR="00C55D4C" w:rsidRPr="004E295B">
        <w:rPr>
          <w:rFonts w:ascii="Book Antiqua" w:hAnsi="Book Antiqua" w:cs="Arial"/>
        </w:rPr>
        <w:t>olicitors</w:t>
      </w:r>
    </w:p>
    <w:p w:rsidR="008133F6" w:rsidRPr="004E295B" w:rsidRDefault="00C2469A" w:rsidP="005F1754">
      <w:pPr>
        <w:rPr>
          <w:rFonts w:ascii="Book Antiqua" w:hAnsi="Book Antiqua" w:cs="Arial"/>
        </w:rPr>
      </w:pPr>
      <w:r w:rsidRPr="004E295B">
        <w:rPr>
          <w:rFonts w:ascii="Book Antiqua" w:hAnsi="Book Antiqua" w:cs="Arial"/>
        </w:rPr>
        <w:t>For</w:t>
      </w:r>
      <w:r w:rsidR="00DC536C" w:rsidRPr="004E295B">
        <w:rPr>
          <w:rFonts w:ascii="Book Antiqua" w:hAnsi="Book Antiqua" w:cs="Arial"/>
        </w:rPr>
        <w:t xml:space="preserve"> </w:t>
      </w:r>
      <w:r w:rsidR="005F1754" w:rsidRPr="004E295B">
        <w:rPr>
          <w:rFonts w:ascii="Book Antiqua" w:hAnsi="Book Antiqua" w:cs="Arial"/>
        </w:rPr>
        <w:t>the Respondent:</w:t>
      </w:r>
      <w:r w:rsidR="0062352D" w:rsidRPr="004E295B">
        <w:rPr>
          <w:rFonts w:ascii="Book Antiqua" w:hAnsi="Book Antiqua" w:cs="Arial"/>
        </w:rPr>
        <w:tab/>
      </w:r>
      <w:r w:rsidR="0062352D" w:rsidRPr="004E295B">
        <w:rPr>
          <w:rFonts w:ascii="Book Antiqua" w:hAnsi="Book Antiqua" w:cs="Arial"/>
        </w:rPr>
        <w:tab/>
      </w:r>
      <w:r w:rsidR="005F1754" w:rsidRPr="004E295B">
        <w:rPr>
          <w:rFonts w:ascii="Book Antiqua" w:hAnsi="Book Antiqua" w:cs="Arial"/>
        </w:rPr>
        <w:t>Mr Bates, Senior Home Office Presenting Officer</w:t>
      </w:r>
      <w:r w:rsidRPr="004E295B">
        <w:rPr>
          <w:rFonts w:ascii="Book Antiqua" w:hAnsi="Book Antiqua" w:cs="Arial"/>
        </w:rPr>
        <w:t xml:space="preserve"> </w:t>
      </w:r>
    </w:p>
    <w:p w:rsidR="00B93485" w:rsidRPr="004E295B" w:rsidRDefault="00B93485" w:rsidP="00473C4B">
      <w:pPr>
        <w:rPr>
          <w:rFonts w:ascii="Book Antiqua" w:hAnsi="Book Antiqua" w:cs="Arial"/>
        </w:rPr>
      </w:pPr>
    </w:p>
    <w:p w:rsidR="00C90B17" w:rsidRPr="00C90B17" w:rsidRDefault="00C90B17" w:rsidP="00473C4B">
      <w:pPr>
        <w:rPr>
          <w:rFonts w:ascii="Book Antiqua" w:hAnsi="Book Antiqua" w:cs="Arial"/>
          <w:b/>
        </w:rPr>
      </w:pPr>
    </w:p>
    <w:p w:rsidR="00A10684" w:rsidRPr="00800967" w:rsidRDefault="00427CE0" w:rsidP="00ED7C3A">
      <w:pPr>
        <w:tabs>
          <w:tab w:val="left" w:pos="2520"/>
        </w:tabs>
        <w:jc w:val="center"/>
        <w:outlineLvl w:val="0"/>
        <w:rPr>
          <w:rFonts w:ascii="Book Antiqua" w:hAnsi="Book Antiqua" w:cs="Arial"/>
          <w:b/>
          <w:u w:val="single"/>
        </w:rPr>
      </w:pPr>
      <w:r w:rsidRPr="00FF4516">
        <w:rPr>
          <w:rFonts w:ascii="Book Antiqua" w:hAnsi="Book Antiqua" w:cs="Arial"/>
          <w:b/>
          <w:u w:val="single"/>
        </w:rPr>
        <w:t>DETERMINATION AND REASONS</w:t>
      </w:r>
    </w:p>
    <w:p w:rsidR="008133F6" w:rsidRPr="00BB0BED" w:rsidRDefault="008133F6" w:rsidP="00503887">
      <w:pPr>
        <w:tabs>
          <w:tab w:val="left" w:pos="2520"/>
        </w:tabs>
        <w:ind w:right="567"/>
        <w:jc w:val="both"/>
        <w:rPr>
          <w:rFonts w:ascii="Book Antiqua" w:hAnsi="Book Antiqua" w:cs="Arial"/>
        </w:rPr>
      </w:pPr>
    </w:p>
    <w:p w:rsidR="00C55D4C" w:rsidRDefault="0062352D"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The </w:t>
      </w:r>
      <w:r w:rsidR="00C55D4C">
        <w:rPr>
          <w:rFonts w:ascii="Book Antiqua" w:hAnsi="Book Antiqua" w:cs="Arial"/>
        </w:rPr>
        <w:t xml:space="preserve">Appellant </w:t>
      </w:r>
      <w:r w:rsidR="007724F2">
        <w:rPr>
          <w:rFonts w:ascii="Book Antiqua" w:hAnsi="Book Antiqua" w:cs="Arial"/>
        </w:rPr>
        <w:t>is a national of</w:t>
      </w:r>
      <w:r>
        <w:rPr>
          <w:rFonts w:ascii="Book Antiqua" w:hAnsi="Book Antiqua" w:cs="Arial"/>
        </w:rPr>
        <w:t xml:space="preserve"> </w:t>
      </w:r>
      <w:r w:rsidR="00710177">
        <w:rPr>
          <w:rFonts w:ascii="Book Antiqua" w:hAnsi="Book Antiqua" w:cs="Arial"/>
        </w:rPr>
        <w:t>Benin</w:t>
      </w:r>
      <w:r w:rsidR="00C55D4C">
        <w:rPr>
          <w:rFonts w:ascii="Book Antiqua" w:hAnsi="Book Antiqua" w:cs="Arial"/>
        </w:rPr>
        <w:t xml:space="preserve"> born </w:t>
      </w:r>
      <w:r w:rsidR="00710177">
        <w:rPr>
          <w:rFonts w:ascii="Book Antiqua" w:hAnsi="Book Antiqua" w:cs="Arial"/>
        </w:rPr>
        <w:t>1989</w:t>
      </w:r>
      <w:r w:rsidR="00C55D4C">
        <w:rPr>
          <w:rFonts w:ascii="Book Antiqua" w:hAnsi="Book Antiqua" w:cs="Arial"/>
        </w:rPr>
        <w:t>.</w:t>
      </w:r>
      <w:r w:rsidR="00710177">
        <w:rPr>
          <w:rFonts w:ascii="Book Antiqua" w:hAnsi="Book Antiqua" w:cs="Arial"/>
        </w:rPr>
        <w:t xml:space="preserve">  H</w:t>
      </w:r>
      <w:r w:rsidR="00C55D4C">
        <w:rPr>
          <w:rFonts w:ascii="Book Antiqua" w:hAnsi="Book Antiqua" w:cs="Arial"/>
        </w:rPr>
        <w:t xml:space="preserve">e appeals with permission the decision of the First-tier Tribunal </w:t>
      </w:r>
      <w:r w:rsidR="00710177">
        <w:rPr>
          <w:rFonts w:ascii="Book Antiqua" w:hAnsi="Book Antiqua" w:cs="Arial"/>
        </w:rPr>
        <w:t>(</w:t>
      </w:r>
      <w:r w:rsidR="00C55D4C">
        <w:rPr>
          <w:rFonts w:ascii="Book Antiqua" w:hAnsi="Book Antiqua" w:cs="Arial"/>
        </w:rPr>
        <w:t>Judge</w:t>
      </w:r>
      <w:r w:rsidR="00710177">
        <w:rPr>
          <w:rFonts w:ascii="Book Antiqua" w:hAnsi="Book Antiqua" w:cs="Arial"/>
        </w:rPr>
        <w:t xml:space="preserve"> Durance) to dismiss his</w:t>
      </w:r>
      <w:r w:rsidR="00C55D4C">
        <w:rPr>
          <w:rFonts w:ascii="Book Antiqua" w:hAnsi="Book Antiqua" w:cs="Arial"/>
        </w:rPr>
        <w:t xml:space="preserve"> appeal on </w:t>
      </w:r>
      <w:r w:rsidR="00710177">
        <w:rPr>
          <w:rFonts w:ascii="Book Antiqua" w:hAnsi="Book Antiqua" w:cs="Arial"/>
        </w:rPr>
        <w:t>protection grounds.</w:t>
      </w:r>
    </w:p>
    <w:p w:rsidR="006D58D4" w:rsidRDefault="006D58D4" w:rsidP="006D58D4">
      <w:pPr>
        <w:tabs>
          <w:tab w:val="left" w:pos="567"/>
        </w:tabs>
        <w:ind w:right="567"/>
        <w:jc w:val="both"/>
        <w:rPr>
          <w:rFonts w:ascii="Book Antiqua" w:hAnsi="Book Antiqua" w:cs="Arial"/>
        </w:rPr>
      </w:pPr>
    </w:p>
    <w:p w:rsidR="006D58D4" w:rsidRPr="00077465" w:rsidRDefault="006D58D4" w:rsidP="006D58D4">
      <w:pPr>
        <w:tabs>
          <w:tab w:val="left" w:pos="567"/>
        </w:tabs>
        <w:ind w:left="567" w:right="567"/>
        <w:jc w:val="both"/>
        <w:rPr>
          <w:rFonts w:ascii="Book Antiqua" w:hAnsi="Book Antiqua" w:cs="Arial"/>
          <w:b/>
        </w:rPr>
      </w:pPr>
      <w:r w:rsidRPr="00077465">
        <w:rPr>
          <w:rFonts w:ascii="Book Antiqua" w:hAnsi="Book Antiqua" w:cs="Arial"/>
          <w:b/>
        </w:rPr>
        <w:t>Anonymity Order</w:t>
      </w:r>
    </w:p>
    <w:p w:rsidR="006D58D4" w:rsidRDefault="006D58D4" w:rsidP="006D58D4">
      <w:pPr>
        <w:pStyle w:val="ListParagraph"/>
        <w:rPr>
          <w:rFonts w:ascii="Book Antiqua" w:hAnsi="Book Antiqua" w:cs="Arial"/>
        </w:rPr>
      </w:pPr>
    </w:p>
    <w:p w:rsidR="006D58D4" w:rsidRPr="00742C45" w:rsidRDefault="006D58D4" w:rsidP="006D58D4">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 xml:space="preserve">This appeal concerns a claim for international protection. </w:t>
      </w:r>
      <w:r w:rsidRPr="00742C45">
        <w:rPr>
          <w:rFonts w:ascii="Book Antiqua" w:hAnsi="Book Antiqua" w:cs="Arial"/>
        </w:rPr>
        <w:t xml:space="preserve">Having had regard to Rule 14 of the Tribunal Procedure (Upper Tribunal) Rules 2008 and the </w:t>
      </w:r>
      <w:r w:rsidRPr="00742C45">
        <w:rPr>
          <w:rFonts w:ascii="Book Antiqua" w:hAnsi="Book Antiqua" w:cs="Arial"/>
        </w:rPr>
        <w:lastRenderedPageBreak/>
        <w:t xml:space="preserve">Presidential Guidance Note No 1 of 2013: Anonymity Orders I therefore consider it appropriate to make an order in the following terms: </w:t>
      </w:r>
    </w:p>
    <w:p w:rsidR="006D58D4" w:rsidRDefault="006D58D4" w:rsidP="006D58D4">
      <w:pPr>
        <w:ind w:left="1080" w:right="1134"/>
        <w:jc w:val="both"/>
        <w:rPr>
          <w:rFonts w:ascii="Book Antiqua" w:hAnsi="Book Antiqua" w:cs="Arial"/>
        </w:rPr>
      </w:pPr>
    </w:p>
    <w:p w:rsidR="006D58D4" w:rsidRPr="00A011FA" w:rsidRDefault="006D58D4" w:rsidP="006D58D4">
      <w:pPr>
        <w:ind w:left="1080" w:right="1134"/>
        <w:jc w:val="both"/>
        <w:rPr>
          <w:rFonts w:ascii="Book Antiqua" w:hAnsi="Book Antiqua"/>
        </w:rPr>
      </w:pPr>
      <w:r>
        <w:rPr>
          <w:rFonts w:ascii="Book Antiqua" w:hAnsi="Book Antiqua"/>
        </w:rPr>
        <w:t xml:space="preserve"> “</w:t>
      </w:r>
      <w:r w:rsidRPr="00A011FA">
        <w:rPr>
          <w:rFonts w:ascii="Book Antiqua" w:hAnsi="Book Antiqua"/>
        </w:rPr>
        <w:t>Unless and until a tribunal or court directs otherwise, the</w:t>
      </w:r>
      <w:r>
        <w:rPr>
          <w:rFonts w:ascii="Book Antiqua" w:hAnsi="Book Antiqua"/>
        </w:rPr>
        <w:t xml:space="preserve"> Appellant is</w:t>
      </w:r>
      <w:r w:rsidRPr="00A011FA">
        <w:rPr>
          <w:rFonts w:ascii="Book Antiqua" w:hAnsi="Book Antiqua"/>
        </w:rPr>
        <w:t xml:space="preserve"> granted anonymity.  No report of these proceedings shall directly or indirectly ide</w:t>
      </w:r>
      <w:r>
        <w:rPr>
          <w:rFonts w:ascii="Book Antiqua" w:hAnsi="Book Antiqua"/>
        </w:rPr>
        <w:t>ntify him or any member of his</w:t>
      </w:r>
      <w:r w:rsidRPr="00A011FA">
        <w:rPr>
          <w:rFonts w:ascii="Book Antiqua" w:hAnsi="Book Antiqua"/>
        </w:rPr>
        <w:t xml:space="preserve"> family.  This direction applies</w:t>
      </w:r>
      <w:r>
        <w:rPr>
          <w:rFonts w:ascii="Book Antiqua" w:hAnsi="Book Antiqua"/>
        </w:rPr>
        <w:t xml:space="preserve"> to, amongst others,</w:t>
      </w:r>
      <w:r w:rsidRPr="00A011FA">
        <w:rPr>
          <w:rFonts w:ascii="Book Antiqua" w:hAnsi="Book Antiqua"/>
        </w:rPr>
        <w:t xml:space="preserve"> both the Appellant and the Respondent.  Failure to comply with this direction could lead to contempt of court proceedings</w:t>
      </w:r>
      <w:r>
        <w:rPr>
          <w:rFonts w:ascii="Book Antiqua" w:hAnsi="Book Antiqua"/>
        </w:rPr>
        <w:t>”</w:t>
      </w:r>
    </w:p>
    <w:p w:rsidR="006D58D4" w:rsidRDefault="006D58D4" w:rsidP="006D58D4">
      <w:pPr>
        <w:tabs>
          <w:tab w:val="left" w:pos="567"/>
        </w:tabs>
        <w:ind w:right="567"/>
        <w:jc w:val="both"/>
        <w:rPr>
          <w:rFonts w:ascii="Book Antiqua" w:hAnsi="Book Antiqua" w:cs="Arial"/>
        </w:rPr>
      </w:pPr>
    </w:p>
    <w:p w:rsidR="00C55D4C" w:rsidRDefault="00C55D4C" w:rsidP="00C55D4C">
      <w:pPr>
        <w:tabs>
          <w:tab w:val="left" w:pos="567"/>
        </w:tabs>
        <w:ind w:left="567" w:right="567"/>
        <w:jc w:val="both"/>
        <w:rPr>
          <w:rFonts w:ascii="Book Antiqua" w:hAnsi="Book Antiqua" w:cs="Arial"/>
        </w:rPr>
      </w:pPr>
    </w:p>
    <w:p w:rsidR="00C55D4C" w:rsidRPr="00C55D4C" w:rsidRDefault="00C55D4C" w:rsidP="00C55D4C">
      <w:pPr>
        <w:tabs>
          <w:tab w:val="left" w:pos="567"/>
        </w:tabs>
        <w:ind w:left="567" w:right="567"/>
        <w:jc w:val="both"/>
        <w:rPr>
          <w:rFonts w:ascii="Book Antiqua" w:hAnsi="Book Antiqua" w:cs="Arial"/>
          <w:b/>
        </w:rPr>
      </w:pPr>
      <w:r w:rsidRPr="00C55D4C">
        <w:rPr>
          <w:rFonts w:ascii="Book Antiqua" w:hAnsi="Book Antiqua" w:cs="Arial"/>
          <w:b/>
        </w:rPr>
        <w:t>Background and Matters in Issue</w:t>
      </w:r>
    </w:p>
    <w:p w:rsidR="00C55D4C" w:rsidRDefault="00C55D4C" w:rsidP="00C55D4C">
      <w:pPr>
        <w:tabs>
          <w:tab w:val="left" w:pos="567"/>
        </w:tabs>
        <w:ind w:left="567" w:right="567"/>
        <w:jc w:val="both"/>
        <w:rPr>
          <w:rFonts w:ascii="Book Antiqua" w:hAnsi="Book Antiqua" w:cs="Arial"/>
        </w:rPr>
      </w:pPr>
    </w:p>
    <w:p w:rsidR="00710177" w:rsidRDefault="00710177"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The basis of the Appellant’s claim for asylum was that he faces persecution in Benin for reasons of his membership of a </w:t>
      </w:r>
      <w:proofErr w:type="gramStart"/>
      <w:r>
        <w:rPr>
          <w:rFonts w:ascii="Book Antiqua" w:hAnsi="Book Antiqua" w:cs="Arial"/>
        </w:rPr>
        <w:t>particular social</w:t>
      </w:r>
      <w:proofErr w:type="gramEnd"/>
      <w:r>
        <w:rPr>
          <w:rFonts w:ascii="Book Antiqua" w:hAnsi="Book Antiqua" w:cs="Arial"/>
        </w:rPr>
        <w:t xml:space="preserve"> group.   He asserted that </w:t>
      </w:r>
      <w:r w:rsidR="00923365">
        <w:rPr>
          <w:rFonts w:ascii="Book Antiqua" w:hAnsi="Book Antiqua" w:cs="Arial"/>
        </w:rPr>
        <w:t xml:space="preserve">he </w:t>
      </w:r>
      <w:r>
        <w:rPr>
          <w:rFonts w:ascii="Book Antiqua" w:hAnsi="Book Antiqua" w:cs="Arial"/>
        </w:rPr>
        <w:t>is homosexual, and that he faces societal discrimination and persecution for that reason, from which the state is unable or unwilling to protect him.</w:t>
      </w:r>
    </w:p>
    <w:p w:rsidR="00923365" w:rsidRDefault="00923365" w:rsidP="00923365">
      <w:pPr>
        <w:tabs>
          <w:tab w:val="left" w:pos="567"/>
        </w:tabs>
        <w:ind w:left="567" w:right="567"/>
        <w:jc w:val="both"/>
        <w:rPr>
          <w:rFonts w:ascii="Book Antiqua" w:hAnsi="Book Antiqua" w:cs="Arial"/>
        </w:rPr>
      </w:pPr>
    </w:p>
    <w:p w:rsidR="00710177" w:rsidRDefault="00710177"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The </w:t>
      </w:r>
      <w:r w:rsidR="00923365">
        <w:rPr>
          <w:rFonts w:ascii="Book Antiqua" w:hAnsi="Book Antiqua" w:cs="Arial"/>
        </w:rPr>
        <w:t>Respondent refused asylum in a decision dated the 26</w:t>
      </w:r>
      <w:r w:rsidR="00923365" w:rsidRPr="00923365">
        <w:rPr>
          <w:rFonts w:ascii="Book Antiqua" w:hAnsi="Book Antiqua" w:cs="Arial"/>
          <w:vertAlign w:val="superscript"/>
        </w:rPr>
        <w:t>th</w:t>
      </w:r>
      <w:r w:rsidR="00923365">
        <w:rPr>
          <w:rFonts w:ascii="Book Antiqua" w:hAnsi="Book Antiqua" w:cs="Arial"/>
        </w:rPr>
        <w:t xml:space="preserve"> May 2017.  Although it was accepted that gay men do constitute a ‘</w:t>
      </w:r>
      <w:proofErr w:type="gramStart"/>
      <w:r w:rsidR="00923365">
        <w:rPr>
          <w:rFonts w:ascii="Book Antiqua" w:hAnsi="Book Antiqua" w:cs="Arial"/>
        </w:rPr>
        <w:t>particular social</w:t>
      </w:r>
      <w:proofErr w:type="gramEnd"/>
      <w:r w:rsidR="00923365">
        <w:rPr>
          <w:rFonts w:ascii="Book Antiqua" w:hAnsi="Book Antiqua" w:cs="Arial"/>
        </w:rPr>
        <w:t xml:space="preserve"> group’ within the meaning of the 1951 Refugee Convention, it was not accepted that the Appellant faced a real risk of serious harm for the claimed reason.  The Respondent found the Appellant’s account to be characterised by inconsistency and implausibility and accordingly rejected his claim to be gay, or to have suffered harm for that reason in the past.  In the alternative the Respondent asserted that the government in Benin would be willing and able to provide the Appellant with a ‘sufficiency of protection’ such that the UK’s international obligations under the Refugee Convention were not engaged. </w:t>
      </w:r>
    </w:p>
    <w:p w:rsidR="00923365" w:rsidRDefault="00923365" w:rsidP="00923365">
      <w:pPr>
        <w:pStyle w:val="ListParagraph"/>
        <w:rPr>
          <w:rFonts w:ascii="Book Antiqua" w:hAnsi="Book Antiqua" w:cs="Arial"/>
        </w:rPr>
      </w:pPr>
    </w:p>
    <w:p w:rsidR="00923365" w:rsidRDefault="00923365"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When the matter came before the First-tier Tribunal the Appellant gave evidence himself and called </w:t>
      </w:r>
      <w:proofErr w:type="gramStart"/>
      <w:r>
        <w:rPr>
          <w:rFonts w:ascii="Book Antiqua" w:hAnsi="Book Antiqua" w:cs="Arial"/>
        </w:rPr>
        <w:t>a number of</w:t>
      </w:r>
      <w:proofErr w:type="gramEnd"/>
      <w:r>
        <w:rPr>
          <w:rFonts w:ascii="Book Antiqua" w:hAnsi="Book Antiqua" w:cs="Arial"/>
        </w:rPr>
        <w:t xml:space="preserve"> witnesses to testify that to the best of their knowledge, the Appellant identified as a gay man, and that he lived an ‘</w:t>
      </w:r>
      <w:r w:rsidR="0075534F">
        <w:rPr>
          <w:rFonts w:ascii="Book Antiqua" w:hAnsi="Book Antiqua" w:cs="Arial"/>
        </w:rPr>
        <w:t>op</w:t>
      </w:r>
      <w:r>
        <w:rPr>
          <w:rFonts w:ascii="Book Antiqua" w:hAnsi="Book Antiqua" w:cs="Arial"/>
        </w:rPr>
        <w:t>e</w:t>
      </w:r>
      <w:r w:rsidR="0075534F">
        <w:rPr>
          <w:rFonts w:ascii="Book Antiqua" w:hAnsi="Book Antiqua" w:cs="Arial"/>
        </w:rPr>
        <w:t>n</w:t>
      </w:r>
      <w:r>
        <w:rPr>
          <w:rFonts w:ascii="Book Antiqua" w:hAnsi="Book Antiqua" w:cs="Arial"/>
        </w:rPr>
        <w:t xml:space="preserve">ly’ gay lifestyle in this country. The Tribunal accepted, applying the lower standard of proof to the totality of this evidence, that the Appellant was in fact gay.  The Tribunal was not however satisfied as to the other elements of the account, </w:t>
      </w:r>
      <w:proofErr w:type="gramStart"/>
      <w:r>
        <w:rPr>
          <w:rFonts w:ascii="Book Antiqua" w:hAnsi="Book Antiqua" w:cs="Arial"/>
        </w:rPr>
        <w:t>in particular the</w:t>
      </w:r>
      <w:proofErr w:type="gramEnd"/>
      <w:r>
        <w:rPr>
          <w:rFonts w:ascii="Book Antiqua" w:hAnsi="Book Antiqua" w:cs="Arial"/>
        </w:rPr>
        <w:t xml:space="preserve"> claim that the Appellant had been ‘outed’ on a number of occasions whilst living in Benin, and that he faced a danger from his father or anyone else there.  Although the Tribunal was satisfied that the Appellant would face a degree of societal discrimination as a gay man, it found that he had managed to live openly in Benin in the past and that he would be able to do so again without fear of serious harm.  Homosexuality is not illegal in Benin and there is an </w:t>
      </w:r>
      <w:r w:rsidR="00D61EC8">
        <w:rPr>
          <w:rFonts w:ascii="Book Antiqua" w:hAnsi="Book Antiqua" w:cs="Arial"/>
        </w:rPr>
        <w:t>active L</w:t>
      </w:r>
      <w:r w:rsidR="00956FAD">
        <w:rPr>
          <w:rFonts w:ascii="Book Antiqua" w:hAnsi="Book Antiqua" w:cs="Arial"/>
        </w:rPr>
        <w:t xml:space="preserve">GBT community in </w:t>
      </w:r>
      <w:r w:rsidR="00D61EC8">
        <w:rPr>
          <w:rFonts w:ascii="Book Antiqua" w:hAnsi="Book Antiqua" w:cs="Arial"/>
        </w:rPr>
        <w:t>Cotonou</w:t>
      </w:r>
      <w:r w:rsidR="00956FAD">
        <w:rPr>
          <w:rFonts w:ascii="Book Antiqua" w:hAnsi="Book Antiqua" w:cs="Arial"/>
        </w:rPr>
        <w:t>, the largest city.  The Tribunal found that the absence of any “reported cases” the Appellant has not demonstrated there to be an objective risk.  The appeal was accordingly dismissed.</w:t>
      </w:r>
    </w:p>
    <w:p w:rsidR="00956FAD" w:rsidRDefault="00956FAD" w:rsidP="00956FAD">
      <w:pPr>
        <w:tabs>
          <w:tab w:val="left" w:pos="567"/>
        </w:tabs>
        <w:ind w:left="567" w:right="567"/>
        <w:jc w:val="both"/>
        <w:rPr>
          <w:rFonts w:ascii="Book Antiqua" w:hAnsi="Book Antiqua" w:cs="Arial"/>
        </w:rPr>
      </w:pPr>
    </w:p>
    <w:p w:rsidR="006D58D4" w:rsidRDefault="00956FAD" w:rsidP="006D58D4">
      <w:pPr>
        <w:numPr>
          <w:ilvl w:val="0"/>
          <w:numId w:val="1"/>
        </w:numPr>
        <w:tabs>
          <w:tab w:val="left" w:pos="567"/>
        </w:tabs>
        <w:ind w:left="567" w:right="567"/>
        <w:jc w:val="both"/>
        <w:rPr>
          <w:rFonts w:ascii="Book Antiqua" w:hAnsi="Book Antiqua" w:cs="Arial"/>
        </w:rPr>
      </w:pPr>
      <w:r>
        <w:rPr>
          <w:rFonts w:ascii="Book Antiqua" w:hAnsi="Book Antiqua" w:cs="Arial"/>
        </w:rPr>
        <w:lastRenderedPageBreak/>
        <w:t xml:space="preserve">The Appellant now appeals </w:t>
      </w:r>
      <w:proofErr w:type="gramStart"/>
      <w:r>
        <w:rPr>
          <w:rFonts w:ascii="Book Antiqua" w:hAnsi="Book Antiqua" w:cs="Arial"/>
        </w:rPr>
        <w:t xml:space="preserve">on </w:t>
      </w:r>
      <w:r w:rsidR="006D58D4">
        <w:rPr>
          <w:rFonts w:ascii="Book Antiqua" w:hAnsi="Book Antiqua" w:cs="Arial"/>
        </w:rPr>
        <w:t xml:space="preserve">the </w:t>
      </w:r>
      <w:r>
        <w:rPr>
          <w:rFonts w:ascii="Book Antiqua" w:hAnsi="Book Antiqua" w:cs="Arial"/>
        </w:rPr>
        <w:t>g</w:t>
      </w:r>
      <w:r w:rsidR="00BC45E6">
        <w:rPr>
          <w:rFonts w:ascii="Book Antiqua" w:hAnsi="Book Antiqua" w:cs="Arial"/>
        </w:rPr>
        <w:t>round that</w:t>
      </w:r>
      <w:proofErr w:type="gramEnd"/>
      <w:r w:rsidR="00BC45E6">
        <w:rPr>
          <w:rFonts w:ascii="Book Antiqua" w:hAnsi="Book Antiqua" w:cs="Arial"/>
        </w:rPr>
        <w:t xml:space="preserve"> the First-tier Tribunal</w:t>
      </w:r>
      <w:r w:rsidR="006D58D4">
        <w:rPr>
          <w:rFonts w:ascii="Book Antiqua" w:hAnsi="Book Antiqua" w:cs="Arial"/>
        </w:rPr>
        <w:t xml:space="preserve"> erred in f</w:t>
      </w:r>
      <w:r w:rsidRPr="00BC45E6">
        <w:rPr>
          <w:rFonts w:ascii="Book Antiqua" w:hAnsi="Book Antiqua" w:cs="Arial"/>
        </w:rPr>
        <w:t xml:space="preserve">ailing to take all of the relevant evidence into account. </w:t>
      </w:r>
      <w:proofErr w:type="gramStart"/>
      <w:r w:rsidRPr="00BC45E6">
        <w:rPr>
          <w:rFonts w:ascii="Book Antiqua" w:hAnsi="Book Antiqua" w:cs="Arial"/>
        </w:rPr>
        <w:t>In particular</w:t>
      </w:r>
      <w:r w:rsidR="006D58D4">
        <w:rPr>
          <w:rFonts w:ascii="Book Antiqua" w:hAnsi="Book Antiqua" w:cs="Arial"/>
        </w:rPr>
        <w:t xml:space="preserve"> it</w:t>
      </w:r>
      <w:proofErr w:type="gramEnd"/>
      <w:r w:rsidR="006D58D4">
        <w:rPr>
          <w:rFonts w:ascii="Book Antiqua" w:hAnsi="Book Antiqua" w:cs="Arial"/>
        </w:rPr>
        <w:t xml:space="preserve"> is alleged that</w:t>
      </w:r>
      <w:r w:rsidRPr="00BC45E6">
        <w:rPr>
          <w:rFonts w:ascii="Book Antiqua" w:hAnsi="Book Antiqua" w:cs="Arial"/>
        </w:rPr>
        <w:t>:</w:t>
      </w:r>
    </w:p>
    <w:p w:rsidR="0005243B" w:rsidRDefault="0005243B" w:rsidP="0005243B">
      <w:pPr>
        <w:pStyle w:val="ListParagraph"/>
        <w:rPr>
          <w:rFonts w:ascii="Book Antiqua" w:hAnsi="Book Antiqua" w:cs="Arial"/>
        </w:rPr>
      </w:pPr>
    </w:p>
    <w:p w:rsidR="0005243B" w:rsidRDefault="0005243B" w:rsidP="0005243B">
      <w:pPr>
        <w:numPr>
          <w:ilvl w:val="0"/>
          <w:numId w:val="24"/>
        </w:numPr>
        <w:tabs>
          <w:tab w:val="left" w:pos="567"/>
        </w:tabs>
        <w:ind w:right="567"/>
        <w:jc w:val="both"/>
        <w:rPr>
          <w:rFonts w:ascii="Book Antiqua" w:hAnsi="Book Antiqua" w:cs="Arial"/>
        </w:rPr>
      </w:pPr>
      <w:r>
        <w:rPr>
          <w:rFonts w:ascii="Book Antiqua" w:hAnsi="Book Antiqua" w:cs="Arial"/>
        </w:rPr>
        <w:t>The citation of country background evidence in the determination is selective. The determination finds there to be no evidence of harm caused to gay men but there were reports of persecution in the bundles before the Tribunal;</w:t>
      </w:r>
    </w:p>
    <w:p w:rsidR="0005243B" w:rsidRDefault="0005243B" w:rsidP="0005243B">
      <w:pPr>
        <w:tabs>
          <w:tab w:val="left" w:pos="567"/>
        </w:tabs>
        <w:ind w:left="1440" w:right="567"/>
        <w:jc w:val="both"/>
        <w:rPr>
          <w:rFonts w:ascii="Book Antiqua" w:hAnsi="Book Antiqua" w:cs="Arial"/>
        </w:rPr>
      </w:pPr>
    </w:p>
    <w:p w:rsidR="0005243B" w:rsidRDefault="0005243B" w:rsidP="0005243B">
      <w:pPr>
        <w:numPr>
          <w:ilvl w:val="0"/>
          <w:numId w:val="24"/>
        </w:numPr>
        <w:tabs>
          <w:tab w:val="left" w:pos="567"/>
        </w:tabs>
        <w:ind w:right="567"/>
        <w:jc w:val="both"/>
        <w:rPr>
          <w:rFonts w:ascii="Book Antiqua" w:hAnsi="Book Antiqua" w:cs="Arial"/>
        </w:rPr>
      </w:pPr>
      <w:r>
        <w:rPr>
          <w:rFonts w:ascii="Book Antiqua" w:hAnsi="Book Antiqua" w:cs="Arial"/>
        </w:rPr>
        <w:t xml:space="preserve">Similarly, in respect of state protection the Tribunal found this to be present </w:t>
      </w:r>
      <w:proofErr w:type="gramStart"/>
      <w:r>
        <w:rPr>
          <w:rFonts w:ascii="Book Antiqua" w:hAnsi="Book Antiqua" w:cs="Arial"/>
        </w:rPr>
        <w:t>on the basis of</w:t>
      </w:r>
      <w:proofErr w:type="gramEnd"/>
      <w:r>
        <w:rPr>
          <w:rFonts w:ascii="Book Antiqua" w:hAnsi="Book Antiqua" w:cs="Arial"/>
        </w:rPr>
        <w:t xml:space="preserve"> the Appellant’s evidence that he had reported an assault to the police, without taking into account the further evidence that the police had done nothing to help him and had refused to lodge the complaint;</w:t>
      </w:r>
    </w:p>
    <w:p w:rsidR="0005243B" w:rsidRDefault="0005243B" w:rsidP="0005243B">
      <w:pPr>
        <w:tabs>
          <w:tab w:val="left" w:pos="567"/>
        </w:tabs>
        <w:ind w:left="1440" w:right="567"/>
        <w:jc w:val="both"/>
        <w:rPr>
          <w:rFonts w:ascii="Book Antiqua" w:hAnsi="Book Antiqua" w:cs="Arial"/>
        </w:rPr>
      </w:pPr>
    </w:p>
    <w:p w:rsidR="0005243B" w:rsidRDefault="0005243B" w:rsidP="0005243B">
      <w:pPr>
        <w:numPr>
          <w:ilvl w:val="0"/>
          <w:numId w:val="24"/>
        </w:numPr>
        <w:tabs>
          <w:tab w:val="left" w:pos="567"/>
        </w:tabs>
        <w:ind w:right="567"/>
        <w:jc w:val="both"/>
        <w:rPr>
          <w:rFonts w:ascii="Book Antiqua" w:hAnsi="Book Antiqua" w:cs="Arial"/>
        </w:rPr>
      </w:pPr>
      <w:r w:rsidRPr="006D58D4">
        <w:rPr>
          <w:rFonts w:ascii="Book Antiqua" w:hAnsi="Book Antiqua" w:cs="Arial"/>
        </w:rPr>
        <w:t>In reaching its finding that the Appellant had previously lived an openly gay life in Benin the Tribunal had focused on the Appellant’s answer at his asylum interview that his outing before his father had been a ‘positive experience’. It is submitted that read in context the totality of the evidence was that it had been a negative experience, with people throwing stones and shouting at him, and that he was forced to spend long perio</w:t>
      </w:r>
      <w:r>
        <w:rPr>
          <w:rFonts w:ascii="Book Antiqua" w:hAnsi="Book Antiqua" w:cs="Arial"/>
        </w:rPr>
        <w:t>ds not leaving the house;</w:t>
      </w:r>
    </w:p>
    <w:p w:rsidR="0005243B" w:rsidRDefault="0005243B" w:rsidP="0005243B">
      <w:pPr>
        <w:pStyle w:val="ListParagraph"/>
        <w:rPr>
          <w:rFonts w:ascii="Book Antiqua" w:hAnsi="Book Antiqua" w:cs="Arial"/>
        </w:rPr>
      </w:pPr>
    </w:p>
    <w:p w:rsidR="0005243B" w:rsidRPr="006D58D4" w:rsidRDefault="0005243B" w:rsidP="0005243B">
      <w:pPr>
        <w:numPr>
          <w:ilvl w:val="0"/>
          <w:numId w:val="24"/>
        </w:numPr>
        <w:tabs>
          <w:tab w:val="left" w:pos="567"/>
        </w:tabs>
        <w:ind w:right="567"/>
        <w:jc w:val="both"/>
        <w:rPr>
          <w:rFonts w:ascii="Book Antiqua" w:hAnsi="Book Antiqua" w:cs="Arial"/>
        </w:rPr>
      </w:pPr>
      <w:r>
        <w:rPr>
          <w:rFonts w:ascii="Book Antiqua" w:hAnsi="Book Antiqua" w:cs="Arial"/>
        </w:rPr>
        <w:t xml:space="preserve">The Tribunal misconstrued the evidence to find that the Appellant was living an ‘out’ life in Benin. On a contextual reading </w:t>
      </w:r>
      <w:proofErr w:type="gramStart"/>
      <w:r>
        <w:rPr>
          <w:rFonts w:ascii="Book Antiqua" w:hAnsi="Book Antiqua" w:cs="Arial"/>
        </w:rPr>
        <w:t>it is clear that he</w:t>
      </w:r>
      <w:proofErr w:type="gramEnd"/>
      <w:r>
        <w:rPr>
          <w:rFonts w:ascii="Book Antiqua" w:hAnsi="Book Antiqua" w:cs="Arial"/>
        </w:rPr>
        <w:t xml:space="preserve"> was not. For instance, when he was having sex on the beach it was late at night when nobody was around.</w:t>
      </w:r>
    </w:p>
    <w:p w:rsidR="0005243B" w:rsidRPr="006D58D4" w:rsidRDefault="0005243B" w:rsidP="0005243B">
      <w:pPr>
        <w:pStyle w:val="ListParagraph"/>
        <w:ind w:left="0"/>
        <w:rPr>
          <w:rFonts w:ascii="Book Antiqua" w:hAnsi="Book Antiqua" w:cs="Arial"/>
        </w:rPr>
      </w:pPr>
    </w:p>
    <w:p w:rsidR="0005243B" w:rsidRDefault="0005243B" w:rsidP="006D58D4">
      <w:pPr>
        <w:numPr>
          <w:ilvl w:val="0"/>
          <w:numId w:val="1"/>
        </w:numPr>
        <w:tabs>
          <w:tab w:val="left" w:pos="567"/>
        </w:tabs>
        <w:ind w:left="567" w:right="567"/>
        <w:jc w:val="both"/>
        <w:rPr>
          <w:rFonts w:ascii="Book Antiqua" w:hAnsi="Book Antiqua" w:cs="Arial"/>
        </w:rPr>
      </w:pPr>
      <w:r>
        <w:rPr>
          <w:rFonts w:ascii="Book Antiqua" w:hAnsi="Book Antiqua" w:cs="Arial"/>
        </w:rPr>
        <w:t>For the Respondent Mr Bates opposed the appeal on all grounds.</w:t>
      </w:r>
    </w:p>
    <w:p w:rsidR="006D58D4" w:rsidRDefault="006D58D4" w:rsidP="006D58D4">
      <w:pPr>
        <w:pStyle w:val="ListParagraph"/>
        <w:rPr>
          <w:rFonts w:ascii="Book Antiqua" w:hAnsi="Book Antiqua" w:cs="Arial"/>
        </w:rPr>
      </w:pPr>
    </w:p>
    <w:p w:rsidR="006D58D4" w:rsidRDefault="006D58D4" w:rsidP="006D58D4">
      <w:pPr>
        <w:tabs>
          <w:tab w:val="left" w:pos="567"/>
        </w:tabs>
        <w:ind w:left="567" w:right="567"/>
        <w:jc w:val="both"/>
        <w:rPr>
          <w:rFonts w:ascii="Book Antiqua" w:hAnsi="Book Antiqua" w:cs="Arial"/>
        </w:rPr>
      </w:pPr>
    </w:p>
    <w:p w:rsidR="006D58D4" w:rsidRDefault="0075534F" w:rsidP="006D58D4">
      <w:pPr>
        <w:tabs>
          <w:tab w:val="left" w:pos="567"/>
        </w:tabs>
        <w:ind w:left="567" w:right="567"/>
        <w:jc w:val="both"/>
        <w:rPr>
          <w:rFonts w:ascii="Book Antiqua" w:hAnsi="Book Antiqua" w:cs="Arial"/>
          <w:b/>
        </w:rPr>
      </w:pPr>
      <w:r>
        <w:rPr>
          <w:rFonts w:ascii="Book Antiqua" w:hAnsi="Book Antiqua" w:cs="Arial"/>
          <w:b/>
        </w:rPr>
        <w:t>Discussion and Findings</w:t>
      </w:r>
    </w:p>
    <w:p w:rsidR="006D58D4" w:rsidRDefault="006D58D4" w:rsidP="006D58D4">
      <w:pPr>
        <w:pStyle w:val="ListParagraph"/>
        <w:rPr>
          <w:rFonts w:ascii="Book Antiqua" w:hAnsi="Book Antiqua" w:cs="Arial"/>
        </w:rPr>
      </w:pPr>
    </w:p>
    <w:p w:rsidR="007661D0" w:rsidRDefault="00E87239" w:rsidP="006D58D4">
      <w:pPr>
        <w:numPr>
          <w:ilvl w:val="0"/>
          <w:numId w:val="1"/>
        </w:numPr>
        <w:tabs>
          <w:tab w:val="left" w:pos="567"/>
        </w:tabs>
        <w:ind w:left="567" w:right="567"/>
        <w:jc w:val="both"/>
        <w:rPr>
          <w:rFonts w:ascii="Book Antiqua" w:hAnsi="Book Antiqua" w:cs="Arial"/>
        </w:rPr>
      </w:pPr>
      <w:r w:rsidRPr="00E87239">
        <w:rPr>
          <w:rFonts w:ascii="Book Antiqua" w:hAnsi="Book Antiqua" w:cs="Arial"/>
        </w:rPr>
        <w:t xml:space="preserve">The First-tier Tribunal begins its deliberations by assessing a series of incidents narrated by the Appellant. It first rejects the claim that he was expelled from school because he had kissed a boy, it being found to be inherently incredible that </w:t>
      </w:r>
      <w:r w:rsidRPr="00E87239">
        <w:rPr>
          <w:rFonts w:ascii="Book Antiqua" w:hAnsi="Book Antiqua" w:cs="Arial"/>
          <w:i/>
        </w:rPr>
        <w:t>inter alia</w:t>
      </w:r>
      <w:r w:rsidRPr="00E87239">
        <w:rPr>
          <w:rFonts w:ascii="Book Antiqua" w:hAnsi="Book Antiqua" w:cs="Arial"/>
        </w:rPr>
        <w:t xml:space="preserve"> he would be expelled, and then enrol at a new school, without his parents knowing about it [§39]. </w:t>
      </w:r>
      <w:r>
        <w:rPr>
          <w:rFonts w:ascii="Book Antiqua" w:hAnsi="Book Antiqua" w:cs="Arial"/>
        </w:rPr>
        <w:t xml:space="preserve"> Next it rejects the claim that he was discovered by his aunt to be having sex with a male cousin. The</w:t>
      </w:r>
      <w:r w:rsidR="00B40C24">
        <w:rPr>
          <w:rFonts w:ascii="Book Antiqua" w:hAnsi="Book Antiqua" w:cs="Arial"/>
        </w:rPr>
        <w:t xml:space="preserve"> evidence was that this aunt had</w:t>
      </w:r>
      <w:r>
        <w:rPr>
          <w:rFonts w:ascii="Book Antiqua" w:hAnsi="Book Antiqua" w:cs="Arial"/>
        </w:rPr>
        <w:t xml:space="preserve"> told the Appellant’s father, who then told everyone about it. The First-tier Tribunal thought it unlikely that the Appellant’s father would do this, given the stigma attached to same-sex relationships in West African society [§42]</w:t>
      </w:r>
      <w:r w:rsidR="00D63271">
        <w:rPr>
          <w:rFonts w:ascii="Book Antiqua" w:hAnsi="Book Antiqua" w:cs="Arial"/>
        </w:rPr>
        <w:t xml:space="preserve">. </w:t>
      </w:r>
      <w:proofErr w:type="gramStart"/>
      <w:r w:rsidR="00D63271">
        <w:rPr>
          <w:rFonts w:ascii="Book Antiqua" w:hAnsi="Book Antiqua" w:cs="Arial"/>
        </w:rPr>
        <w:t>Finally</w:t>
      </w:r>
      <w:proofErr w:type="gramEnd"/>
      <w:r w:rsidR="00D63271">
        <w:rPr>
          <w:rFonts w:ascii="Book Antiqua" w:hAnsi="Book Antiqua" w:cs="Arial"/>
        </w:rPr>
        <w:t xml:space="preserve"> the A</w:t>
      </w:r>
      <w:r>
        <w:rPr>
          <w:rFonts w:ascii="Book Antiqua" w:hAnsi="Book Antiqua" w:cs="Arial"/>
        </w:rPr>
        <w:t>ppellant’</w:t>
      </w:r>
      <w:r w:rsidR="00D63271">
        <w:rPr>
          <w:rFonts w:ascii="Book Antiqua" w:hAnsi="Book Antiqua" w:cs="Arial"/>
        </w:rPr>
        <w:t>s claim to have been assaulted by five men at his home address is rejected as making “no sense”. The account was that the assailants had been sent there by a boyfriend’s father. They punched the Appellant, ripped up his passport and told him that they would be back in a month. The Tr</w:t>
      </w:r>
      <w:r w:rsidR="007661D0">
        <w:rPr>
          <w:rFonts w:ascii="Book Antiqua" w:hAnsi="Book Antiqua" w:cs="Arial"/>
        </w:rPr>
        <w:t xml:space="preserve">ibunal could not understand why they would do this: if they wanted to do him harm, they </w:t>
      </w:r>
      <w:r w:rsidR="007661D0">
        <w:rPr>
          <w:rFonts w:ascii="Book Antiqua" w:hAnsi="Book Antiqua" w:cs="Arial"/>
        </w:rPr>
        <w:lastRenderedPageBreak/>
        <w:t xml:space="preserve">could have done so </w:t>
      </w:r>
      <w:r w:rsidR="00FF424C">
        <w:rPr>
          <w:rFonts w:ascii="Book Antiqua" w:hAnsi="Book Antiqua" w:cs="Arial"/>
        </w:rPr>
        <w:t xml:space="preserve">there and </w:t>
      </w:r>
      <w:r w:rsidR="007661D0">
        <w:rPr>
          <w:rFonts w:ascii="Book Antiqua" w:hAnsi="Book Antiqua" w:cs="Arial"/>
        </w:rPr>
        <w:t xml:space="preserve">then. </w:t>
      </w:r>
      <w:proofErr w:type="gramStart"/>
      <w:r w:rsidR="007661D0">
        <w:rPr>
          <w:rFonts w:ascii="Book Antiqua" w:hAnsi="Book Antiqua" w:cs="Arial"/>
        </w:rPr>
        <w:t>Furthermore</w:t>
      </w:r>
      <w:proofErr w:type="gramEnd"/>
      <w:r w:rsidR="007661D0">
        <w:rPr>
          <w:rFonts w:ascii="Book Antiqua" w:hAnsi="Book Antiqua" w:cs="Arial"/>
        </w:rPr>
        <w:t xml:space="preserve"> the police report, allegedly made by the Appellant after the incident, makes no mention of the five men, but simply makes a complaint about the boyfriend’s father.</w:t>
      </w:r>
    </w:p>
    <w:p w:rsidR="007661D0" w:rsidRDefault="007661D0" w:rsidP="007661D0">
      <w:pPr>
        <w:tabs>
          <w:tab w:val="left" w:pos="567"/>
        </w:tabs>
        <w:ind w:left="567" w:right="567"/>
        <w:jc w:val="both"/>
        <w:rPr>
          <w:rFonts w:ascii="Book Antiqua" w:hAnsi="Book Antiqua" w:cs="Arial"/>
        </w:rPr>
      </w:pPr>
    </w:p>
    <w:p w:rsidR="00B40C24" w:rsidRDefault="007661D0" w:rsidP="007661D0">
      <w:pPr>
        <w:numPr>
          <w:ilvl w:val="0"/>
          <w:numId w:val="1"/>
        </w:numPr>
        <w:tabs>
          <w:tab w:val="left" w:pos="567"/>
        </w:tabs>
        <w:ind w:left="567" w:right="567"/>
        <w:jc w:val="both"/>
        <w:rPr>
          <w:rFonts w:ascii="Book Antiqua" w:hAnsi="Book Antiqua" w:cs="Arial"/>
        </w:rPr>
      </w:pPr>
      <w:r>
        <w:rPr>
          <w:rFonts w:ascii="Book Antiqua" w:hAnsi="Book Antiqua" w:cs="Arial"/>
        </w:rPr>
        <w:t>These three events were all incidents in which the Appellant is said to have been ‘outed’, and to have suffered discrimination or physi</w:t>
      </w:r>
      <w:r w:rsidR="00B40C24">
        <w:rPr>
          <w:rFonts w:ascii="Book Antiqua" w:hAnsi="Book Antiqua" w:cs="Arial"/>
        </w:rPr>
        <w:t>cal harm as a result. N</w:t>
      </w:r>
      <w:r>
        <w:rPr>
          <w:rFonts w:ascii="Book Antiqua" w:hAnsi="Book Antiqua" w:cs="Arial"/>
        </w:rPr>
        <w:t xml:space="preserve">one of </w:t>
      </w:r>
      <w:r w:rsidR="00B40C24">
        <w:rPr>
          <w:rFonts w:ascii="Book Antiqua" w:hAnsi="Book Antiqua" w:cs="Arial"/>
        </w:rPr>
        <w:t>the Tribunal’s adverse findings about these</w:t>
      </w:r>
      <w:r>
        <w:rPr>
          <w:rFonts w:ascii="Book Antiqua" w:hAnsi="Book Antiqua" w:cs="Arial"/>
        </w:rPr>
        <w:t xml:space="preserve"> incidents </w:t>
      </w:r>
      <w:r w:rsidRPr="007661D0">
        <w:rPr>
          <w:rFonts w:ascii="Book Antiqua" w:hAnsi="Book Antiqua" w:cs="Arial"/>
        </w:rPr>
        <w:t>are expressly challenged in the ground</w:t>
      </w:r>
      <w:r>
        <w:rPr>
          <w:rFonts w:ascii="Book Antiqua" w:hAnsi="Book Antiqua" w:cs="Arial"/>
        </w:rPr>
        <w:t>s</w:t>
      </w:r>
      <w:r w:rsidR="00B40C24">
        <w:rPr>
          <w:rFonts w:ascii="Book Antiqua" w:hAnsi="Book Antiqua" w:cs="Arial"/>
        </w:rPr>
        <w:t xml:space="preserve">. They form the backdrop to the Tribunal’s conclusions on how the Appellant lived his life in Benin.  The crux of the findings </w:t>
      </w:r>
      <w:proofErr w:type="gramStart"/>
      <w:r w:rsidR="00B40C24">
        <w:rPr>
          <w:rFonts w:ascii="Book Antiqua" w:hAnsi="Book Antiqua" w:cs="Arial"/>
        </w:rPr>
        <w:t>are</w:t>
      </w:r>
      <w:proofErr w:type="gramEnd"/>
      <w:r w:rsidR="00B40C24">
        <w:rPr>
          <w:rFonts w:ascii="Book Antiqua" w:hAnsi="Book Antiqua" w:cs="Arial"/>
        </w:rPr>
        <w:t xml:space="preserve"> however at paragraph 56.   The Tribunal finds, having had regard to the country background material, that same-sex relationships are not illegal in Benin. The US State Department reports that there is a “degree of openness in the gay community” and that as of 2013 there were at least 9 LGBT organisations in the country. In the Appellant’s hometown there is a weekly LGBT meeting, and</w:t>
      </w:r>
      <w:r w:rsidR="0005243B">
        <w:rPr>
          <w:rFonts w:ascii="Book Antiqua" w:hAnsi="Book Antiqua" w:cs="Arial"/>
        </w:rPr>
        <w:t xml:space="preserve"> there are</w:t>
      </w:r>
      <w:r w:rsidR="00B40C24">
        <w:rPr>
          <w:rFonts w:ascii="Book Antiqua" w:hAnsi="Book Antiqua" w:cs="Arial"/>
        </w:rPr>
        <w:t xml:space="preserve"> “known bars, clubs and beaches where gay men can meet”.   By his own evidence the Appellant had engaged in online activity (</w:t>
      </w:r>
      <w:proofErr w:type="spellStart"/>
      <w:r w:rsidR="00B40C24">
        <w:rPr>
          <w:rFonts w:ascii="Book Antiqua" w:hAnsi="Book Antiqua" w:cs="Arial"/>
        </w:rPr>
        <w:t>ie</w:t>
      </w:r>
      <w:proofErr w:type="spellEnd"/>
      <w:r w:rsidR="00B40C24">
        <w:rPr>
          <w:rFonts w:ascii="Book Antiqua" w:hAnsi="Book Antiqua" w:cs="Arial"/>
        </w:rPr>
        <w:t xml:space="preserve"> gay dating sites) in a public cybercafé and had had sex on a local beach. He also claimed to have sought help from the police. </w:t>
      </w:r>
      <w:r w:rsidR="00ED0A15">
        <w:rPr>
          <w:rFonts w:ascii="Book Antiqua" w:hAnsi="Book Antiqua" w:cs="Arial"/>
        </w:rPr>
        <w:t xml:space="preserve">  Having noted </w:t>
      </w:r>
      <w:proofErr w:type="gramStart"/>
      <w:r w:rsidR="00ED0A15">
        <w:rPr>
          <w:rFonts w:ascii="Book Antiqua" w:hAnsi="Book Antiqua" w:cs="Arial"/>
        </w:rPr>
        <w:t>all of these</w:t>
      </w:r>
      <w:proofErr w:type="gramEnd"/>
      <w:r w:rsidR="00ED0A15">
        <w:rPr>
          <w:rFonts w:ascii="Book Antiqua" w:hAnsi="Book Antiqua" w:cs="Arial"/>
        </w:rPr>
        <w:t xml:space="preserve"> factors the Tribunal then says this:</w:t>
      </w:r>
    </w:p>
    <w:p w:rsidR="00ED0A15" w:rsidRDefault="00ED0A15" w:rsidP="00ED0A15">
      <w:pPr>
        <w:pStyle w:val="ListParagraph"/>
        <w:rPr>
          <w:rFonts w:ascii="Book Antiqua" w:hAnsi="Book Antiqua" w:cs="Arial"/>
        </w:rPr>
      </w:pPr>
    </w:p>
    <w:p w:rsidR="00ED0A15" w:rsidRDefault="0005243B" w:rsidP="0005243B">
      <w:pPr>
        <w:tabs>
          <w:tab w:val="left" w:pos="567"/>
        </w:tabs>
        <w:ind w:left="1134" w:right="1134"/>
        <w:jc w:val="both"/>
        <w:rPr>
          <w:rFonts w:ascii="Book Antiqua" w:hAnsi="Book Antiqua" w:cs="Arial"/>
        </w:rPr>
      </w:pPr>
      <w:r>
        <w:rPr>
          <w:rFonts w:ascii="Book Antiqua" w:hAnsi="Book Antiqua" w:cs="Arial"/>
        </w:rPr>
        <w:t>“Ultimately, however, it is the appellant’s own evidence which counters his assertion that to be gay in Benin places one at risk. At interview he made it clear that in 2004 he was outed by his father and that this was a positive experience for him as he did not need to “hide anymore”. I find that comment in conjunction with the analysis of the country material leads me to conclude that (</w:t>
      </w:r>
      <w:proofErr w:type="spellStart"/>
      <w:r>
        <w:rPr>
          <w:rFonts w:ascii="Book Antiqua" w:hAnsi="Book Antiqua" w:cs="Arial"/>
        </w:rPr>
        <w:t>i</w:t>
      </w:r>
      <w:proofErr w:type="spellEnd"/>
      <w:r>
        <w:rPr>
          <w:rFonts w:ascii="Book Antiqua" w:hAnsi="Book Antiqua" w:cs="Arial"/>
        </w:rPr>
        <w:t xml:space="preserve">) the appellant lived openly as a gay man in Benin and that ii) he has not suffered persecution and iii) there is no real likelihood or risk of ill treatment in the future so that iv) the appellant is not at risk applying Lord Rodger’s analysis in </w:t>
      </w:r>
      <w:r w:rsidRPr="0005243B">
        <w:rPr>
          <w:rFonts w:ascii="Book Antiqua" w:hAnsi="Book Antiqua" w:cs="Arial"/>
          <w:u w:val="single"/>
        </w:rPr>
        <w:t>HJ (Iran</w:t>
      </w:r>
      <w:r>
        <w:rPr>
          <w:rFonts w:ascii="Book Antiqua" w:hAnsi="Book Antiqua" w:cs="Arial"/>
        </w:rPr>
        <w:t>)”</w:t>
      </w:r>
    </w:p>
    <w:p w:rsidR="00B40C24" w:rsidRDefault="00B40C24" w:rsidP="00B40C24">
      <w:pPr>
        <w:pStyle w:val="ListParagraph"/>
        <w:rPr>
          <w:rFonts w:ascii="Book Antiqua" w:hAnsi="Book Antiqua" w:cs="Arial"/>
        </w:rPr>
      </w:pPr>
    </w:p>
    <w:p w:rsidR="0005243B" w:rsidRDefault="0005243B" w:rsidP="007661D0">
      <w:pPr>
        <w:numPr>
          <w:ilvl w:val="0"/>
          <w:numId w:val="1"/>
        </w:numPr>
        <w:tabs>
          <w:tab w:val="left" w:pos="567"/>
        </w:tabs>
        <w:ind w:left="567" w:right="567"/>
        <w:jc w:val="both"/>
        <w:rPr>
          <w:rFonts w:ascii="Book Antiqua" w:hAnsi="Book Antiqua" w:cs="Arial"/>
        </w:rPr>
      </w:pPr>
      <w:r>
        <w:rPr>
          <w:rFonts w:ascii="Book Antiqua" w:hAnsi="Book Antiqua" w:cs="Arial"/>
        </w:rPr>
        <w:t>The grounds take issue with that reasoning on two fronts.</w:t>
      </w:r>
    </w:p>
    <w:p w:rsidR="00C36503" w:rsidRDefault="00C36503" w:rsidP="00C36503">
      <w:pPr>
        <w:tabs>
          <w:tab w:val="left" w:pos="567"/>
        </w:tabs>
        <w:ind w:left="567" w:right="567"/>
        <w:jc w:val="both"/>
        <w:rPr>
          <w:rFonts w:ascii="Book Antiqua" w:hAnsi="Book Antiqua" w:cs="Arial"/>
        </w:rPr>
      </w:pPr>
    </w:p>
    <w:p w:rsidR="002B21DE" w:rsidRDefault="00C36503" w:rsidP="007661D0">
      <w:pPr>
        <w:numPr>
          <w:ilvl w:val="0"/>
          <w:numId w:val="1"/>
        </w:numPr>
        <w:tabs>
          <w:tab w:val="left" w:pos="567"/>
        </w:tabs>
        <w:ind w:left="567" w:right="567"/>
        <w:jc w:val="both"/>
        <w:rPr>
          <w:rFonts w:ascii="Book Antiqua" w:hAnsi="Book Antiqua" w:cs="Arial"/>
        </w:rPr>
      </w:pPr>
      <w:r>
        <w:rPr>
          <w:rFonts w:ascii="Book Antiqua" w:hAnsi="Book Antiqua" w:cs="Arial"/>
        </w:rPr>
        <w:t>First, it is submitted that the Tribunal</w:t>
      </w:r>
      <w:r w:rsidR="00F701AA">
        <w:rPr>
          <w:rFonts w:ascii="Book Antiqua" w:hAnsi="Book Antiqua" w:cs="Arial"/>
        </w:rPr>
        <w:t xml:space="preserve"> did not take </w:t>
      </w:r>
      <w:proofErr w:type="gramStart"/>
      <w:r w:rsidR="00F701AA">
        <w:rPr>
          <w:rFonts w:ascii="Book Antiqua" w:hAnsi="Book Antiqua" w:cs="Arial"/>
        </w:rPr>
        <w:t>all of</w:t>
      </w:r>
      <w:proofErr w:type="gramEnd"/>
      <w:r w:rsidR="00F701AA">
        <w:rPr>
          <w:rFonts w:ascii="Book Antiqua" w:hAnsi="Book Antiqua" w:cs="Arial"/>
        </w:rPr>
        <w:t xml:space="preserve"> the Appellant’s evidence into account. The Appellant did not say that being outed was a “positive experience”. Although </w:t>
      </w:r>
      <w:r w:rsidR="002B21DE">
        <w:rPr>
          <w:rFonts w:ascii="Book Antiqua" w:hAnsi="Book Antiqua" w:cs="Arial"/>
        </w:rPr>
        <w:t xml:space="preserve">he did say, in response to Q116 of the asylum interview “I didn’t mind anymore because I said to myself at least they know I don’t have to hide anymore”, he also said that his father refused to touch objects that he had touched, refused to pay for his college fees any longer, and that people in the community ostracised him and threw shoes at him. </w:t>
      </w:r>
    </w:p>
    <w:p w:rsidR="002B21DE" w:rsidRDefault="002B21DE" w:rsidP="002B21DE">
      <w:pPr>
        <w:pStyle w:val="ListParagraph"/>
        <w:rPr>
          <w:rFonts w:ascii="Book Antiqua" w:hAnsi="Book Antiqua" w:cs="Arial"/>
        </w:rPr>
      </w:pPr>
    </w:p>
    <w:p w:rsidR="002B21DE" w:rsidRDefault="002B21DE" w:rsidP="007661D0">
      <w:pPr>
        <w:numPr>
          <w:ilvl w:val="0"/>
          <w:numId w:val="1"/>
        </w:numPr>
        <w:tabs>
          <w:tab w:val="left" w:pos="567"/>
        </w:tabs>
        <w:ind w:left="567" w:right="567"/>
        <w:jc w:val="both"/>
        <w:rPr>
          <w:rFonts w:ascii="Book Antiqua" w:hAnsi="Book Antiqua" w:cs="Arial"/>
        </w:rPr>
      </w:pPr>
      <w:r>
        <w:rPr>
          <w:rFonts w:ascii="Book Antiqua" w:hAnsi="Book Antiqua" w:cs="Arial"/>
        </w:rPr>
        <w:t>Second, it is submitted that in reaching its findings the Tribunal fundamentally misinterpreted the country background material, omitting to weigh in the balance evidence that indicated that homosexuals face persecution, and prosecution, in Benin.</w:t>
      </w:r>
    </w:p>
    <w:p w:rsidR="002B21DE" w:rsidRDefault="002B21DE" w:rsidP="002B21DE">
      <w:pPr>
        <w:pStyle w:val="ListParagraph"/>
        <w:rPr>
          <w:rFonts w:ascii="Book Antiqua" w:hAnsi="Book Antiqua" w:cs="Arial"/>
        </w:rPr>
      </w:pPr>
    </w:p>
    <w:p w:rsidR="002B21DE" w:rsidRDefault="002B21DE" w:rsidP="007661D0">
      <w:pPr>
        <w:numPr>
          <w:ilvl w:val="0"/>
          <w:numId w:val="1"/>
        </w:numPr>
        <w:tabs>
          <w:tab w:val="left" w:pos="567"/>
        </w:tabs>
        <w:ind w:left="567" w:right="567"/>
        <w:jc w:val="both"/>
        <w:rPr>
          <w:rFonts w:ascii="Book Antiqua" w:hAnsi="Book Antiqua" w:cs="Arial"/>
        </w:rPr>
      </w:pPr>
      <w:r>
        <w:rPr>
          <w:rFonts w:ascii="Book Antiqua" w:hAnsi="Book Antiqua" w:cs="Arial"/>
        </w:rPr>
        <w:t xml:space="preserve">At paragraph 56 the Tribunal characterises the Appellant’s evidence as being that when he was outed to his father it was a “positive experience”. That was perhaps </w:t>
      </w:r>
      <w:r>
        <w:rPr>
          <w:rFonts w:ascii="Book Antiqua" w:hAnsi="Book Antiqua" w:cs="Arial"/>
        </w:rPr>
        <w:lastRenderedPageBreak/>
        <w:t xml:space="preserve">an unfortunate turn of phrase. What the Appellant </w:t>
      </w:r>
      <w:proofErr w:type="gramStart"/>
      <w:r>
        <w:rPr>
          <w:rFonts w:ascii="Book Antiqua" w:hAnsi="Book Antiqua" w:cs="Arial"/>
        </w:rPr>
        <w:t>actually said</w:t>
      </w:r>
      <w:proofErr w:type="gramEnd"/>
      <w:r>
        <w:rPr>
          <w:rFonts w:ascii="Book Antiqua" w:hAnsi="Book Antiqua" w:cs="Arial"/>
        </w:rPr>
        <w:t xml:space="preserve"> that is that his father refused to speak with him any long</w:t>
      </w:r>
      <w:r w:rsidR="00CE38CF">
        <w:rPr>
          <w:rFonts w:ascii="Book Antiqua" w:hAnsi="Book Antiqua" w:cs="Arial"/>
        </w:rPr>
        <w:t xml:space="preserve">er. People in the community would talk about him, and would not speak to him when he passed; sometimes they would throw shoes it him and he would spend a week or so in the house without going out. That evidence, and the Tribunal’s findings, must however be viewed in context. The Appellant also said that after this ‘outing’ he spent a further 12 years in Benin, and managed to have </w:t>
      </w:r>
      <w:proofErr w:type="gramStart"/>
      <w:r w:rsidR="00CE38CF">
        <w:rPr>
          <w:rFonts w:ascii="Book Antiqua" w:hAnsi="Book Antiqua" w:cs="Arial"/>
        </w:rPr>
        <w:t>a number of</w:t>
      </w:r>
      <w:proofErr w:type="gramEnd"/>
      <w:r w:rsidR="00CE38CF">
        <w:rPr>
          <w:rFonts w:ascii="Book Antiqua" w:hAnsi="Book Antiqua" w:cs="Arial"/>
        </w:rPr>
        <w:t xml:space="preserve"> homosexual partners. He describes the treatment that he was subjected to</w:t>
      </w:r>
      <w:r w:rsidR="00B27885">
        <w:rPr>
          <w:rFonts w:ascii="Book Antiqua" w:hAnsi="Book Antiqua" w:cs="Arial"/>
        </w:rPr>
        <w:t xml:space="preserve"> as a teenager</w:t>
      </w:r>
      <w:r w:rsidR="00CE38CF">
        <w:rPr>
          <w:rFonts w:ascii="Book Antiqua" w:hAnsi="Book Antiqua" w:cs="Arial"/>
        </w:rPr>
        <w:t xml:space="preserve"> as “discrimination”. </w:t>
      </w:r>
      <w:r w:rsidR="00B27885">
        <w:rPr>
          <w:rFonts w:ascii="Book Antiqua" w:hAnsi="Book Antiqua" w:cs="Arial"/>
        </w:rPr>
        <w:t xml:space="preserve">  </w:t>
      </w:r>
    </w:p>
    <w:p w:rsidR="002B21DE" w:rsidRDefault="002B21DE" w:rsidP="002B21DE">
      <w:pPr>
        <w:pStyle w:val="ListParagraph"/>
        <w:rPr>
          <w:rFonts w:ascii="Book Antiqua" w:hAnsi="Book Antiqua" w:cs="Arial"/>
        </w:rPr>
      </w:pPr>
    </w:p>
    <w:p w:rsidR="0044220A" w:rsidRDefault="00C36503" w:rsidP="007661D0">
      <w:pPr>
        <w:numPr>
          <w:ilvl w:val="0"/>
          <w:numId w:val="1"/>
        </w:numPr>
        <w:tabs>
          <w:tab w:val="left" w:pos="567"/>
        </w:tabs>
        <w:ind w:left="567" w:right="567"/>
        <w:jc w:val="both"/>
        <w:rPr>
          <w:rFonts w:ascii="Book Antiqua" w:hAnsi="Book Antiqua" w:cs="Arial"/>
        </w:rPr>
      </w:pPr>
      <w:r>
        <w:rPr>
          <w:rFonts w:ascii="Book Antiqua" w:hAnsi="Book Antiqua" w:cs="Arial"/>
        </w:rPr>
        <w:t xml:space="preserve">The grounds assert that the risk assessment was made </w:t>
      </w:r>
      <w:proofErr w:type="gramStart"/>
      <w:r>
        <w:rPr>
          <w:rFonts w:ascii="Book Antiqua" w:hAnsi="Book Antiqua" w:cs="Arial"/>
        </w:rPr>
        <w:t>on the basis of</w:t>
      </w:r>
      <w:proofErr w:type="gramEnd"/>
      <w:r>
        <w:rPr>
          <w:rFonts w:ascii="Book Antiqua" w:hAnsi="Book Antiqua" w:cs="Arial"/>
        </w:rPr>
        <w:t xml:space="preserve"> a ‘selective’ reading of the country reports and that in fact there was evidence of gay men suffering serious harm.  </w:t>
      </w:r>
      <w:r w:rsidR="0044220A">
        <w:rPr>
          <w:rFonts w:ascii="Book Antiqua" w:hAnsi="Book Antiqua" w:cs="Arial"/>
        </w:rPr>
        <w:t xml:space="preserve">There was evidence which indicated that homosexuality is unlawful in Benin. In support of this ground </w:t>
      </w:r>
      <w:r>
        <w:rPr>
          <w:rFonts w:ascii="Book Antiqua" w:hAnsi="Book Antiqua" w:cs="Arial"/>
        </w:rPr>
        <w:t xml:space="preserve">Mr Chaudhry took me to several pages in the country background material that was before the First-tier Tribunal. </w:t>
      </w:r>
    </w:p>
    <w:p w:rsidR="0044220A" w:rsidRDefault="0044220A" w:rsidP="0044220A">
      <w:pPr>
        <w:pStyle w:val="ListParagraph"/>
        <w:rPr>
          <w:rFonts w:ascii="Book Antiqua" w:hAnsi="Book Antiqua" w:cs="Arial"/>
        </w:rPr>
      </w:pPr>
    </w:p>
    <w:p w:rsidR="0044220A" w:rsidRDefault="0044220A" w:rsidP="007661D0">
      <w:pPr>
        <w:numPr>
          <w:ilvl w:val="0"/>
          <w:numId w:val="1"/>
        </w:numPr>
        <w:tabs>
          <w:tab w:val="left" w:pos="567"/>
        </w:tabs>
        <w:ind w:left="567" w:right="567"/>
        <w:jc w:val="both"/>
        <w:rPr>
          <w:rFonts w:ascii="Book Antiqua" w:hAnsi="Book Antiqua" w:cs="Arial"/>
        </w:rPr>
      </w:pPr>
      <w:r>
        <w:rPr>
          <w:rFonts w:ascii="Book Antiqua" w:hAnsi="Book Antiqua" w:cs="Arial"/>
        </w:rPr>
        <w:t>Most of these references dealt with the question of legality. Unusually, it appears that there was some confusion as to whether homosexuality is in fact illegal.   There were documents before the Tribunal, from a variety of sources, which gave conflicting information on the point. A 2006 report by the US State Department had indicated that it was unlawful under the 1996 Penal Code; Amnesty International had reported the same. Then in 2009 ILGA clarified that this informatio</w:t>
      </w:r>
      <w:r w:rsidR="002574B4">
        <w:rPr>
          <w:rFonts w:ascii="Book Antiqua" w:hAnsi="Book Antiqua" w:cs="Arial"/>
        </w:rPr>
        <w:t xml:space="preserve">n was wrong, and had emerged from a mistranslation of a book published by the University of Benin: it was the Togolese Penal Code that had been under discussion therein, not that of Benin.  The US State Department now maintain that there are no laws criminalizing consensual homosexual sex, but the US Peace Corps continue to advise their staff that there are.  A screenshot in the bundle from the website </w:t>
      </w:r>
      <w:hyperlink r:id="rId9" w:history="1">
        <w:r w:rsidR="002574B4" w:rsidRPr="007A4D6B">
          <w:rPr>
            <w:rStyle w:val="Hyperlink"/>
            <w:rFonts w:ascii="Book Antiqua" w:hAnsi="Book Antiqua" w:cs="Arial"/>
          </w:rPr>
          <w:t>www.equaldex.com</w:t>
        </w:r>
      </w:hyperlink>
      <w:r w:rsidR="002574B4">
        <w:rPr>
          <w:rFonts w:ascii="Book Antiqua" w:hAnsi="Book Antiqua" w:cs="Arial"/>
        </w:rPr>
        <w:t xml:space="preserve"> simultaneously indicates that homosexuality is illegal, and that the age of consent is equal with that for heterosexual intercourse.  Mr Chaudhry is therefore correct to submit that the evidence did not all point one way. What is however also apparent is that the First-tier Tribunal understood that to be the case. At paragraphs 33-35 the determination summarises some of the evidence I have just touched upon, and at 56 squarely addresses the conflict. It concludes that in the absence of documented cases of prosecutions, it cannot be satisfied that homosexuality is illegal, or that gay men fa</w:t>
      </w:r>
      <w:r w:rsidR="00F06056">
        <w:rPr>
          <w:rFonts w:ascii="Book Antiqua" w:hAnsi="Book Antiqua" w:cs="Arial"/>
        </w:rPr>
        <w:t>ce legal sanction. It notes that the evidence of illegality arose from the mistranslation of the academic text.  I am satisfied that it was entitled to find, given the evidence, that the Appellant had not discharged the burden of proof on this matter.</w:t>
      </w:r>
    </w:p>
    <w:p w:rsidR="00F06056" w:rsidRDefault="00F06056" w:rsidP="00F06056">
      <w:pPr>
        <w:tabs>
          <w:tab w:val="left" w:pos="567"/>
        </w:tabs>
        <w:ind w:left="567" w:right="567"/>
        <w:jc w:val="both"/>
        <w:rPr>
          <w:rFonts w:ascii="Book Antiqua" w:hAnsi="Book Antiqua" w:cs="Arial"/>
        </w:rPr>
      </w:pPr>
    </w:p>
    <w:p w:rsidR="00B27885" w:rsidRDefault="00F06056" w:rsidP="00F06056">
      <w:pPr>
        <w:numPr>
          <w:ilvl w:val="0"/>
          <w:numId w:val="1"/>
        </w:numPr>
        <w:tabs>
          <w:tab w:val="left" w:pos="567"/>
        </w:tabs>
        <w:ind w:left="567" w:right="567"/>
        <w:jc w:val="both"/>
        <w:rPr>
          <w:rFonts w:ascii="Book Antiqua" w:hAnsi="Book Antiqua" w:cs="Arial"/>
        </w:rPr>
      </w:pPr>
      <w:r>
        <w:rPr>
          <w:rFonts w:ascii="Book Antiqua" w:hAnsi="Book Antiqua" w:cs="Arial"/>
        </w:rPr>
        <w:t xml:space="preserve">As to the objective material on risk of harm, Mr Chaudhry took me to two articles.  </w:t>
      </w:r>
      <w:r w:rsidR="00C36503" w:rsidRPr="00F06056">
        <w:rPr>
          <w:rFonts w:ascii="Book Antiqua" w:hAnsi="Book Antiqua" w:cs="Arial"/>
        </w:rPr>
        <w:t>The first was an article entitled “six members of Benin City gay gang arrested”. As Mr Bates pointed out, this article was of no relevance to this appeal since it related to Benin City in Nigeria</w:t>
      </w:r>
      <w:r w:rsidR="00F81847" w:rsidRPr="00F06056">
        <w:rPr>
          <w:rFonts w:ascii="Book Antiqua" w:hAnsi="Book Antiqua" w:cs="Arial"/>
        </w:rPr>
        <w:t xml:space="preserve"> [at page 57, bundle 2]</w:t>
      </w:r>
      <w:r w:rsidR="00C36503" w:rsidRPr="00F06056">
        <w:rPr>
          <w:rFonts w:ascii="Book Antiqua" w:hAnsi="Book Antiqua" w:cs="Arial"/>
        </w:rPr>
        <w:t xml:space="preserve">. </w:t>
      </w:r>
      <w:r w:rsidR="00F81847" w:rsidRPr="00F06056">
        <w:rPr>
          <w:rFonts w:ascii="Book Antiqua" w:hAnsi="Book Antiqua" w:cs="Arial"/>
        </w:rPr>
        <w:t>The second was an extract from a report by the Immigration and Refugee Board of Canada, dated the 28</w:t>
      </w:r>
      <w:r w:rsidR="00F81847" w:rsidRPr="00F06056">
        <w:rPr>
          <w:rFonts w:ascii="Book Antiqua" w:hAnsi="Book Antiqua" w:cs="Arial"/>
          <w:vertAlign w:val="superscript"/>
        </w:rPr>
        <w:t>th</w:t>
      </w:r>
      <w:r w:rsidR="00F81847" w:rsidRPr="00F06056">
        <w:rPr>
          <w:rFonts w:ascii="Book Antiqua" w:hAnsi="Book Antiqua" w:cs="Arial"/>
        </w:rPr>
        <w:t xml:space="preserve"> July 2015. Mr Chaudhry pointed to a passage which read that the president of the </w:t>
      </w:r>
      <w:proofErr w:type="spellStart"/>
      <w:r w:rsidR="00F81847" w:rsidRPr="00F06056">
        <w:rPr>
          <w:rFonts w:ascii="Book Antiqua" w:hAnsi="Book Antiqua" w:cs="Arial"/>
        </w:rPr>
        <w:t>Hirondelle</w:t>
      </w:r>
      <w:proofErr w:type="spellEnd"/>
      <w:r w:rsidR="00F81847" w:rsidRPr="00F06056">
        <w:rPr>
          <w:rFonts w:ascii="Book Antiqua" w:hAnsi="Book Antiqua" w:cs="Arial"/>
        </w:rPr>
        <w:t xml:space="preserve"> Club, LGBT organisation that meets every Monday in Cotonou, had written an online column in which he stated that he had met individuals who </w:t>
      </w:r>
      <w:r w:rsidR="00F81847" w:rsidRPr="00F06056">
        <w:rPr>
          <w:rFonts w:ascii="Book Antiqua" w:hAnsi="Book Antiqua" w:cs="Arial"/>
        </w:rPr>
        <w:lastRenderedPageBreak/>
        <w:t xml:space="preserve">had been subject to assault and who had been driven out of their homes.  In extreme situations he had known individuals to take their own lives over their sexuality [at page 41, bundle 2].   </w:t>
      </w:r>
      <w:r>
        <w:rPr>
          <w:rFonts w:ascii="Book Antiqua" w:hAnsi="Book Antiqua" w:cs="Arial"/>
        </w:rPr>
        <w:t>Again, I am unable to conclude that the Tribunal ignored that evidence. It is apparent from the determination that the Tribunal expressly had regard to th</w:t>
      </w:r>
      <w:r w:rsidR="00D80B5A">
        <w:rPr>
          <w:rFonts w:ascii="Book Antiqua" w:hAnsi="Book Antiqua" w:cs="Arial"/>
        </w:rPr>
        <w:t xml:space="preserve">at passage: see paragraph 56. </w:t>
      </w:r>
      <w:r w:rsidR="00FE1DCF">
        <w:rPr>
          <w:rFonts w:ascii="Book Antiqua" w:hAnsi="Book Antiqua" w:cs="Arial"/>
        </w:rPr>
        <w:t xml:space="preserve">  What the Tribunal did not do was set out the passage in its entirety, to include the reference to assault and suicide. </w:t>
      </w:r>
    </w:p>
    <w:p w:rsidR="00B27885" w:rsidRDefault="00B27885" w:rsidP="00B27885">
      <w:pPr>
        <w:tabs>
          <w:tab w:val="left" w:pos="567"/>
        </w:tabs>
        <w:ind w:left="567" w:right="567"/>
        <w:jc w:val="both"/>
        <w:rPr>
          <w:rFonts w:ascii="Book Antiqua" w:hAnsi="Book Antiqua" w:cs="Arial"/>
        </w:rPr>
      </w:pPr>
    </w:p>
    <w:p w:rsidR="00B27885" w:rsidRDefault="00B27885" w:rsidP="00F06056">
      <w:pPr>
        <w:numPr>
          <w:ilvl w:val="0"/>
          <w:numId w:val="1"/>
        </w:numPr>
        <w:tabs>
          <w:tab w:val="left" w:pos="567"/>
        </w:tabs>
        <w:ind w:left="567" w:right="567"/>
        <w:jc w:val="both"/>
        <w:rPr>
          <w:rFonts w:ascii="Book Antiqua" w:hAnsi="Book Antiqua" w:cs="Arial"/>
        </w:rPr>
      </w:pPr>
      <w:r>
        <w:rPr>
          <w:rFonts w:ascii="Book Antiqua" w:hAnsi="Book Antiqua" w:cs="Arial"/>
        </w:rPr>
        <w:t xml:space="preserve">The question is therefore whether the Tribunal’s decision could have been different, had it </w:t>
      </w:r>
      <w:proofErr w:type="gramStart"/>
      <w:r>
        <w:rPr>
          <w:rFonts w:ascii="Book Antiqua" w:hAnsi="Book Antiqua" w:cs="Arial"/>
        </w:rPr>
        <w:t>taken into account</w:t>
      </w:r>
      <w:proofErr w:type="gramEnd"/>
      <w:r>
        <w:rPr>
          <w:rFonts w:ascii="Book Antiqua" w:hAnsi="Book Antiqua" w:cs="Arial"/>
        </w:rPr>
        <w:t xml:space="preserve"> the Appellant’s own evidence about the discrimination he suffered, and the column written by the (unnamed) President of the </w:t>
      </w:r>
      <w:proofErr w:type="spellStart"/>
      <w:r>
        <w:rPr>
          <w:rFonts w:ascii="Book Antiqua" w:hAnsi="Book Antiqua" w:cs="Arial"/>
        </w:rPr>
        <w:t>Hirondelle</w:t>
      </w:r>
      <w:proofErr w:type="spellEnd"/>
      <w:r>
        <w:rPr>
          <w:rFonts w:ascii="Book Antiqua" w:hAnsi="Book Antiqua" w:cs="Arial"/>
        </w:rPr>
        <w:t xml:space="preserve"> Club.   Looking at the decision, and the evidence</w:t>
      </w:r>
      <w:proofErr w:type="gramStart"/>
      <w:r>
        <w:rPr>
          <w:rFonts w:ascii="Book Antiqua" w:hAnsi="Book Antiqua" w:cs="Arial"/>
        </w:rPr>
        <w:t>, as a whole, I</w:t>
      </w:r>
      <w:proofErr w:type="gramEnd"/>
      <w:r>
        <w:rPr>
          <w:rFonts w:ascii="Book Antiqua" w:hAnsi="Book Antiqua" w:cs="Arial"/>
        </w:rPr>
        <w:t xml:space="preserve"> am not satisfied that this is the case. The Tribunal had rejected, with cogent reasoning, the three centrepiece incidents of the Appellant’s account. It did not accept that the Appellant had been expelled from school for homosexual activity, that his aunt had discovered him having sex with his cousin, or that five men had been sent to threaten and assault him by a partner’s father. What the Tribunal was left wit</w:t>
      </w:r>
      <w:r w:rsidR="00465DAA">
        <w:rPr>
          <w:rFonts w:ascii="Book Antiqua" w:hAnsi="Book Antiqua" w:cs="Arial"/>
        </w:rPr>
        <w:t xml:space="preserve">h was its </w:t>
      </w:r>
      <w:r>
        <w:rPr>
          <w:rFonts w:ascii="Book Antiqua" w:hAnsi="Book Antiqua" w:cs="Arial"/>
        </w:rPr>
        <w:t>finding that the Appellant is a gay man who on his own evidence spent at least 12 years living in his home country after he realised that he was gay, 12 years in which he managed to conduct online and real-world relationships. The Tribunal set that evidence in the context provided by the country background material. That material indicated that whilst gay men do experience discrimination, and in some instances violence</w:t>
      </w:r>
      <w:r w:rsidR="00465DAA">
        <w:rPr>
          <w:rFonts w:ascii="Book Antiqua" w:hAnsi="Book Antiqua" w:cs="Arial"/>
        </w:rPr>
        <w:t xml:space="preserve">, there is a growing LGBT community, one that is active in the Appellant’s home city, there are opportunities for gay men to socialise in known venues. The Appellant felt confident enough (by his own account) to approach the police and ask for help. </w:t>
      </w:r>
      <w:proofErr w:type="gramStart"/>
      <w:r w:rsidR="00465DAA">
        <w:rPr>
          <w:rFonts w:ascii="Book Antiqua" w:hAnsi="Book Antiqua" w:cs="Arial"/>
        </w:rPr>
        <w:t>On the basis of</w:t>
      </w:r>
      <w:proofErr w:type="gramEnd"/>
      <w:r w:rsidR="00465DAA">
        <w:rPr>
          <w:rFonts w:ascii="Book Antiqua" w:hAnsi="Book Antiqua" w:cs="Arial"/>
        </w:rPr>
        <w:t xml:space="preserve"> that evidence, the Tribunal was entitled to reach the conclusions that it did</w:t>
      </w:r>
      <w:r w:rsidR="00FF4516">
        <w:rPr>
          <w:rFonts w:ascii="Book Antiqua" w:hAnsi="Book Antiqua" w:cs="Arial"/>
        </w:rPr>
        <w:t xml:space="preserve">. </w:t>
      </w:r>
      <w:r w:rsidR="00465DAA">
        <w:rPr>
          <w:rFonts w:ascii="Book Antiqua" w:hAnsi="Book Antiqua" w:cs="Arial"/>
        </w:rPr>
        <w:t xml:space="preserve">I cannot be satisfied that the </w:t>
      </w:r>
      <w:r w:rsidR="00465DAA" w:rsidRPr="00FF4516">
        <w:rPr>
          <w:rFonts w:ascii="Book Antiqua" w:hAnsi="Book Antiqua" w:cs="Arial"/>
          <w:u w:val="single"/>
        </w:rPr>
        <w:t>HJ</w:t>
      </w:r>
      <w:r w:rsidR="00465DAA">
        <w:rPr>
          <w:rFonts w:ascii="Book Antiqua" w:hAnsi="Book Antiqua" w:cs="Arial"/>
        </w:rPr>
        <w:t xml:space="preserve"> test could have been made out had it weighed in the balance the evidence identified in the grounds, and omitted from the reasoning.</w:t>
      </w:r>
    </w:p>
    <w:p w:rsidR="00B27885" w:rsidRDefault="00B27885" w:rsidP="00B27885">
      <w:pPr>
        <w:pStyle w:val="ListParagraph"/>
        <w:rPr>
          <w:rFonts w:ascii="Book Antiqua" w:hAnsi="Book Antiqua" w:cs="Arial"/>
        </w:rPr>
      </w:pPr>
    </w:p>
    <w:p w:rsidR="00FF4516" w:rsidRDefault="00FF4516" w:rsidP="0075534F">
      <w:pPr>
        <w:tabs>
          <w:tab w:val="left" w:pos="567"/>
        </w:tabs>
        <w:ind w:left="567" w:right="567"/>
        <w:jc w:val="both"/>
        <w:rPr>
          <w:rFonts w:ascii="Book Antiqua" w:hAnsi="Book Antiqua" w:cs="Arial"/>
          <w:b/>
        </w:rPr>
      </w:pPr>
    </w:p>
    <w:p w:rsidR="0075534F" w:rsidRPr="00FF4516" w:rsidRDefault="0075534F" w:rsidP="0075534F">
      <w:pPr>
        <w:tabs>
          <w:tab w:val="left" w:pos="567"/>
        </w:tabs>
        <w:ind w:left="567" w:right="567"/>
        <w:jc w:val="both"/>
        <w:rPr>
          <w:rFonts w:ascii="Book Antiqua" w:hAnsi="Book Antiqua" w:cs="Arial"/>
          <w:b/>
        </w:rPr>
      </w:pPr>
      <w:r w:rsidRPr="00FF4516">
        <w:rPr>
          <w:rFonts w:ascii="Book Antiqua" w:hAnsi="Book Antiqua" w:cs="Arial"/>
          <w:b/>
        </w:rPr>
        <w:t xml:space="preserve">Decisions </w:t>
      </w:r>
    </w:p>
    <w:p w:rsidR="006D58D4" w:rsidRPr="00FF4516" w:rsidRDefault="006D58D4" w:rsidP="006D58D4">
      <w:pPr>
        <w:tabs>
          <w:tab w:val="left" w:pos="567"/>
        </w:tabs>
        <w:ind w:left="567" w:right="567"/>
        <w:jc w:val="both"/>
        <w:rPr>
          <w:rFonts w:ascii="Book Antiqua" w:hAnsi="Book Antiqua" w:cs="Arial"/>
        </w:rPr>
      </w:pPr>
    </w:p>
    <w:p w:rsidR="006D58D4" w:rsidRPr="00FF4516" w:rsidRDefault="00B93485" w:rsidP="002A6D67">
      <w:pPr>
        <w:numPr>
          <w:ilvl w:val="0"/>
          <w:numId w:val="1"/>
        </w:numPr>
        <w:tabs>
          <w:tab w:val="left" w:pos="567"/>
        </w:tabs>
        <w:ind w:left="567" w:right="567"/>
        <w:jc w:val="both"/>
        <w:rPr>
          <w:rFonts w:ascii="Book Antiqua" w:hAnsi="Book Antiqua" w:cs="Arial"/>
        </w:rPr>
      </w:pPr>
      <w:r w:rsidRPr="00FF4516">
        <w:rPr>
          <w:rFonts w:ascii="Book Antiqua" w:hAnsi="Book Antiqua" w:cs="Arial"/>
        </w:rPr>
        <w:t xml:space="preserve">The </w:t>
      </w:r>
      <w:r w:rsidR="00FE6E99" w:rsidRPr="00FF4516">
        <w:rPr>
          <w:rFonts w:ascii="Book Antiqua" w:hAnsi="Book Antiqua" w:cs="Arial"/>
        </w:rPr>
        <w:t xml:space="preserve">protection </w:t>
      </w:r>
      <w:r w:rsidRPr="00FF4516">
        <w:rPr>
          <w:rFonts w:ascii="Book Antiqua" w:hAnsi="Book Antiqua" w:cs="Arial"/>
        </w:rPr>
        <w:t>decision of th</w:t>
      </w:r>
      <w:r w:rsidR="00FE6E99" w:rsidRPr="00FF4516">
        <w:rPr>
          <w:rFonts w:ascii="Book Antiqua" w:hAnsi="Book Antiqua" w:cs="Arial"/>
        </w:rPr>
        <w:t>e First-tier Tribunal contains no</w:t>
      </w:r>
      <w:r w:rsidRPr="00FF4516">
        <w:rPr>
          <w:rFonts w:ascii="Book Antiqua" w:hAnsi="Book Antiqua" w:cs="Arial"/>
        </w:rPr>
        <w:t xml:space="preserve"> error of law</w:t>
      </w:r>
      <w:r w:rsidR="00FF4516" w:rsidRPr="00FF4516">
        <w:rPr>
          <w:rFonts w:ascii="Book Antiqua" w:hAnsi="Book Antiqua" w:cs="Arial"/>
        </w:rPr>
        <w:t xml:space="preserve"> and it is upheld.</w:t>
      </w:r>
    </w:p>
    <w:p w:rsidR="00FF4516" w:rsidRPr="00FF4516" w:rsidRDefault="00FF4516" w:rsidP="00FF4516">
      <w:pPr>
        <w:tabs>
          <w:tab w:val="left" w:pos="567"/>
        </w:tabs>
        <w:ind w:left="567" w:right="567"/>
        <w:jc w:val="both"/>
        <w:rPr>
          <w:rFonts w:ascii="Book Antiqua" w:hAnsi="Book Antiqua" w:cs="Arial"/>
        </w:rPr>
      </w:pPr>
    </w:p>
    <w:p w:rsidR="006D58D4" w:rsidRPr="006D58D4" w:rsidRDefault="006D58D4" w:rsidP="006D58D4">
      <w:pPr>
        <w:numPr>
          <w:ilvl w:val="0"/>
          <w:numId w:val="1"/>
        </w:numPr>
        <w:tabs>
          <w:tab w:val="left" w:pos="567"/>
        </w:tabs>
        <w:ind w:left="567" w:right="567"/>
        <w:jc w:val="both"/>
        <w:rPr>
          <w:rFonts w:ascii="Book Antiqua" w:hAnsi="Book Antiqua" w:cs="Arial"/>
        </w:rPr>
      </w:pPr>
      <w:r>
        <w:rPr>
          <w:rFonts w:ascii="Book Antiqua" w:hAnsi="Book Antiqua" w:cs="Arial"/>
        </w:rPr>
        <w:t>There is an order for anonymity.</w:t>
      </w:r>
    </w:p>
    <w:p w:rsidR="00F62C83" w:rsidRDefault="00F62C83" w:rsidP="00F62C83">
      <w:pPr>
        <w:tabs>
          <w:tab w:val="left" w:pos="567"/>
        </w:tabs>
        <w:ind w:left="567" w:right="567"/>
        <w:jc w:val="both"/>
        <w:rPr>
          <w:rFonts w:ascii="Book Antiqua" w:hAnsi="Book Antiqua" w:cs="Arial"/>
        </w:rPr>
      </w:pPr>
    </w:p>
    <w:p w:rsidR="00F62C83" w:rsidRPr="00F62C83" w:rsidRDefault="003B6D0E" w:rsidP="00F62C83">
      <w:pPr>
        <w:tabs>
          <w:tab w:val="left" w:pos="567"/>
        </w:tabs>
        <w:ind w:left="567" w:right="567"/>
        <w:jc w:val="both"/>
        <w:rPr>
          <w:rFonts w:ascii="Book Antiqua" w:hAnsi="Book Antiqua" w:cs="Arial"/>
          <w:highlight w:val="yellow"/>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52444A" w:rsidRPr="000F5243">
        <w:rPr>
          <w:noProof/>
        </w:rPr>
        <w:drawing>
          <wp:inline distT="0" distB="0" distL="0" distR="0">
            <wp:extent cx="1533525" cy="8191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3525" cy="819150"/>
                    </a:xfrm>
                    <a:prstGeom prst="rect">
                      <a:avLst/>
                    </a:prstGeom>
                    <a:noFill/>
                    <a:ln>
                      <a:noFill/>
                    </a:ln>
                  </pic:spPr>
                </pic:pic>
              </a:graphicData>
            </a:graphic>
          </wp:inline>
        </w:drawing>
      </w:r>
    </w:p>
    <w:p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rsidR="00135F51" w:rsidRPr="008C6613"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F8447E">
        <w:rPr>
          <w:rFonts w:ascii="Book Antiqua" w:hAnsi="Book Antiqua" w:cs="Arial"/>
        </w:rPr>
        <w:t xml:space="preserve">   </w:t>
      </w:r>
      <w:r w:rsidR="00F62C83">
        <w:rPr>
          <w:rFonts w:ascii="Book Antiqua" w:hAnsi="Book Antiqua" w:cs="Arial"/>
        </w:rPr>
        <w:t xml:space="preserve"> </w:t>
      </w:r>
      <w:r w:rsidR="00AA3BE8">
        <w:rPr>
          <w:rFonts w:ascii="Book Antiqua" w:hAnsi="Book Antiqua" w:cs="Arial"/>
        </w:rPr>
        <w:t xml:space="preserve"> </w:t>
      </w:r>
      <w:r w:rsidR="00A10FB9">
        <w:rPr>
          <w:rFonts w:ascii="Book Antiqua" w:hAnsi="Book Antiqua" w:cs="Arial"/>
        </w:rPr>
        <w:t xml:space="preserve">    </w:t>
      </w:r>
      <w:r w:rsidR="00AA3BE8">
        <w:rPr>
          <w:rFonts w:ascii="Book Antiqua" w:hAnsi="Book Antiqua" w:cs="Arial"/>
        </w:rPr>
        <w:t xml:space="preserve"> </w:t>
      </w:r>
      <w:r w:rsidR="00135F51">
        <w:rPr>
          <w:rFonts w:ascii="Book Antiqua" w:hAnsi="Book Antiqua" w:cs="Arial"/>
        </w:rPr>
        <w:t xml:space="preserve">         </w:t>
      </w:r>
      <w:r w:rsidR="00F66F55">
        <w:rPr>
          <w:rFonts w:ascii="Book Antiqua" w:hAnsi="Book Antiqua" w:cs="Arial"/>
        </w:rPr>
        <w:t xml:space="preserve">   </w:t>
      </w:r>
      <w:r w:rsidR="00135F51">
        <w:rPr>
          <w:rFonts w:ascii="Book Antiqua" w:hAnsi="Book Antiqua" w:cs="Arial"/>
        </w:rPr>
        <w:t xml:space="preserve">  </w:t>
      </w:r>
      <w:r w:rsidR="00C75051">
        <w:rPr>
          <w:rFonts w:ascii="Book Antiqua" w:hAnsi="Book Antiqua" w:cs="Arial"/>
        </w:rPr>
        <w:t xml:space="preserve">    </w:t>
      </w:r>
      <w:r w:rsidR="00C55B4B">
        <w:rPr>
          <w:rFonts w:ascii="Book Antiqua" w:hAnsi="Book Antiqua" w:cs="Arial"/>
        </w:rPr>
        <w:t>24</w:t>
      </w:r>
      <w:r w:rsidR="00C55B4B" w:rsidRPr="00C55B4B">
        <w:rPr>
          <w:rFonts w:ascii="Book Antiqua" w:hAnsi="Book Antiqua" w:cs="Arial"/>
          <w:vertAlign w:val="superscript"/>
        </w:rPr>
        <w:t>th</w:t>
      </w:r>
      <w:r w:rsidR="00FF4516">
        <w:rPr>
          <w:rFonts w:ascii="Book Antiqua" w:hAnsi="Book Antiqua" w:cs="Arial"/>
        </w:rPr>
        <w:t xml:space="preserve"> June</w:t>
      </w:r>
      <w:r w:rsidR="00846230">
        <w:rPr>
          <w:rFonts w:ascii="Book Antiqua" w:hAnsi="Book Antiqua" w:cs="Arial"/>
        </w:rPr>
        <w:t xml:space="preserve"> 2018</w:t>
      </w:r>
      <w:r w:rsidR="00703C27">
        <w:rPr>
          <w:rFonts w:ascii="Book Antiqua" w:hAnsi="Book Antiqua" w:cs="Arial"/>
        </w:rPr>
        <w:t xml:space="preserve"> </w:t>
      </w:r>
    </w:p>
    <w:sectPr w:rsidR="00135F51" w:rsidRPr="008C6613" w:rsidSect="00D5080E">
      <w:headerReference w:type="default" r:id="rId11"/>
      <w:footerReference w:type="default" r:id="rId12"/>
      <w:headerReference w:type="first" r:id="rId13"/>
      <w:footerReference w:type="first" r:id="rId14"/>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411" w:rsidRDefault="00435411">
      <w:r>
        <w:separator/>
      </w:r>
    </w:p>
  </w:endnote>
  <w:endnote w:type="continuationSeparator" w:id="0">
    <w:p w:rsidR="00435411" w:rsidRDefault="00435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Lucida Grande">
    <w:altName w:val="Arial Unicode MS"/>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4E295B" w:rsidRDefault="00AD620F" w:rsidP="00256F9B">
    <w:pPr>
      <w:pStyle w:val="Footer"/>
      <w:jc w:val="center"/>
      <w:rPr>
        <w:rFonts w:ascii="Book Antiqua" w:hAnsi="Book Antiqua" w:cs="Arial"/>
      </w:rPr>
    </w:pPr>
    <w:r w:rsidRPr="004E295B">
      <w:rPr>
        <w:rStyle w:val="PageNumber"/>
        <w:rFonts w:ascii="Book Antiqua" w:hAnsi="Book Antiqua" w:cs="Arial"/>
      </w:rPr>
      <w:fldChar w:fldCharType="begin"/>
    </w:r>
    <w:r w:rsidRPr="004E295B">
      <w:rPr>
        <w:rStyle w:val="PageNumber"/>
        <w:rFonts w:ascii="Book Antiqua" w:hAnsi="Book Antiqua" w:cs="Arial"/>
      </w:rPr>
      <w:instrText xml:space="preserve"> PAGE </w:instrText>
    </w:r>
    <w:r w:rsidRPr="004E295B">
      <w:rPr>
        <w:rStyle w:val="PageNumber"/>
        <w:rFonts w:ascii="Book Antiqua" w:hAnsi="Book Antiqua" w:cs="Arial"/>
      </w:rPr>
      <w:fldChar w:fldCharType="separate"/>
    </w:r>
    <w:r w:rsidR="007C0E2A">
      <w:rPr>
        <w:rStyle w:val="PageNumber"/>
        <w:rFonts w:ascii="Book Antiqua" w:hAnsi="Book Antiqua" w:cs="Arial"/>
        <w:noProof/>
      </w:rPr>
      <w:t>6</w:t>
    </w:r>
    <w:r w:rsidRPr="004E295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4E295B" w:rsidRDefault="00AD620F" w:rsidP="00256F9B">
    <w:pPr>
      <w:jc w:val="center"/>
      <w:rPr>
        <w:rFonts w:ascii="Book Antiqua" w:hAnsi="Book Antiqua" w:cs="Arial"/>
        <w:b/>
      </w:rPr>
    </w:pPr>
    <w:r w:rsidRPr="004E295B">
      <w:rPr>
        <w:rFonts w:ascii="Book Antiqua" w:hAnsi="Book Antiqua" w:cs="Arial"/>
        <w:b/>
        <w:spacing w:val="-6"/>
      </w:rPr>
      <w:t>©</w:t>
    </w:r>
    <w:r w:rsidR="000815D1" w:rsidRPr="004E295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411" w:rsidRDefault="00435411">
      <w:r>
        <w:separator/>
      </w:r>
    </w:p>
  </w:footnote>
  <w:footnote w:type="continuationSeparator" w:id="0">
    <w:p w:rsidR="00435411" w:rsidRDefault="00435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4E295B" w:rsidRDefault="00E023B5" w:rsidP="00DC11F5">
    <w:pPr>
      <w:tabs>
        <w:tab w:val="right" w:pos="9720"/>
      </w:tabs>
      <w:ind w:right="-82"/>
      <w:rPr>
        <w:rFonts w:ascii="Book Antiqua" w:hAnsi="Book Antiqua"/>
        <w:sz w:val="16"/>
        <w:szCs w:val="16"/>
      </w:rPr>
    </w:pPr>
    <w:r>
      <w:rPr>
        <w:rFonts w:ascii="Book Antiqua" w:hAnsi="Book Antiqua" w:cs="Arial"/>
        <w:color w:val="000000"/>
        <w:sz w:val="20"/>
        <w:szCs w:val="20"/>
      </w:rPr>
      <w:tab/>
    </w:r>
    <w:r w:rsidR="004E295B" w:rsidRPr="004E295B">
      <w:rPr>
        <w:rFonts w:ascii="Book Antiqua" w:hAnsi="Book Antiqua" w:cs="Arial"/>
        <w:color w:val="000000"/>
        <w:sz w:val="16"/>
        <w:szCs w:val="16"/>
      </w:rPr>
      <w:t>Appeal Number</w:t>
    </w:r>
    <w:r w:rsidR="004E295B">
      <w:rPr>
        <w:rFonts w:ascii="Book Antiqua" w:hAnsi="Book Antiqua" w:cs="Arial"/>
        <w:color w:val="000000"/>
        <w:sz w:val="20"/>
        <w:szCs w:val="20"/>
      </w:rPr>
      <w:t xml:space="preserve">: </w:t>
    </w:r>
    <w:r w:rsidR="00DC11F5" w:rsidRPr="004E295B">
      <w:rPr>
        <w:rFonts w:ascii="Book Antiqua" w:hAnsi="Book Antiqua" w:cs="Arial"/>
        <w:color w:val="000000"/>
        <w:sz w:val="16"/>
        <w:szCs w:val="16"/>
      </w:rPr>
      <w:t>PA/05528/2017</w:t>
    </w:r>
  </w:p>
  <w:p w:rsidR="00AD620F" w:rsidRPr="00850A1F" w:rsidRDefault="00AD620F" w:rsidP="00850A1F">
    <w:pPr>
      <w:pStyle w:val="Header"/>
      <w:jc w:val="right"/>
      <w:rPr>
        <w:rFonts w:ascii="Book Antiqua" w:hAnsi="Book Antiqua"/>
        <w:sz w:val="16"/>
        <w:szCs w:val="16"/>
      </w:rPr>
    </w:pPr>
  </w:p>
  <w:p w:rsidR="00AD620F" w:rsidRPr="003C5CE5" w:rsidRDefault="00AD620F"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FE1BCE" w:rsidRDefault="00AD620F"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AD620F" w:rsidRPr="00D25E1A" w:rsidRDefault="00AD620F"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2"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A704D"/>
    <w:multiLevelType w:val="hybridMultilevel"/>
    <w:tmpl w:val="F376806E"/>
    <w:lvl w:ilvl="0" w:tplc="1802513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20A05D7D"/>
    <w:multiLevelType w:val="hybridMultilevel"/>
    <w:tmpl w:val="BA6C79D8"/>
    <w:lvl w:ilvl="0" w:tplc="A68CF91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7"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0"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1" w15:restartNumberingAfterBreak="0">
    <w:nsid w:val="3B77776E"/>
    <w:multiLevelType w:val="hybridMultilevel"/>
    <w:tmpl w:val="AB0A3BAC"/>
    <w:lvl w:ilvl="0" w:tplc="F09078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2"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3"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72586"/>
    <w:multiLevelType w:val="hybridMultilevel"/>
    <w:tmpl w:val="45621F84"/>
    <w:lvl w:ilvl="0" w:tplc="ECB46FE0">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5" w15:restartNumberingAfterBreak="0">
    <w:nsid w:val="534C4AE9"/>
    <w:multiLevelType w:val="hybridMultilevel"/>
    <w:tmpl w:val="1F0800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DF2B70"/>
    <w:multiLevelType w:val="hybridMultilevel"/>
    <w:tmpl w:val="99FE482E"/>
    <w:lvl w:ilvl="0" w:tplc="163A2DC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8"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0" w15:restartNumberingAfterBreak="0">
    <w:nsid w:val="6AFF000E"/>
    <w:multiLevelType w:val="multilevel"/>
    <w:tmpl w:val="9C6EBA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2" w15:restartNumberingAfterBreak="0">
    <w:nsid w:val="7B9B36BF"/>
    <w:multiLevelType w:val="hybridMultilevel"/>
    <w:tmpl w:val="CBE8F682"/>
    <w:lvl w:ilvl="0" w:tplc="8BD4C7B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num w:numId="1">
    <w:abstractNumId w:val="8"/>
  </w:num>
  <w:num w:numId="2">
    <w:abstractNumId w:val="19"/>
  </w:num>
  <w:num w:numId="3">
    <w:abstractNumId w:val="9"/>
  </w:num>
  <w:num w:numId="4">
    <w:abstractNumId w:val="12"/>
  </w:num>
  <w:num w:numId="5">
    <w:abstractNumId w:val="7"/>
  </w:num>
  <w:num w:numId="6">
    <w:abstractNumId w:val="23"/>
  </w:num>
  <w:num w:numId="7">
    <w:abstractNumId w:val="0"/>
  </w:num>
  <w:num w:numId="8">
    <w:abstractNumId w:val="3"/>
  </w:num>
  <w:num w:numId="9">
    <w:abstractNumId w:val="16"/>
  </w:num>
  <w:num w:numId="10">
    <w:abstractNumId w:val="18"/>
  </w:num>
  <w:num w:numId="11">
    <w:abstractNumId w:val="13"/>
  </w:num>
  <w:num w:numId="12">
    <w:abstractNumId w:val="21"/>
  </w:num>
  <w:num w:numId="13">
    <w:abstractNumId w:val="2"/>
  </w:num>
  <w:num w:numId="14">
    <w:abstractNumId w:val="10"/>
  </w:num>
  <w:num w:numId="15">
    <w:abstractNumId w:val="6"/>
  </w:num>
  <w:num w:numId="16">
    <w:abstractNumId w:val="1"/>
  </w:num>
  <w:num w:numId="17">
    <w:abstractNumId w:val="15"/>
  </w:num>
  <w:num w:numId="18">
    <w:abstractNumId w:val="11"/>
  </w:num>
  <w:num w:numId="19">
    <w:abstractNumId w:val="17"/>
  </w:num>
  <w:num w:numId="20">
    <w:abstractNumId w:val="20"/>
  </w:num>
  <w:num w:numId="21">
    <w:abstractNumId w:val="4"/>
  </w:num>
  <w:num w:numId="22">
    <w:abstractNumId w:val="14"/>
  </w:num>
  <w:num w:numId="23">
    <w:abstractNumId w:val="5"/>
  </w:num>
  <w:num w:numId="24">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895"/>
    <w:rsid w:val="00002B9F"/>
    <w:rsid w:val="000047C3"/>
    <w:rsid w:val="00010F16"/>
    <w:rsid w:val="0001157F"/>
    <w:rsid w:val="0001581F"/>
    <w:rsid w:val="0001755E"/>
    <w:rsid w:val="00026010"/>
    <w:rsid w:val="000303CD"/>
    <w:rsid w:val="000306E4"/>
    <w:rsid w:val="00030A29"/>
    <w:rsid w:val="000314AA"/>
    <w:rsid w:val="00031577"/>
    <w:rsid w:val="00031EE3"/>
    <w:rsid w:val="00033D1B"/>
    <w:rsid w:val="000359E1"/>
    <w:rsid w:val="000367D1"/>
    <w:rsid w:val="000456D9"/>
    <w:rsid w:val="0005243B"/>
    <w:rsid w:val="0005475F"/>
    <w:rsid w:val="000573C1"/>
    <w:rsid w:val="000603B5"/>
    <w:rsid w:val="00061881"/>
    <w:rsid w:val="00061A71"/>
    <w:rsid w:val="00061DAB"/>
    <w:rsid w:val="00062F11"/>
    <w:rsid w:val="00063897"/>
    <w:rsid w:val="000709A6"/>
    <w:rsid w:val="000724F8"/>
    <w:rsid w:val="00074353"/>
    <w:rsid w:val="00077465"/>
    <w:rsid w:val="00080881"/>
    <w:rsid w:val="0008143E"/>
    <w:rsid w:val="000815D1"/>
    <w:rsid w:val="000826B0"/>
    <w:rsid w:val="000828AC"/>
    <w:rsid w:val="000840CD"/>
    <w:rsid w:val="00085742"/>
    <w:rsid w:val="00090CF9"/>
    <w:rsid w:val="0009125E"/>
    <w:rsid w:val="00094C92"/>
    <w:rsid w:val="00095218"/>
    <w:rsid w:val="0009524D"/>
    <w:rsid w:val="00095273"/>
    <w:rsid w:val="000A0053"/>
    <w:rsid w:val="000A227E"/>
    <w:rsid w:val="000A4723"/>
    <w:rsid w:val="000A48CD"/>
    <w:rsid w:val="000B62F5"/>
    <w:rsid w:val="000C2A47"/>
    <w:rsid w:val="000C4611"/>
    <w:rsid w:val="000C4C40"/>
    <w:rsid w:val="000E1274"/>
    <w:rsid w:val="000E2DE4"/>
    <w:rsid w:val="000F53DF"/>
    <w:rsid w:val="001072D3"/>
    <w:rsid w:val="00107AFB"/>
    <w:rsid w:val="00107DD5"/>
    <w:rsid w:val="0011297E"/>
    <w:rsid w:val="00114635"/>
    <w:rsid w:val="00114FC1"/>
    <w:rsid w:val="00115B62"/>
    <w:rsid w:val="001175BF"/>
    <w:rsid w:val="00120ACC"/>
    <w:rsid w:val="00121965"/>
    <w:rsid w:val="00125F39"/>
    <w:rsid w:val="00127055"/>
    <w:rsid w:val="001343F7"/>
    <w:rsid w:val="00135F51"/>
    <w:rsid w:val="00137136"/>
    <w:rsid w:val="0014562B"/>
    <w:rsid w:val="001463BD"/>
    <w:rsid w:val="0014764F"/>
    <w:rsid w:val="00150B50"/>
    <w:rsid w:val="001515D9"/>
    <w:rsid w:val="001526BE"/>
    <w:rsid w:val="0015610E"/>
    <w:rsid w:val="001736F9"/>
    <w:rsid w:val="00176367"/>
    <w:rsid w:val="0018031B"/>
    <w:rsid w:val="001835EF"/>
    <w:rsid w:val="00184C72"/>
    <w:rsid w:val="00187C19"/>
    <w:rsid w:val="00195782"/>
    <w:rsid w:val="0019638F"/>
    <w:rsid w:val="001A4307"/>
    <w:rsid w:val="001A52DE"/>
    <w:rsid w:val="001B026B"/>
    <w:rsid w:val="001B7FB0"/>
    <w:rsid w:val="001C02C2"/>
    <w:rsid w:val="001C1BBC"/>
    <w:rsid w:val="001D0A72"/>
    <w:rsid w:val="001D1E88"/>
    <w:rsid w:val="001E0004"/>
    <w:rsid w:val="001E2BF6"/>
    <w:rsid w:val="001E4A2B"/>
    <w:rsid w:val="001F0771"/>
    <w:rsid w:val="001F1C8A"/>
    <w:rsid w:val="001F2745"/>
    <w:rsid w:val="001F2D22"/>
    <w:rsid w:val="001F5A49"/>
    <w:rsid w:val="00200B97"/>
    <w:rsid w:val="00201EDB"/>
    <w:rsid w:val="00202103"/>
    <w:rsid w:val="00206BBA"/>
    <w:rsid w:val="0021355E"/>
    <w:rsid w:val="0021422E"/>
    <w:rsid w:val="0021520B"/>
    <w:rsid w:val="00226C8A"/>
    <w:rsid w:val="00230487"/>
    <w:rsid w:val="00233627"/>
    <w:rsid w:val="00234616"/>
    <w:rsid w:val="0023493B"/>
    <w:rsid w:val="00237E82"/>
    <w:rsid w:val="002438F7"/>
    <w:rsid w:val="0024659B"/>
    <w:rsid w:val="00250646"/>
    <w:rsid w:val="0025455C"/>
    <w:rsid w:val="00254594"/>
    <w:rsid w:val="00256F9B"/>
    <w:rsid w:val="002574B4"/>
    <w:rsid w:val="002621B2"/>
    <w:rsid w:val="0026298A"/>
    <w:rsid w:val="002641D7"/>
    <w:rsid w:val="002648D3"/>
    <w:rsid w:val="00264B7B"/>
    <w:rsid w:val="00266A8E"/>
    <w:rsid w:val="00270B84"/>
    <w:rsid w:val="00270E3C"/>
    <w:rsid w:val="00271175"/>
    <w:rsid w:val="0029559E"/>
    <w:rsid w:val="002965A3"/>
    <w:rsid w:val="002967D3"/>
    <w:rsid w:val="002A2EA9"/>
    <w:rsid w:val="002A363E"/>
    <w:rsid w:val="002A37A8"/>
    <w:rsid w:val="002A4453"/>
    <w:rsid w:val="002A6D67"/>
    <w:rsid w:val="002A75C1"/>
    <w:rsid w:val="002B21DE"/>
    <w:rsid w:val="002B4614"/>
    <w:rsid w:val="002B591E"/>
    <w:rsid w:val="002B5A2B"/>
    <w:rsid w:val="002B649D"/>
    <w:rsid w:val="002B781C"/>
    <w:rsid w:val="002C0DB8"/>
    <w:rsid w:val="002C30EF"/>
    <w:rsid w:val="002C3376"/>
    <w:rsid w:val="002C3B1D"/>
    <w:rsid w:val="002C6905"/>
    <w:rsid w:val="002C703C"/>
    <w:rsid w:val="002D6068"/>
    <w:rsid w:val="002D7C57"/>
    <w:rsid w:val="002D7D6C"/>
    <w:rsid w:val="002E3BAE"/>
    <w:rsid w:val="002E6B4A"/>
    <w:rsid w:val="002E6F61"/>
    <w:rsid w:val="002E6FC1"/>
    <w:rsid w:val="002F0807"/>
    <w:rsid w:val="002F0836"/>
    <w:rsid w:val="002F55FA"/>
    <w:rsid w:val="0030356D"/>
    <w:rsid w:val="003069DF"/>
    <w:rsid w:val="003136C6"/>
    <w:rsid w:val="003139B3"/>
    <w:rsid w:val="0031473D"/>
    <w:rsid w:val="00317ACD"/>
    <w:rsid w:val="003222CB"/>
    <w:rsid w:val="00323C1A"/>
    <w:rsid w:val="00326012"/>
    <w:rsid w:val="00326F1B"/>
    <w:rsid w:val="0032748C"/>
    <w:rsid w:val="00331032"/>
    <w:rsid w:val="00333EEE"/>
    <w:rsid w:val="00334C01"/>
    <w:rsid w:val="00337B01"/>
    <w:rsid w:val="00342564"/>
    <w:rsid w:val="00343950"/>
    <w:rsid w:val="003447F8"/>
    <w:rsid w:val="00346DB0"/>
    <w:rsid w:val="0035101A"/>
    <w:rsid w:val="00352A26"/>
    <w:rsid w:val="00353CF1"/>
    <w:rsid w:val="003554AD"/>
    <w:rsid w:val="00357D45"/>
    <w:rsid w:val="00362425"/>
    <w:rsid w:val="00363022"/>
    <w:rsid w:val="003631B2"/>
    <w:rsid w:val="00363205"/>
    <w:rsid w:val="003657EB"/>
    <w:rsid w:val="00365F83"/>
    <w:rsid w:val="00371E61"/>
    <w:rsid w:val="00372DE9"/>
    <w:rsid w:val="0037354C"/>
    <w:rsid w:val="00373D18"/>
    <w:rsid w:val="0037541C"/>
    <w:rsid w:val="00380BB4"/>
    <w:rsid w:val="003816CC"/>
    <w:rsid w:val="003833A5"/>
    <w:rsid w:val="003839E0"/>
    <w:rsid w:val="00385D5C"/>
    <w:rsid w:val="003874F8"/>
    <w:rsid w:val="0039024C"/>
    <w:rsid w:val="00390BCC"/>
    <w:rsid w:val="003950D6"/>
    <w:rsid w:val="00396522"/>
    <w:rsid w:val="00396E14"/>
    <w:rsid w:val="003A781E"/>
    <w:rsid w:val="003B04BA"/>
    <w:rsid w:val="003B1ADF"/>
    <w:rsid w:val="003B3386"/>
    <w:rsid w:val="003B41AD"/>
    <w:rsid w:val="003B6D0E"/>
    <w:rsid w:val="003C565F"/>
    <w:rsid w:val="003C5CE5"/>
    <w:rsid w:val="003D0A31"/>
    <w:rsid w:val="003D0A9F"/>
    <w:rsid w:val="003D0CC1"/>
    <w:rsid w:val="003D49C9"/>
    <w:rsid w:val="003D6C95"/>
    <w:rsid w:val="003E0238"/>
    <w:rsid w:val="003E0433"/>
    <w:rsid w:val="003F1EF2"/>
    <w:rsid w:val="003F25C0"/>
    <w:rsid w:val="003F26D9"/>
    <w:rsid w:val="003F3816"/>
    <w:rsid w:val="003F6281"/>
    <w:rsid w:val="003F7754"/>
    <w:rsid w:val="003F796A"/>
    <w:rsid w:val="004055F5"/>
    <w:rsid w:val="004057CB"/>
    <w:rsid w:val="00414BBF"/>
    <w:rsid w:val="004176C8"/>
    <w:rsid w:val="00425740"/>
    <w:rsid w:val="00427CE0"/>
    <w:rsid w:val="00430F12"/>
    <w:rsid w:val="00435411"/>
    <w:rsid w:val="00435CF3"/>
    <w:rsid w:val="004371A8"/>
    <w:rsid w:val="0044120F"/>
    <w:rsid w:val="0044220A"/>
    <w:rsid w:val="00445B82"/>
    <w:rsid w:val="00447E1B"/>
    <w:rsid w:val="00455650"/>
    <w:rsid w:val="00456174"/>
    <w:rsid w:val="00461BBB"/>
    <w:rsid w:val="00461E76"/>
    <w:rsid w:val="00465DAA"/>
    <w:rsid w:val="00466720"/>
    <w:rsid w:val="00466992"/>
    <w:rsid w:val="00466FED"/>
    <w:rsid w:val="00473C4B"/>
    <w:rsid w:val="0048104E"/>
    <w:rsid w:val="00485CCA"/>
    <w:rsid w:val="00490CEC"/>
    <w:rsid w:val="0049288D"/>
    <w:rsid w:val="00494224"/>
    <w:rsid w:val="004975C8"/>
    <w:rsid w:val="004A0A2C"/>
    <w:rsid w:val="004A1354"/>
    <w:rsid w:val="004D12F7"/>
    <w:rsid w:val="004D34E4"/>
    <w:rsid w:val="004E180C"/>
    <w:rsid w:val="004E295B"/>
    <w:rsid w:val="004E3787"/>
    <w:rsid w:val="004E37F2"/>
    <w:rsid w:val="004E5313"/>
    <w:rsid w:val="004E5610"/>
    <w:rsid w:val="004F0D19"/>
    <w:rsid w:val="004F0FAB"/>
    <w:rsid w:val="004F60D7"/>
    <w:rsid w:val="00500FFF"/>
    <w:rsid w:val="00503887"/>
    <w:rsid w:val="00503D82"/>
    <w:rsid w:val="00505059"/>
    <w:rsid w:val="0050522D"/>
    <w:rsid w:val="00512E56"/>
    <w:rsid w:val="005136B9"/>
    <w:rsid w:val="005145ED"/>
    <w:rsid w:val="00515521"/>
    <w:rsid w:val="005156F2"/>
    <w:rsid w:val="00516791"/>
    <w:rsid w:val="0052444A"/>
    <w:rsid w:val="00524664"/>
    <w:rsid w:val="0052675F"/>
    <w:rsid w:val="00533FBE"/>
    <w:rsid w:val="005371B6"/>
    <w:rsid w:val="00555309"/>
    <w:rsid w:val="00555389"/>
    <w:rsid w:val="00557D4B"/>
    <w:rsid w:val="00560249"/>
    <w:rsid w:val="005648A8"/>
    <w:rsid w:val="00565414"/>
    <w:rsid w:val="0056622B"/>
    <w:rsid w:val="00570AF5"/>
    <w:rsid w:val="0058247C"/>
    <w:rsid w:val="005856F3"/>
    <w:rsid w:val="0058575E"/>
    <w:rsid w:val="005871F4"/>
    <w:rsid w:val="005925A3"/>
    <w:rsid w:val="0059261D"/>
    <w:rsid w:val="00592BE6"/>
    <w:rsid w:val="00593795"/>
    <w:rsid w:val="00593EE8"/>
    <w:rsid w:val="00594CEF"/>
    <w:rsid w:val="005A4826"/>
    <w:rsid w:val="005A7B23"/>
    <w:rsid w:val="005B5104"/>
    <w:rsid w:val="005B67E3"/>
    <w:rsid w:val="005B74F3"/>
    <w:rsid w:val="005B75C6"/>
    <w:rsid w:val="005C6730"/>
    <w:rsid w:val="005D3C8B"/>
    <w:rsid w:val="005D53CE"/>
    <w:rsid w:val="005E51B0"/>
    <w:rsid w:val="005F1754"/>
    <w:rsid w:val="005F4182"/>
    <w:rsid w:val="005F69C1"/>
    <w:rsid w:val="005F7C8E"/>
    <w:rsid w:val="00600892"/>
    <w:rsid w:val="006033D6"/>
    <w:rsid w:val="00604B27"/>
    <w:rsid w:val="00604B2F"/>
    <w:rsid w:val="00611A62"/>
    <w:rsid w:val="00614229"/>
    <w:rsid w:val="00615376"/>
    <w:rsid w:val="006167D5"/>
    <w:rsid w:val="006170AF"/>
    <w:rsid w:val="0062352D"/>
    <w:rsid w:val="006358B6"/>
    <w:rsid w:val="00643514"/>
    <w:rsid w:val="00651814"/>
    <w:rsid w:val="006576AB"/>
    <w:rsid w:val="00662B43"/>
    <w:rsid w:val="00667A06"/>
    <w:rsid w:val="00680FC9"/>
    <w:rsid w:val="00681497"/>
    <w:rsid w:val="006825A2"/>
    <w:rsid w:val="00682704"/>
    <w:rsid w:val="00686518"/>
    <w:rsid w:val="00687454"/>
    <w:rsid w:val="006946B1"/>
    <w:rsid w:val="00694C65"/>
    <w:rsid w:val="006A17DA"/>
    <w:rsid w:val="006A5B71"/>
    <w:rsid w:val="006B14FA"/>
    <w:rsid w:val="006B153F"/>
    <w:rsid w:val="006B4982"/>
    <w:rsid w:val="006B6095"/>
    <w:rsid w:val="006C1A0A"/>
    <w:rsid w:val="006C6F7B"/>
    <w:rsid w:val="006D3255"/>
    <w:rsid w:val="006D375C"/>
    <w:rsid w:val="006D51E0"/>
    <w:rsid w:val="006D58D4"/>
    <w:rsid w:val="006E27FD"/>
    <w:rsid w:val="006E4494"/>
    <w:rsid w:val="006E5178"/>
    <w:rsid w:val="006E555E"/>
    <w:rsid w:val="006E5FBE"/>
    <w:rsid w:val="006F04C5"/>
    <w:rsid w:val="006F4E5F"/>
    <w:rsid w:val="006F514D"/>
    <w:rsid w:val="006F54E4"/>
    <w:rsid w:val="006F5F52"/>
    <w:rsid w:val="006F6311"/>
    <w:rsid w:val="006F67CA"/>
    <w:rsid w:val="0070210A"/>
    <w:rsid w:val="00703916"/>
    <w:rsid w:val="00703C27"/>
    <w:rsid w:val="00705639"/>
    <w:rsid w:val="007065FA"/>
    <w:rsid w:val="00706926"/>
    <w:rsid w:val="00706FF6"/>
    <w:rsid w:val="00707913"/>
    <w:rsid w:val="00710177"/>
    <w:rsid w:val="007406E4"/>
    <w:rsid w:val="00742C45"/>
    <w:rsid w:val="007453E2"/>
    <w:rsid w:val="007536DE"/>
    <w:rsid w:val="0075534F"/>
    <w:rsid w:val="00756B08"/>
    <w:rsid w:val="007574AC"/>
    <w:rsid w:val="00760441"/>
    <w:rsid w:val="0076387F"/>
    <w:rsid w:val="00764A18"/>
    <w:rsid w:val="00765AD5"/>
    <w:rsid w:val="007661D0"/>
    <w:rsid w:val="00766F15"/>
    <w:rsid w:val="00770400"/>
    <w:rsid w:val="0077136A"/>
    <w:rsid w:val="007724F2"/>
    <w:rsid w:val="00773D2E"/>
    <w:rsid w:val="00773FBC"/>
    <w:rsid w:val="00782B90"/>
    <w:rsid w:val="00784A12"/>
    <w:rsid w:val="0078605C"/>
    <w:rsid w:val="00787920"/>
    <w:rsid w:val="007923D1"/>
    <w:rsid w:val="00792770"/>
    <w:rsid w:val="0079546D"/>
    <w:rsid w:val="00795F95"/>
    <w:rsid w:val="007977D5"/>
    <w:rsid w:val="007A1944"/>
    <w:rsid w:val="007A22FF"/>
    <w:rsid w:val="007A71DA"/>
    <w:rsid w:val="007B110F"/>
    <w:rsid w:val="007B30C6"/>
    <w:rsid w:val="007B4090"/>
    <w:rsid w:val="007C081E"/>
    <w:rsid w:val="007C0E2A"/>
    <w:rsid w:val="007C3E9C"/>
    <w:rsid w:val="007C6EC2"/>
    <w:rsid w:val="007D2AD0"/>
    <w:rsid w:val="007D2C89"/>
    <w:rsid w:val="007D6EA5"/>
    <w:rsid w:val="007E2269"/>
    <w:rsid w:val="007E389D"/>
    <w:rsid w:val="007E3E26"/>
    <w:rsid w:val="007E4B90"/>
    <w:rsid w:val="007E7D61"/>
    <w:rsid w:val="007F42AD"/>
    <w:rsid w:val="007F5B43"/>
    <w:rsid w:val="007F6FD2"/>
    <w:rsid w:val="00800967"/>
    <w:rsid w:val="00803F4C"/>
    <w:rsid w:val="0080500E"/>
    <w:rsid w:val="008057DE"/>
    <w:rsid w:val="0080705C"/>
    <w:rsid w:val="00807669"/>
    <w:rsid w:val="008133F6"/>
    <w:rsid w:val="00816297"/>
    <w:rsid w:val="00822B6E"/>
    <w:rsid w:val="008231B9"/>
    <w:rsid w:val="00824023"/>
    <w:rsid w:val="00827F21"/>
    <w:rsid w:val="00835D03"/>
    <w:rsid w:val="00841009"/>
    <w:rsid w:val="00841C15"/>
    <w:rsid w:val="00842F69"/>
    <w:rsid w:val="00843020"/>
    <w:rsid w:val="00846230"/>
    <w:rsid w:val="00847DAC"/>
    <w:rsid w:val="00850A1F"/>
    <w:rsid w:val="00853044"/>
    <w:rsid w:val="00857867"/>
    <w:rsid w:val="00862503"/>
    <w:rsid w:val="00863892"/>
    <w:rsid w:val="0086511A"/>
    <w:rsid w:val="00865602"/>
    <w:rsid w:val="00865722"/>
    <w:rsid w:val="0087176C"/>
    <w:rsid w:val="00872C6C"/>
    <w:rsid w:val="00875182"/>
    <w:rsid w:val="00880492"/>
    <w:rsid w:val="008819F7"/>
    <w:rsid w:val="00883BC7"/>
    <w:rsid w:val="00883D7A"/>
    <w:rsid w:val="00887DBA"/>
    <w:rsid w:val="00890AC6"/>
    <w:rsid w:val="00890DFD"/>
    <w:rsid w:val="0089340E"/>
    <w:rsid w:val="008951EA"/>
    <w:rsid w:val="008963DD"/>
    <w:rsid w:val="0089795C"/>
    <w:rsid w:val="008A2190"/>
    <w:rsid w:val="008A3172"/>
    <w:rsid w:val="008A630F"/>
    <w:rsid w:val="008A66D0"/>
    <w:rsid w:val="008B0098"/>
    <w:rsid w:val="008B1F9A"/>
    <w:rsid w:val="008B20A2"/>
    <w:rsid w:val="008B472E"/>
    <w:rsid w:val="008B5E51"/>
    <w:rsid w:val="008B63CD"/>
    <w:rsid w:val="008C1448"/>
    <w:rsid w:val="008C2756"/>
    <w:rsid w:val="008C4081"/>
    <w:rsid w:val="008C5D92"/>
    <w:rsid w:val="008C6262"/>
    <w:rsid w:val="008C6613"/>
    <w:rsid w:val="008C6692"/>
    <w:rsid w:val="008D2AA6"/>
    <w:rsid w:val="008D6F05"/>
    <w:rsid w:val="008E3E13"/>
    <w:rsid w:val="008E7314"/>
    <w:rsid w:val="008F1984"/>
    <w:rsid w:val="00901ED1"/>
    <w:rsid w:val="0090357B"/>
    <w:rsid w:val="00903D7E"/>
    <w:rsid w:val="009041D9"/>
    <w:rsid w:val="00915989"/>
    <w:rsid w:val="00923365"/>
    <w:rsid w:val="0093283E"/>
    <w:rsid w:val="00932CE3"/>
    <w:rsid w:val="009330F5"/>
    <w:rsid w:val="00940FF9"/>
    <w:rsid w:val="00941832"/>
    <w:rsid w:val="009468E7"/>
    <w:rsid w:val="00946F89"/>
    <w:rsid w:val="009521DF"/>
    <w:rsid w:val="00955193"/>
    <w:rsid w:val="00956142"/>
    <w:rsid w:val="00956FAD"/>
    <w:rsid w:val="0096131A"/>
    <w:rsid w:val="00963BE5"/>
    <w:rsid w:val="009641FD"/>
    <w:rsid w:val="00967518"/>
    <w:rsid w:val="009705A4"/>
    <w:rsid w:val="00971AC9"/>
    <w:rsid w:val="00972A0B"/>
    <w:rsid w:val="00980249"/>
    <w:rsid w:val="0098660F"/>
    <w:rsid w:val="00992AA1"/>
    <w:rsid w:val="009A0C65"/>
    <w:rsid w:val="009A229B"/>
    <w:rsid w:val="009A33E5"/>
    <w:rsid w:val="009A4981"/>
    <w:rsid w:val="009A6A20"/>
    <w:rsid w:val="009B0E5C"/>
    <w:rsid w:val="009B7E6D"/>
    <w:rsid w:val="009C08B5"/>
    <w:rsid w:val="009C7831"/>
    <w:rsid w:val="009C7D5E"/>
    <w:rsid w:val="009E27B2"/>
    <w:rsid w:val="009E53A1"/>
    <w:rsid w:val="009F223E"/>
    <w:rsid w:val="009F2737"/>
    <w:rsid w:val="009F71CF"/>
    <w:rsid w:val="00A02099"/>
    <w:rsid w:val="00A04125"/>
    <w:rsid w:val="00A05EFA"/>
    <w:rsid w:val="00A10684"/>
    <w:rsid w:val="00A10FB9"/>
    <w:rsid w:val="00A145A7"/>
    <w:rsid w:val="00A1557E"/>
    <w:rsid w:val="00A16179"/>
    <w:rsid w:val="00A22C41"/>
    <w:rsid w:val="00A23505"/>
    <w:rsid w:val="00A240C8"/>
    <w:rsid w:val="00A24454"/>
    <w:rsid w:val="00A32AF9"/>
    <w:rsid w:val="00A32F65"/>
    <w:rsid w:val="00A36B01"/>
    <w:rsid w:val="00A40021"/>
    <w:rsid w:val="00A418D6"/>
    <w:rsid w:val="00A460A8"/>
    <w:rsid w:val="00A463C0"/>
    <w:rsid w:val="00A46C64"/>
    <w:rsid w:val="00A50AB5"/>
    <w:rsid w:val="00A54F8B"/>
    <w:rsid w:val="00A74CBA"/>
    <w:rsid w:val="00A74F81"/>
    <w:rsid w:val="00A757FA"/>
    <w:rsid w:val="00A762C6"/>
    <w:rsid w:val="00A7647F"/>
    <w:rsid w:val="00A82F90"/>
    <w:rsid w:val="00A83C17"/>
    <w:rsid w:val="00A840FD"/>
    <w:rsid w:val="00A936B9"/>
    <w:rsid w:val="00A95CE6"/>
    <w:rsid w:val="00AA3BE8"/>
    <w:rsid w:val="00AA7821"/>
    <w:rsid w:val="00AB176C"/>
    <w:rsid w:val="00AB2694"/>
    <w:rsid w:val="00AB2D1A"/>
    <w:rsid w:val="00AB7E32"/>
    <w:rsid w:val="00AB7E58"/>
    <w:rsid w:val="00AC4DD4"/>
    <w:rsid w:val="00AC5228"/>
    <w:rsid w:val="00AC694F"/>
    <w:rsid w:val="00AC7467"/>
    <w:rsid w:val="00AC7984"/>
    <w:rsid w:val="00AD29BD"/>
    <w:rsid w:val="00AD44AB"/>
    <w:rsid w:val="00AD5EC2"/>
    <w:rsid w:val="00AD620F"/>
    <w:rsid w:val="00AE3221"/>
    <w:rsid w:val="00AE78CA"/>
    <w:rsid w:val="00AF598A"/>
    <w:rsid w:val="00B02B9C"/>
    <w:rsid w:val="00B15B31"/>
    <w:rsid w:val="00B1620C"/>
    <w:rsid w:val="00B16743"/>
    <w:rsid w:val="00B169D7"/>
    <w:rsid w:val="00B205E2"/>
    <w:rsid w:val="00B20C29"/>
    <w:rsid w:val="00B2408F"/>
    <w:rsid w:val="00B24E03"/>
    <w:rsid w:val="00B27885"/>
    <w:rsid w:val="00B32EE4"/>
    <w:rsid w:val="00B3406D"/>
    <w:rsid w:val="00B341E5"/>
    <w:rsid w:val="00B358B7"/>
    <w:rsid w:val="00B35D97"/>
    <w:rsid w:val="00B401CC"/>
    <w:rsid w:val="00B40C24"/>
    <w:rsid w:val="00B444E9"/>
    <w:rsid w:val="00B4492F"/>
    <w:rsid w:val="00B44AE1"/>
    <w:rsid w:val="00B5019A"/>
    <w:rsid w:val="00B555FE"/>
    <w:rsid w:val="00B55D14"/>
    <w:rsid w:val="00B630C0"/>
    <w:rsid w:val="00B65EBB"/>
    <w:rsid w:val="00B66576"/>
    <w:rsid w:val="00B70C1A"/>
    <w:rsid w:val="00B72AE2"/>
    <w:rsid w:val="00B740FB"/>
    <w:rsid w:val="00B84E76"/>
    <w:rsid w:val="00B8776D"/>
    <w:rsid w:val="00B908CC"/>
    <w:rsid w:val="00B92DD8"/>
    <w:rsid w:val="00B93485"/>
    <w:rsid w:val="00B93D0B"/>
    <w:rsid w:val="00B93EF8"/>
    <w:rsid w:val="00B942E3"/>
    <w:rsid w:val="00B958AC"/>
    <w:rsid w:val="00B96348"/>
    <w:rsid w:val="00BA1997"/>
    <w:rsid w:val="00BA601E"/>
    <w:rsid w:val="00BB0BED"/>
    <w:rsid w:val="00BB536A"/>
    <w:rsid w:val="00BC3EF5"/>
    <w:rsid w:val="00BC45E6"/>
    <w:rsid w:val="00BC7132"/>
    <w:rsid w:val="00BC7D84"/>
    <w:rsid w:val="00BD31C7"/>
    <w:rsid w:val="00BE1923"/>
    <w:rsid w:val="00BE2005"/>
    <w:rsid w:val="00BE3664"/>
    <w:rsid w:val="00BE3DFF"/>
    <w:rsid w:val="00C03009"/>
    <w:rsid w:val="00C07D2D"/>
    <w:rsid w:val="00C11930"/>
    <w:rsid w:val="00C141C5"/>
    <w:rsid w:val="00C15791"/>
    <w:rsid w:val="00C15B27"/>
    <w:rsid w:val="00C20821"/>
    <w:rsid w:val="00C2165D"/>
    <w:rsid w:val="00C21AC1"/>
    <w:rsid w:val="00C22F56"/>
    <w:rsid w:val="00C2313A"/>
    <w:rsid w:val="00C24189"/>
    <w:rsid w:val="00C2469A"/>
    <w:rsid w:val="00C2553B"/>
    <w:rsid w:val="00C25708"/>
    <w:rsid w:val="00C26016"/>
    <w:rsid w:val="00C32979"/>
    <w:rsid w:val="00C32DD1"/>
    <w:rsid w:val="00C33717"/>
    <w:rsid w:val="00C36503"/>
    <w:rsid w:val="00C36DDB"/>
    <w:rsid w:val="00C4038C"/>
    <w:rsid w:val="00C419C9"/>
    <w:rsid w:val="00C4400E"/>
    <w:rsid w:val="00C55B4B"/>
    <w:rsid w:val="00C55D4C"/>
    <w:rsid w:val="00C565B6"/>
    <w:rsid w:val="00C5744C"/>
    <w:rsid w:val="00C66600"/>
    <w:rsid w:val="00C736F2"/>
    <w:rsid w:val="00C75051"/>
    <w:rsid w:val="00C763F5"/>
    <w:rsid w:val="00C837D6"/>
    <w:rsid w:val="00C8535C"/>
    <w:rsid w:val="00C85E53"/>
    <w:rsid w:val="00C87BD2"/>
    <w:rsid w:val="00C90B17"/>
    <w:rsid w:val="00C924BC"/>
    <w:rsid w:val="00C93F86"/>
    <w:rsid w:val="00C94463"/>
    <w:rsid w:val="00C9596E"/>
    <w:rsid w:val="00C97347"/>
    <w:rsid w:val="00CA25CA"/>
    <w:rsid w:val="00CA53B7"/>
    <w:rsid w:val="00CA7A46"/>
    <w:rsid w:val="00CB0A42"/>
    <w:rsid w:val="00CB7EA2"/>
    <w:rsid w:val="00CC2A81"/>
    <w:rsid w:val="00CC71E2"/>
    <w:rsid w:val="00CD1205"/>
    <w:rsid w:val="00CD2141"/>
    <w:rsid w:val="00CD3D71"/>
    <w:rsid w:val="00CD7808"/>
    <w:rsid w:val="00CD7A85"/>
    <w:rsid w:val="00CE38CF"/>
    <w:rsid w:val="00CE4856"/>
    <w:rsid w:val="00CE5C5B"/>
    <w:rsid w:val="00CE6DB2"/>
    <w:rsid w:val="00CF00A1"/>
    <w:rsid w:val="00CF28BB"/>
    <w:rsid w:val="00CF325C"/>
    <w:rsid w:val="00CF334F"/>
    <w:rsid w:val="00CF3D62"/>
    <w:rsid w:val="00CF47E7"/>
    <w:rsid w:val="00CF4F17"/>
    <w:rsid w:val="00D01F79"/>
    <w:rsid w:val="00D038BD"/>
    <w:rsid w:val="00D1099C"/>
    <w:rsid w:val="00D1200E"/>
    <w:rsid w:val="00D1415A"/>
    <w:rsid w:val="00D16CDA"/>
    <w:rsid w:val="00D219F1"/>
    <w:rsid w:val="00D25E1A"/>
    <w:rsid w:val="00D30A1B"/>
    <w:rsid w:val="00D346B2"/>
    <w:rsid w:val="00D35454"/>
    <w:rsid w:val="00D40585"/>
    <w:rsid w:val="00D42933"/>
    <w:rsid w:val="00D43B57"/>
    <w:rsid w:val="00D466BC"/>
    <w:rsid w:val="00D5080E"/>
    <w:rsid w:val="00D51CE6"/>
    <w:rsid w:val="00D57C07"/>
    <w:rsid w:val="00D600E0"/>
    <w:rsid w:val="00D61E5A"/>
    <w:rsid w:val="00D61EC8"/>
    <w:rsid w:val="00D63271"/>
    <w:rsid w:val="00D66004"/>
    <w:rsid w:val="00D66941"/>
    <w:rsid w:val="00D676BC"/>
    <w:rsid w:val="00D716F5"/>
    <w:rsid w:val="00D743A4"/>
    <w:rsid w:val="00D74572"/>
    <w:rsid w:val="00D7458D"/>
    <w:rsid w:val="00D7462C"/>
    <w:rsid w:val="00D80370"/>
    <w:rsid w:val="00D806C5"/>
    <w:rsid w:val="00D80B5A"/>
    <w:rsid w:val="00D873D6"/>
    <w:rsid w:val="00D87C6F"/>
    <w:rsid w:val="00D9427B"/>
    <w:rsid w:val="00DA0272"/>
    <w:rsid w:val="00DA454A"/>
    <w:rsid w:val="00DA6A1C"/>
    <w:rsid w:val="00DA77D9"/>
    <w:rsid w:val="00DC11F5"/>
    <w:rsid w:val="00DC3931"/>
    <w:rsid w:val="00DC4D33"/>
    <w:rsid w:val="00DC536C"/>
    <w:rsid w:val="00DC5A54"/>
    <w:rsid w:val="00DD1F79"/>
    <w:rsid w:val="00DD3077"/>
    <w:rsid w:val="00DD4B9F"/>
    <w:rsid w:val="00DD53D9"/>
    <w:rsid w:val="00DD6FA2"/>
    <w:rsid w:val="00DD723F"/>
    <w:rsid w:val="00DE07E8"/>
    <w:rsid w:val="00DE25FF"/>
    <w:rsid w:val="00DE35A3"/>
    <w:rsid w:val="00DE3880"/>
    <w:rsid w:val="00DE5FA3"/>
    <w:rsid w:val="00DE7FF2"/>
    <w:rsid w:val="00DF2E88"/>
    <w:rsid w:val="00DF2FD9"/>
    <w:rsid w:val="00DF6E1C"/>
    <w:rsid w:val="00E023B5"/>
    <w:rsid w:val="00E06215"/>
    <w:rsid w:val="00E10C73"/>
    <w:rsid w:val="00E13CEE"/>
    <w:rsid w:val="00E147CF"/>
    <w:rsid w:val="00E14F96"/>
    <w:rsid w:val="00E174ED"/>
    <w:rsid w:val="00E20AE6"/>
    <w:rsid w:val="00E31F3E"/>
    <w:rsid w:val="00E32DD6"/>
    <w:rsid w:val="00E33B66"/>
    <w:rsid w:val="00E33EA4"/>
    <w:rsid w:val="00E352E3"/>
    <w:rsid w:val="00E40B2C"/>
    <w:rsid w:val="00E41A12"/>
    <w:rsid w:val="00E421CF"/>
    <w:rsid w:val="00E536DD"/>
    <w:rsid w:val="00E55787"/>
    <w:rsid w:val="00E57D49"/>
    <w:rsid w:val="00E62B62"/>
    <w:rsid w:val="00E658C6"/>
    <w:rsid w:val="00E65A68"/>
    <w:rsid w:val="00E71723"/>
    <w:rsid w:val="00E7302F"/>
    <w:rsid w:val="00E75986"/>
    <w:rsid w:val="00E82D8A"/>
    <w:rsid w:val="00E84985"/>
    <w:rsid w:val="00E87239"/>
    <w:rsid w:val="00E91542"/>
    <w:rsid w:val="00E91D95"/>
    <w:rsid w:val="00E97964"/>
    <w:rsid w:val="00EA778D"/>
    <w:rsid w:val="00EB19CE"/>
    <w:rsid w:val="00EB3D21"/>
    <w:rsid w:val="00EC13DF"/>
    <w:rsid w:val="00EC35B3"/>
    <w:rsid w:val="00EC5FA8"/>
    <w:rsid w:val="00ED0A15"/>
    <w:rsid w:val="00ED1A87"/>
    <w:rsid w:val="00ED2509"/>
    <w:rsid w:val="00ED7C3A"/>
    <w:rsid w:val="00EE237B"/>
    <w:rsid w:val="00EF1AE3"/>
    <w:rsid w:val="00EF2367"/>
    <w:rsid w:val="00EF40EB"/>
    <w:rsid w:val="00F032E8"/>
    <w:rsid w:val="00F03917"/>
    <w:rsid w:val="00F03F51"/>
    <w:rsid w:val="00F06056"/>
    <w:rsid w:val="00F118DE"/>
    <w:rsid w:val="00F1518B"/>
    <w:rsid w:val="00F205B2"/>
    <w:rsid w:val="00F22B04"/>
    <w:rsid w:val="00F2314D"/>
    <w:rsid w:val="00F257EE"/>
    <w:rsid w:val="00F2600D"/>
    <w:rsid w:val="00F26576"/>
    <w:rsid w:val="00F27330"/>
    <w:rsid w:val="00F33EF9"/>
    <w:rsid w:val="00F3749E"/>
    <w:rsid w:val="00F42483"/>
    <w:rsid w:val="00F43936"/>
    <w:rsid w:val="00F504EE"/>
    <w:rsid w:val="00F60618"/>
    <w:rsid w:val="00F62C83"/>
    <w:rsid w:val="00F66F55"/>
    <w:rsid w:val="00F6716F"/>
    <w:rsid w:val="00F701AA"/>
    <w:rsid w:val="00F74D65"/>
    <w:rsid w:val="00F754CD"/>
    <w:rsid w:val="00F81530"/>
    <w:rsid w:val="00F81847"/>
    <w:rsid w:val="00F81CDF"/>
    <w:rsid w:val="00F8447E"/>
    <w:rsid w:val="00F86DF2"/>
    <w:rsid w:val="00F94A95"/>
    <w:rsid w:val="00F97369"/>
    <w:rsid w:val="00FA48BD"/>
    <w:rsid w:val="00FB3610"/>
    <w:rsid w:val="00FB537F"/>
    <w:rsid w:val="00FB6EEF"/>
    <w:rsid w:val="00FB7FFE"/>
    <w:rsid w:val="00FC1FDF"/>
    <w:rsid w:val="00FC3B5B"/>
    <w:rsid w:val="00FC3D7C"/>
    <w:rsid w:val="00FD0696"/>
    <w:rsid w:val="00FD2B63"/>
    <w:rsid w:val="00FD43C3"/>
    <w:rsid w:val="00FD6447"/>
    <w:rsid w:val="00FD71BF"/>
    <w:rsid w:val="00FE0310"/>
    <w:rsid w:val="00FE1BCE"/>
    <w:rsid w:val="00FE1DCF"/>
    <w:rsid w:val="00FE6E99"/>
    <w:rsid w:val="00FF0844"/>
    <w:rsid w:val="00FF19A9"/>
    <w:rsid w:val="00FF369D"/>
    <w:rsid w:val="00FF424C"/>
    <w:rsid w:val="00FF44A1"/>
    <w:rsid w:val="00FF4516"/>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18671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34"/>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unhideWhenUsed/>
    <w:rsid w:val="00135F51"/>
    <w:rPr>
      <w:color w:val="0000FF"/>
      <w:u w:val="single"/>
    </w:rPr>
  </w:style>
  <w:style w:type="character" w:styleId="UnresolvedMention">
    <w:name w:val="Unresolved Mention"/>
    <w:uiPriority w:val="99"/>
    <w:semiHidden/>
    <w:unhideWhenUsed/>
    <w:rsid w:val="002574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71912">
      <w:bodyDiv w:val="1"/>
      <w:marLeft w:val="0"/>
      <w:marRight w:val="0"/>
      <w:marTop w:val="0"/>
      <w:marBottom w:val="0"/>
      <w:divBdr>
        <w:top w:val="none" w:sz="0" w:space="0" w:color="auto"/>
        <w:left w:val="none" w:sz="0" w:space="0" w:color="auto"/>
        <w:bottom w:val="none" w:sz="0" w:space="0" w:color="auto"/>
        <w:right w:val="none" w:sz="0" w:space="0" w:color="auto"/>
      </w:divBdr>
      <w:divsChild>
        <w:div w:id="787969950">
          <w:marLeft w:val="0"/>
          <w:marRight w:val="0"/>
          <w:marTop w:val="0"/>
          <w:marBottom w:val="0"/>
          <w:divBdr>
            <w:top w:val="none" w:sz="0" w:space="0" w:color="auto"/>
            <w:left w:val="none" w:sz="0" w:space="0" w:color="auto"/>
            <w:bottom w:val="none" w:sz="0" w:space="0" w:color="auto"/>
            <w:right w:val="none" w:sz="0" w:space="0" w:color="auto"/>
          </w:divBdr>
          <w:divsChild>
            <w:div w:id="1927808538">
              <w:marLeft w:val="0"/>
              <w:marRight w:val="0"/>
              <w:marTop w:val="0"/>
              <w:marBottom w:val="0"/>
              <w:divBdr>
                <w:top w:val="none" w:sz="0" w:space="0" w:color="auto"/>
                <w:left w:val="none" w:sz="0" w:space="0" w:color="auto"/>
                <w:bottom w:val="none" w:sz="0" w:space="0" w:color="auto"/>
                <w:right w:val="none" w:sz="0" w:space="0" w:color="auto"/>
              </w:divBdr>
              <w:divsChild>
                <w:div w:id="1991714024">
                  <w:marLeft w:val="0"/>
                  <w:marRight w:val="0"/>
                  <w:marTop w:val="0"/>
                  <w:marBottom w:val="0"/>
                  <w:divBdr>
                    <w:top w:val="none" w:sz="0" w:space="0" w:color="auto"/>
                    <w:left w:val="none" w:sz="0" w:space="0" w:color="auto"/>
                    <w:bottom w:val="none" w:sz="0" w:space="0" w:color="auto"/>
                    <w:right w:val="none" w:sz="0" w:space="0" w:color="auto"/>
                  </w:divBdr>
                  <w:divsChild>
                    <w:div w:id="764351642">
                      <w:marLeft w:val="0"/>
                      <w:marRight w:val="0"/>
                      <w:marTop w:val="0"/>
                      <w:marBottom w:val="0"/>
                      <w:divBdr>
                        <w:top w:val="none" w:sz="0" w:space="0" w:color="auto"/>
                        <w:left w:val="none" w:sz="0" w:space="0" w:color="auto"/>
                        <w:bottom w:val="none" w:sz="0" w:space="0" w:color="auto"/>
                        <w:right w:val="none" w:sz="0" w:space="0" w:color="auto"/>
                      </w:divBdr>
                      <w:divsChild>
                        <w:div w:id="302856080">
                          <w:marLeft w:val="0"/>
                          <w:marRight w:val="0"/>
                          <w:marTop w:val="0"/>
                          <w:marBottom w:val="0"/>
                          <w:divBdr>
                            <w:top w:val="none" w:sz="0" w:space="0" w:color="auto"/>
                            <w:left w:val="none" w:sz="0" w:space="0" w:color="auto"/>
                            <w:bottom w:val="none" w:sz="0" w:space="0" w:color="auto"/>
                            <w:right w:val="none" w:sz="0" w:space="0" w:color="auto"/>
                          </w:divBdr>
                          <w:divsChild>
                            <w:div w:id="897787377">
                              <w:marLeft w:val="0"/>
                              <w:marRight w:val="0"/>
                              <w:marTop w:val="0"/>
                              <w:marBottom w:val="0"/>
                              <w:divBdr>
                                <w:top w:val="none" w:sz="0" w:space="0" w:color="auto"/>
                                <w:left w:val="none" w:sz="0" w:space="0" w:color="auto"/>
                                <w:bottom w:val="none" w:sz="0" w:space="0" w:color="auto"/>
                                <w:right w:val="none" w:sz="0" w:space="0" w:color="auto"/>
                              </w:divBdr>
                              <w:divsChild>
                                <w:div w:id="408190165">
                                  <w:marLeft w:val="0"/>
                                  <w:marRight w:val="0"/>
                                  <w:marTop w:val="0"/>
                                  <w:marBottom w:val="0"/>
                                  <w:divBdr>
                                    <w:top w:val="none" w:sz="0" w:space="0" w:color="auto"/>
                                    <w:left w:val="none" w:sz="0" w:space="0" w:color="auto"/>
                                    <w:bottom w:val="none" w:sz="0" w:space="0" w:color="auto"/>
                                    <w:right w:val="none" w:sz="0" w:space="0" w:color="auto"/>
                                  </w:divBdr>
                                  <w:divsChild>
                                    <w:div w:id="20116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9044">
      <w:bodyDiv w:val="1"/>
      <w:marLeft w:val="0"/>
      <w:marRight w:val="0"/>
      <w:marTop w:val="0"/>
      <w:marBottom w:val="0"/>
      <w:divBdr>
        <w:top w:val="none" w:sz="0" w:space="0" w:color="auto"/>
        <w:left w:val="none" w:sz="0" w:space="0" w:color="auto"/>
        <w:bottom w:val="none" w:sz="0" w:space="0" w:color="auto"/>
        <w:right w:val="none" w:sz="0" w:space="0" w:color="auto"/>
      </w:divBdr>
      <w:divsChild>
        <w:div w:id="624847529">
          <w:marLeft w:val="0"/>
          <w:marRight w:val="0"/>
          <w:marTop w:val="0"/>
          <w:marBottom w:val="0"/>
          <w:divBdr>
            <w:top w:val="none" w:sz="0" w:space="0" w:color="auto"/>
            <w:left w:val="none" w:sz="0" w:space="0" w:color="auto"/>
            <w:bottom w:val="none" w:sz="0" w:space="0" w:color="auto"/>
            <w:right w:val="none" w:sz="0" w:space="0" w:color="auto"/>
          </w:divBdr>
          <w:divsChild>
            <w:div w:id="604654561">
              <w:marLeft w:val="0"/>
              <w:marRight w:val="0"/>
              <w:marTop w:val="0"/>
              <w:marBottom w:val="0"/>
              <w:divBdr>
                <w:top w:val="none" w:sz="0" w:space="0" w:color="auto"/>
                <w:left w:val="none" w:sz="0" w:space="0" w:color="auto"/>
                <w:bottom w:val="none" w:sz="0" w:space="0" w:color="auto"/>
                <w:right w:val="none" w:sz="0" w:space="0" w:color="auto"/>
              </w:divBdr>
              <w:divsChild>
                <w:div w:id="1429930979">
                  <w:marLeft w:val="0"/>
                  <w:marRight w:val="0"/>
                  <w:marTop w:val="0"/>
                  <w:marBottom w:val="0"/>
                  <w:divBdr>
                    <w:top w:val="none" w:sz="0" w:space="0" w:color="auto"/>
                    <w:left w:val="none" w:sz="0" w:space="0" w:color="auto"/>
                    <w:bottom w:val="none" w:sz="0" w:space="0" w:color="auto"/>
                    <w:right w:val="none" w:sz="0" w:space="0" w:color="auto"/>
                  </w:divBdr>
                  <w:divsChild>
                    <w:div w:id="2131118778">
                      <w:marLeft w:val="0"/>
                      <w:marRight w:val="0"/>
                      <w:marTop w:val="0"/>
                      <w:marBottom w:val="0"/>
                      <w:divBdr>
                        <w:top w:val="none" w:sz="0" w:space="0" w:color="auto"/>
                        <w:left w:val="none" w:sz="0" w:space="0" w:color="auto"/>
                        <w:bottom w:val="none" w:sz="0" w:space="0" w:color="auto"/>
                        <w:right w:val="none" w:sz="0" w:space="0" w:color="auto"/>
                      </w:divBdr>
                      <w:divsChild>
                        <w:div w:id="1538619420">
                          <w:marLeft w:val="0"/>
                          <w:marRight w:val="0"/>
                          <w:marTop w:val="0"/>
                          <w:marBottom w:val="0"/>
                          <w:divBdr>
                            <w:top w:val="none" w:sz="0" w:space="0" w:color="auto"/>
                            <w:left w:val="none" w:sz="0" w:space="0" w:color="auto"/>
                            <w:bottom w:val="none" w:sz="0" w:space="0" w:color="auto"/>
                            <w:right w:val="none" w:sz="0" w:space="0" w:color="auto"/>
                          </w:divBdr>
                          <w:divsChild>
                            <w:div w:id="1418097281">
                              <w:marLeft w:val="0"/>
                              <w:marRight w:val="0"/>
                              <w:marTop w:val="0"/>
                              <w:marBottom w:val="0"/>
                              <w:divBdr>
                                <w:top w:val="none" w:sz="0" w:space="0" w:color="auto"/>
                                <w:left w:val="none" w:sz="0" w:space="0" w:color="auto"/>
                                <w:bottom w:val="none" w:sz="0" w:space="0" w:color="auto"/>
                                <w:right w:val="none" w:sz="0" w:space="0" w:color="auto"/>
                              </w:divBdr>
                              <w:divsChild>
                                <w:div w:id="988020858">
                                  <w:marLeft w:val="0"/>
                                  <w:marRight w:val="0"/>
                                  <w:marTop w:val="0"/>
                                  <w:marBottom w:val="0"/>
                                  <w:divBdr>
                                    <w:top w:val="none" w:sz="0" w:space="0" w:color="auto"/>
                                    <w:left w:val="none" w:sz="0" w:space="0" w:color="auto"/>
                                    <w:bottom w:val="none" w:sz="0" w:space="0" w:color="auto"/>
                                    <w:right w:val="none" w:sz="0" w:space="0" w:color="auto"/>
                                  </w:divBdr>
                                  <w:divsChild>
                                    <w:div w:id="20009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equaldex.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C37DF-A0C9-4FC7-86A1-2E9152671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2559</Words>
  <Characters>12629</Characters>
  <Application>Microsoft Office Word</Application>
  <DocSecurity>0</DocSecurity>
  <Lines>105</Lines>
  <Paragraphs>30</Paragraphs>
  <ScaleCrop>false</ScaleCrop>
  <Company/>
  <LinksUpToDate>false</LinksUpToDate>
  <CharactersWithSpaces>15158</CharactersWithSpaces>
  <SharedDoc>false</SharedDoc>
  <HLinks>
    <vt:vector size="6" baseType="variant">
      <vt:variant>
        <vt:i4>6029394</vt:i4>
      </vt:variant>
      <vt:variant>
        <vt:i4>0</vt:i4>
      </vt:variant>
      <vt:variant>
        <vt:i4>0</vt:i4>
      </vt:variant>
      <vt:variant>
        <vt:i4>5</vt:i4>
      </vt:variant>
      <vt:variant>
        <vt:lpwstr>http://www.equaldex.com/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2018-07-17T12:42:00Z</dcterms:created>
  <dcterms:modified xsi:type="dcterms:W3CDTF">2018-07-17T12:42:00Z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