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D562E" w14:textId="6A94C22A" w:rsidR="006E5DB5" w:rsidRDefault="00AB5809" w:rsidP="008616F9">
      <w:pPr>
        <w:jc w:val="center"/>
        <w:rPr>
          <w:rFonts w:ascii="Book Antiqua" w:hAnsi="Book Antiqua" w:cs="Arial"/>
          <w:b/>
          <w:color w:val="000000"/>
          <w:sz w:val="16"/>
          <w:szCs w:val="16"/>
        </w:rPr>
      </w:pPr>
      <w:r w:rsidRPr="008616F9">
        <w:rPr>
          <w:noProof/>
          <w:sz w:val="16"/>
          <w:szCs w:val="16"/>
        </w:rPr>
        <w:drawing>
          <wp:inline distT="0" distB="0" distL="0" distR="0" wp14:anchorId="2AAA76EF" wp14:editId="07394699">
            <wp:extent cx="1466850" cy="1057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r="81476" b="-7645"/>
                    <a:stretch>
                      <a:fillRect/>
                    </a:stretch>
                  </pic:blipFill>
                  <pic:spPr bwMode="auto">
                    <a:xfrm>
                      <a:off x="0" y="0"/>
                      <a:ext cx="1466850" cy="1057275"/>
                    </a:xfrm>
                    <a:prstGeom prst="rect">
                      <a:avLst/>
                    </a:prstGeom>
                    <a:noFill/>
                    <a:ln>
                      <a:noFill/>
                    </a:ln>
                  </pic:spPr>
                </pic:pic>
              </a:graphicData>
            </a:graphic>
          </wp:inline>
        </w:drawing>
      </w:r>
    </w:p>
    <w:p w14:paraId="67E9B2E0" w14:textId="77777777" w:rsidR="008616F9" w:rsidRPr="008616F9" w:rsidRDefault="008616F9" w:rsidP="008616F9">
      <w:pPr>
        <w:jc w:val="center"/>
        <w:rPr>
          <w:rFonts w:ascii="Book Antiqua" w:hAnsi="Book Antiqua" w:cs="Arial"/>
          <w:b/>
          <w:color w:val="000000"/>
          <w:sz w:val="16"/>
          <w:szCs w:val="16"/>
        </w:rPr>
      </w:pPr>
    </w:p>
    <w:p w14:paraId="3B600372" w14:textId="77777777" w:rsidR="006E5DB5" w:rsidRDefault="006E5DB5" w:rsidP="008616F9">
      <w:pPr>
        <w:rPr>
          <w:rFonts w:ascii="Book Antiqua" w:hAnsi="Book Antiqua" w:cs="Arial"/>
          <w:b/>
          <w:color w:val="000000"/>
          <w:sz w:val="24"/>
          <w:szCs w:val="24"/>
        </w:rPr>
      </w:pPr>
      <w:r>
        <w:rPr>
          <w:rFonts w:ascii="Book Antiqua" w:hAnsi="Book Antiqua" w:cs="Arial"/>
          <w:b/>
          <w:color w:val="000000"/>
          <w:sz w:val="24"/>
          <w:szCs w:val="24"/>
        </w:rPr>
        <w:t>Upper Tribunal</w:t>
      </w:r>
    </w:p>
    <w:p w14:paraId="6D70F2FE" w14:textId="7D124EC0" w:rsidR="006E5DB5" w:rsidRDefault="006E5DB5" w:rsidP="008616F9">
      <w:pPr>
        <w:tabs>
          <w:tab w:val="right" w:pos="9639"/>
        </w:tabs>
        <w:rPr>
          <w:rFonts w:ascii="Book Antiqua" w:hAnsi="Book Antiqua" w:cs="Arial"/>
          <w:b/>
          <w:bCs/>
          <w:color w:val="000000"/>
          <w:sz w:val="24"/>
          <w:szCs w:val="24"/>
        </w:rPr>
      </w:pPr>
      <w:r w:rsidRPr="004732BE">
        <w:rPr>
          <w:rFonts w:ascii="Book Antiqua" w:hAnsi="Book Antiqua" w:cs="Arial"/>
          <w:b/>
          <w:color w:val="000000"/>
          <w:sz w:val="24"/>
          <w:szCs w:val="24"/>
        </w:rPr>
        <w:t>(Immigration and Asylum Chamber)</w:t>
      </w:r>
      <w:r w:rsidR="008616F9">
        <w:rPr>
          <w:rFonts w:ascii="Book Antiqua" w:hAnsi="Book Antiqua" w:cs="Arial"/>
          <w:b/>
          <w:color w:val="000000"/>
          <w:sz w:val="24"/>
          <w:szCs w:val="24"/>
        </w:rPr>
        <w:tab/>
      </w:r>
      <w:r w:rsidRPr="004732BE">
        <w:rPr>
          <w:rFonts w:ascii="Book Antiqua" w:hAnsi="Book Antiqua" w:cs="Arial"/>
          <w:b/>
          <w:bCs/>
          <w:color w:val="000000"/>
          <w:sz w:val="24"/>
          <w:szCs w:val="24"/>
        </w:rPr>
        <w:t xml:space="preserve">Appeal Number: </w:t>
      </w:r>
      <w:bookmarkStart w:id="0" w:name="_GoBack"/>
      <w:r w:rsidR="00D82431" w:rsidRPr="00D82431">
        <w:rPr>
          <w:rFonts w:ascii="Book Antiqua" w:hAnsi="Book Antiqua" w:cs="Arial"/>
          <w:b/>
          <w:bCs/>
          <w:color w:val="000000"/>
          <w:sz w:val="24"/>
          <w:szCs w:val="24"/>
        </w:rPr>
        <w:t>PA/05537/2017</w:t>
      </w:r>
      <w:bookmarkEnd w:id="0"/>
    </w:p>
    <w:p w14:paraId="2126FE86" w14:textId="7DD6D3DE" w:rsidR="006E5DB5" w:rsidRDefault="006E5DB5" w:rsidP="008616F9">
      <w:pPr>
        <w:tabs>
          <w:tab w:val="right" w:pos="9720"/>
        </w:tabs>
        <w:jc w:val="center"/>
        <w:rPr>
          <w:rFonts w:ascii="Book Antiqua" w:hAnsi="Book Antiqua" w:cs="Arial"/>
          <w:b/>
          <w:bCs/>
          <w:color w:val="000000"/>
          <w:sz w:val="24"/>
          <w:szCs w:val="24"/>
        </w:rPr>
      </w:pPr>
    </w:p>
    <w:p w14:paraId="6FFF2515" w14:textId="358AD838" w:rsidR="006E5DB5" w:rsidRPr="00633689" w:rsidRDefault="006E5DB5" w:rsidP="008616F9">
      <w:pPr>
        <w:tabs>
          <w:tab w:val="right" w:pos="9720"/>
        </w:tabs>
        <w:jc w:val="center"/>
        <w:rPr>
          <w:rFonts w:ascii="Book Antiqua" w:hAnsi="Book Antiqua" w:cs="Arial"/>
          <w:b/>
          <w:bCs/>
          <w:color w:val="000000"/>
          <w:sz w:val="24"/>
          <w:szCs w:val="24"/>
        </w:rPr>
      </w:pPr>
    </w:p>
    <w:p w14:paraId="2A3E7EA2" w14:textId="77777777" w:rsidR="006E5DB5" w:rsidRDefault="006E5DB5" w:rsidP="008616F9">
      <w:pPr>
        <w:jc w:val="center"/>
        <w:rPr>
          <w:rFonts w:ascii="Book Antiqua" w:hAnsi="Book Antiqua" w:cs="Arial"/>
          <w:b/>
          <w:color w:val="000000"/>
          <w:sz w:val="24"/>
          <w:szCs w:val="24"/>
          <w:u w:val="single"/>
        </w:rPr>
      </w:pPr>
      <w:r w:rsidRPr="004732BE">
        <w:rPr>
          <w:rFonts w:ascii="Book Antiqua" w:hAnsi="Book Antiqua" w:cs="Arial"/>
          <w:b/>
          <w:color w:val="000000"/>
          <w:sz w:val="24"/>
          <w:szCs w:val="24"/>
          <w:u w:val="single"/>
        </w:rPr>
        <w:t>THE IMMIGRATION ACTS</w:t>
      </w:r>
    </w:p>
    <w:p w14:paraId="3A8CC4D3" w14:textId="1D279298" w:rsidR="00AB5809" w:rsidRDefault="00AB5809" w:rsidP="008616F9">
      <w:pPr>
        <w:jc w:val="center"/>
        <w:rPr>
          <w:rFonts w:ascii="Book Antiqua" w:hAnsi="Book Antiqua" w:cs="Arial"/>
          <w:b/>
          <w:color w:val="000000"/>
          <w:sz w:val="24"/>
          <w:szCs w:val="24"/>
          <w:u w:val="single"/>
        </w:rPr>
      </w:pPr>
    </w:p>
    <w:p w14:paraId="122F866C" w14:textId="14F3A0FC" w:rsidR="008616F9" w:rsidRDefault="008616F9" w:rsidP="008616F9">
      <w:pPr>
        <w:jc w:val="center"/>
        <w:rPr>
          <w:rFonts w:ascii="Book Antiqua" w:hAnsi="Book Antiqua" w:cs="Arial"/>
          <w:b/>
          <w:color w:val="000000"/>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8616F9" w14:paraId="7D05B780" w14:textId="77777777" w:rsidTr="008616F9">
        <w:tc>
          <w:tcPr>
            <w:tcW w:w="4814" w:type="dxa"/>
          </w:tcPr>
          <w:p w14:paraId="2670ECF6" w14:textId="143AC09C" w:rsidR="008616F9" w:rsidRDefault="008616F9" w:rsidP="008616F9">
            <w:pPr>
              <w:rPr>
                <w:rFonts w:ascii="Book Antiqua" w:hAnsi="Book Antiqua" w:cs="Arial"/>
                <w:b/>
                <w:color w:val="000000"/>
                <w:sz w:val="24"/>
                <w:szCs w:val="24"/>
                <w:u w:val="single"/>
              </w:rPr>
            </w:pPr>
            <w:r w:rsidRPr="00AB5809">
              <w:rPr>
                <w:rFonts w:ascii="Book Antiqua" w:hAnsi="Book Antiqua" w:cs="Arial"/>
                <w:b/>
                <w:color w:val="000000"/>
                <w:sz w:val="24"/>
                <w:szCs w:val="24"/>
              </w:rPr>
              <w:t>Heard at Field House</w:t>
            </w:r>
          </w:p>
        </w:tc>
        <w:tc>
          <w:tcPr>
            <w:tcW w:w="4815" w:type="dxa"/>
          </w:tcPr>
          <w:p w14:paraId="553F6B56" w14:textId="483BE8DC" w:rsidR="008616F9" w:rsidRDefault="008616F9" w:rsidP="008616F9">
            <w:pPr>
              <w:jc w:val="right"/>
              <w:rPr>
                <w:rFonts w:ascii="Book Antiqua" w:hAnsi="Book Antiqua" w:cs="Arial"/>
                <w:b/>
                <w:color w:val="000000"/>
                <w:sz w:val="24"/>
                <w:szCs w:val="24"/>
                <w:u w:val="single"/>
              </w:rPr>
            </w:pPr>
            <w:r>
              <w:rPr>
                <w:rFonts w:ascii="Book Antiqua" w:hAnsi="Book Antiqua" w:cs="Arial"/>
                <w:b/>
                <w:color w:val="000000"/>
                <w:sz w:val="24"/>
                <w:szCs w:val="24"/>
              </w:rPr>
              <w:t>Decision &amp; Reasons Promulgated</w:t>
            </w:r>
          </w:p>
        </w:tc>
      </w:tr>
      <w:tr w:rsidR="008616F9" w14:paraId="01A35A3A" w14:textId="77777777" w:rsidTr="008616F9">
        <w:tc>
          <w:tcPr>
            <w:tcW w:w="4814" w:type="dxa"/>
          </w:tcPr>
          <w:p w14:paraId="5F5DB3F7" w14:textId="0D1D2721" w:rsidR="008616F9" w:rsidRDefault="008616F9" w:rsidP="008616F9">
            <w:pPr>
              <w:rPr>
                <w:rFonts w:ascii="Book Antiqua" w:hAnsi="Book Antiqua" w:cs="Arial"/>
                <w:b/>
                <w:color w:val="000000"/>
                <w:sz w:val="24"/>
                <w:szCs w:val="24"/>
                <w:u w:val="single"/>
              </w:rPr>
            </w:pPr>
            <w:r w:rsidRPr="00E33C87">
              <w:rPr>
                <w:rFonts w:ascii="Book Antiqua" w:hAnsi="Book Antiqua" w:cs="Arial"/>
                <w:b/>
                <w:sz w:val="24"/>
                <w:szCs w:val="24"/>
              </w:rPr>
              <w:t xml:space="preserve">On </w:t>
            </w:r>
            <w:r>
              <w:rPr>
                <w:rFonts w:ascii="Book Antiqua" w:hAnsi="Book Antiqua" w:cs="Arial"/>
                <w:b/>
                <w:sz w:val="24"/>
                <w:szCs w:val="24"/>
              </w:rPr>
              <w:t>23 August 2018</w:t>
            </w:r>
          </w:p>
        </w:tc>
        <w:tc>
          <w:tcPr>
            <w:tcW w:w="4815" w:type="dxa"/>
          </w:tcPr>
          <w:p w14:paraId="28CDFE59" w14:textId="5D916528" w:rsidR="008616F9" w:rsidRDefault="008616F9" w:rsidP="008616F9">
            <w:pPr>
              <w:jc w:val="right"/>
              <w:rPr>
                <w:rFonts w:ascii="Book Antiqua" w:hAnsi="Book Antiqua" w:cs="Arial"/>
                <w:b/>
                <w:color w:val="000000"/>
                <w:sz w:val="24"/>
                <w:szCs w:val="24"/>
                <w:u w:val="single"/>
              </w:rPr>
            </w:pPr>
            <w:r>
              <w:rPr>
                <w:rFonts w:ascii="Book Antiqua" w:hAnsi="Book Antiqua" w:cs="Arial"/>
                <w:b/>
                <w:sz w:val="24"/>
                <w:szCs w:val="24"/>
              </w:rPr>
              <w:t>On 03 September 2018</w:t>
            </w:r>
          </w:p>
        </w:tc>
      </w:tr>
    </w:tbl>
    <w:p w14:paraId="7506D020" w14:textId="77777777" w:rsidR="008616F9" w:rsidRDefault="008616F9" w:rsidP="008616F9">
      <w:pPr>
        <w:jc w:val="center"/>
        <w:rPr>
          <w:rFonts w:ascii="Book Antiqua" w:hAnsi="Book Antiqua" w:cs="Arial"/>
          <w:b/>
          <w:color w:val="000000"/>
          <w:sz w:val="24"/>
          <w:szCs w:val="24"/>
          <w:u w:val="single"/>
        </w:rPr>
      </w:pPr>
    </w:p>
    <w:p w14:paraId="2A6D36B4" w14:textId="77777777" w:rsidR="008616F9" w:rsidRDefault="008616F9" w:rsidP="008616F9">
      <w:pPr>
        <w:jc w:val="center"/>
        <w:rPr>
          <w:rFonts w:ascii="Book Antiqua" w:hAnsi="Book Antiqua" w:cs="Arial"/>
          <w:b/>
          <w:color w:val="000000"/>
          <w:sz w:val="24"/>
          <w:szCs w:val="24"/>
          <w:u w:val="single"/>
        </w:rPr>
      </w:pPr>
    </w:p>
    <w:p w14:paraId="30D1996B" w14:textId="216B3F6F" w:rsidR="006E5DB5" w:rsidRDefault="006E5DB5" w:rsidP="008616F9">
      <w:pPr>
        <w:jc w:val="center"/>
        <w:rPr>
          <w:rFonts w:ascii="Book Antiqua" w:hAnsi="Book Antiqua" w:cs="Arial"/>
          <w:b/>
          <w:sz w:val="24"/>
          <w:szCs w:val="24"/>
        </w:rPr>
      </w:pPr>
      <w:r w:rsidRPr="004732BE">
        <w:rPr>
          <w:rFonts w:ascii="Book Antiqua" w:hAnsi="Book Antiqua" w:cs="Arial"/>
          <w:b/>
          <w:sz w:val="24"/>
          <w:szCs w:val="24"/>
        </w:rPr>
        <w:t>Before</w:t>
      </w:r>
    </w:p>
    <w:p w14:paraId="73F76127" w14:textId="77777777" w:rsidR="006E5DB5" w:rsidRDefault="006E5DB5" w:rsidP="008616F9">
      <w:pPr>
        <w:jc w:val="center"/>
        <w:rPr>
          <w:rFonts w:ascii="Book Antiqua" w:hAnsi="Book Antiqua" w:cs="Arial"/>
          <w:b/>
          <w:sz w:val="24"/>
          <w:szCs w:val="24"/>
        </w:rPr>
      </w:pPr>
    </w:p>
    <w:p w14:paraId="745719B7" w14:textId="73988766" w:rsidR="006E5DB5" w:rsidRPr="004732BE" w:rsidRDefault="006F4B09" w:rsidP="008616F9">
      <w:pPr>
        <w:jc w:val="center"/>
        <w:rPr>
          <w:rFonts w:ascii="Book Antiqua" w:hAnsi="Book Antiqua" w:cs="Arial"/>
          <w:b/>
          <w:color w:val="000000"/>
          <w:sz w:val="24"/>
          <w:szCs w:val="24"/>
        </w:rPr>
      </w:pPr>
      <w:r>
        <w:rPr>
          <w:rFonts w:ascii="Book Antiqua" w:hAnsi="Book Antiqua" w:cs="Arial"/>
          <w:b/>
          <w:color w:val="000000"/>
          <w:sz w:val="24"/>
          <w:szCs w:val="24"/>
        </w:rPr>
        <w:t xml:space="preserve">DEPUTY UPPER TRIBUNAL JUDGE </w:t>
      </w:r>
      <w:r w:rsidR="006E5DB5" w:rsidRPr="004732BE">
        <w:rPr>
          <w:rFonts w:ascii="Book Antiqua" w:hAnsi="Book Antiqua" w:cs="Arial"/>
          <w:b/>
          <w:color w:val="000000"/>
          <w:sz w:val="24"/>
          <w:szCs w:val="24"/>
        </w:rPr>
        <w:t xml:space="preserve">MANUELL </w:t>
      </w:r>
    </w:p>
    <w:p w14:paraId="4C8267C2" w14:textId="77777777" w:rsidR="006E5DB5" w:rsidRPr="004732BE" w:rsidRDefault="006E5DB5" w:rsidP="008616F9">
      <w:pPr>
        <w:jc w:val="center"/>
        <w:rPr>
          <w:rFonts w:ascii="Book Antiqua" w:hAnsi="Book Antiqua" w:cs="Arial"/>
          <w:b/>
          <w:color w:val="000000"/>
          <w:sz w:val="24"/>
          <w:szCs w:val="24"/>
        </w:rPr>
      </w:pPr>
    </w:p>
    <w:p w14:paraId="41D35511" w14:textId="77777777" w:rsidR="006E5DB5" w:rsidRPr="004732BE" w:rsidRDefault="006E5DB5" w:rsidP="008616F9">
      <w:pPr>
        <w:rPr>
          <w:rFonts w:ascii="Book Antiqua" w:hAnsi="Book Antiqua" w:cs="Arial"/>
          <w:b/>
          <w:sz w:val="24"/>
          <w:szCs w:val="24"/>
        </w:rPr>
      </w:pPr>
    </w:p>
    <w:p w14:paraId="637353FA" w14:textId="77777777" w:rsidR="006E5DB5" w:rsidRDefault="006E5DB5" w:rsidP="008616F9">
      <w:pPr>
        <w:jc w:val="center"/>
        <w:rPr>
          <w:rFonts w:ascii="Book Antiqua" w:hAnsi="Book Antiqua" w:cs="Arial"/>
          <w:b/>
          <w:sz w:val="24"/>
          <w:szCs w:val="24"/>
        </w:rPr>
      </w:pPr>
      <w:r w:rsidRPr="004732BE">
        <w:rPr>
          <w:rFonts w:ascii="Book Antiqua" w:hAnsi="Book Antiqua" w:cs="Arial"/>
          <w:b/>
          <w:sz w:val="24"/>
          <w:szCs w:val="24"/>
        </w:rPr>
        <w:t>Between</w:t>
      </w:r>
    </w:p>
    <w:p w14:paraId="5A697FC0" w14:textId="77777777" w:rsidR="006E5DB5" w:rsidRDefault="006E5DB5" w:rsidP="008616F9">
      <w:pPr>
        <w:jc w:val="center"/>
        <w:rPr>
          <w:rFonts w:ascii="Book Antiqua" w:hAnsi="Book Antiqua" w:cs="Arial"/>
          <w:b/>
          <w:sz w:val="24"/>
          <w:szCs w:val="24"/>
        </w:rPr>
      </w:pPr>
    </w:p>
    <w:p w14:paraId="1C56D21A" w14:textId="5FCC3C30" w:rsidR="00F26992" w:rsidRDefault="006F4B09" w:rsidP="008616F9">
      <w:pPr>
        <w:jc w:val="center"/>
        <w:rPr>
          <w:rFonts w:ascii="Book Antiqua" w:hAnsi="Book Antiqua" w:cs="Arial"/>
          <w:b/>
          <w:sz w:val="24"/>
          <w:szCs w:val="24"/>
        </w:rPr>
      </w:pPr>
      <w:r>
        <w:rPr>
          <w:rFonts w:ascii="Book Antiqua" w:hAnsi="Book Antiqua" w:cs="Arial"/>
          <w:b/>
          <w:sz w:val="24"/>
          <w:szCs w:val="24"/>
        </w:rPr>
        <w:t>MRS</w:t>
      </w:r>
      <w:r w:rsidR="00FB4C3F">
        <w:rPr>
          <w:rFonts w:ascii="Book Antiqua" w:hAnsi="Book Antiqua" w:cs="Arial"/>
          <w:b/>
          <w:sz w:val="24"/>
          <w:szCs w:val="24"/>
        </w:rPr>
        <w:t xml:space="preserve"> KAZHAL SARDAR JAMAL</w:t>
      </w:r>
    </w:p>
    <w:p w14:paraId="49C6F1C2" w14:textId="77777777" w:rsidR="006E5DB5" w:rsidRPr="008616F9" w:rsidRDefault="002C3F34" w:rsidP="008616F9">
      <w:pPr>
        <w:jc w:val="center"/>
        <w:rPr>
          <w:rFonts w:ascii="Book Antiqua" w:hAnsi="Book Antiqua" w:cs="Arial"/>
          <w:b/>
          <w:sz w:val="22"/>
          <w:szCs w:val="24"/>
        </w:rPr>
      </w:pPr>
      <w:r w:rsidRPr="008616F9">
        <w:rPr>
          <w:rFonts w:ascii="Book Antiqua" w:hAnsi="Book Antiqua" w:cs="Arial"/>
          <w:b/>
          <w:sz w:val="22"/>
          <w:szCs w:val="24"/>
        </w:rPr>
        <w:t>(ANONYMITY DIRECTION NOT MADE)</w:t>
      </w:r>
    </w:p>
    <w:p w14:paraId="70356FCC" w14:textId="77777777" w:rsidR="006E5DB5" w:rsidRPr="004732BE" w:rsidRDefault="006E5DB5" w:rsidP="008616F9">
      <w:pPr>
        <w:jc w:val="right"/>
        <w:rPr>
          <w:rFonts w:ascii="Book Antiqua" w:hAnsi="Book Antiqua" w:cs="Arial"/>
          <w:sz w:val="24"/>
          <w:szCs w:val="24"/>
          <w:u w:val="single"/>
        </w:rPr>
      </w:pPr>
      <w:r w:rsidRPr="004732BE">
        <w:rPr>
          <w:rFonts w:ascii="Book Antiqua" w:hAnsi="Book Antiqua" w:cs="Arial"/>
          <w:sz w:val="24"/>
          <w:szCs w:val="24"/>
          <w:u w:val="single"/>
        </w:rPr>
        <w:t>Appellant</w:t>
      </w:r>
      <w:r w:rsidR="00035A3A">
        <w:rPr>
          <w:rFonts w:ascii="Book Antiqua" w:hAnsi="Book Antiqua" w:cs="Arial"/>
          <w:sz w:val="24"/>
          <w:szCs w:val="24"/>
          <w:u w:val="single"/>
        </w:rPr>
        <w:t xml:space="preserve"> </w:t>
      </w:r>
    </w:p>
    <w:p w14:paraId="4D0EDA86" w14:textId="77777777" w:rsidR="006E5DB5" w:rsidRDefault="006E5DB5" w:rsidP="008616F9">
      <w:pPr>
        <w:jc w:val="center"/>
        <w:rPr>
          <w:rFonts w:ascii="Book Antiqua" w:hAnsi="Book Antiqua" w:cs="Arial"/>
          <w:b/>
          <w:sz w:val="24"/>
          <w:szCs w:val="24"/>
        </w:rPr>
      </w:pPr>
      <w:r>
        <w:rPr>
          <w:rFonts w:ascii="Book Antiqua" w:hAnsi="Book Antiqua" w:cs="Arial"/>
          <w:b/>
          <w:sz w:val="24"/>
          <w:szCs w:val="24"/>
        </w:rPr>
        <w:t>an</w:t>
      </w:r>
      <w:r w:rsidRPr="004732BE">
        <w:rPr>
          <w:rFonts w:ascii="Book Antiqua" w:hAnsi="Book Antiqua" w:cs="Arial"/>
          <w:b/>
          <w:sz w:val="24"/>
          <w:szCs w:val="24"/>
        </w:rPr>
        <w:t>d</w:t>
      </w:r>
    </w:p>
    <w:p w14:paraId="4DE2126F" w14:textId="77777777" w:rsidR="006E5DB5" w:rsidRDefault="006E5DB5" w:rsidP="008616F9">
      <w:pPr>
        <w:jc w:val="center"/>
        <w:rPr>
          <w:rFonts w:ascii="Book Antiqua" w:hAnsi="Book Antiqua" w:cs="Arial"/>
          <w:b/>
          <w:sz w:val="24"/>
          <w:szCs w:val="24"/>
        </w:rPr>
      </w:pPr>
    </w:p>
    <w:bookmarkStart w:id="1" w:name="Text7"/>
    <w:p w14:paraId="74E9F84C" w14:textId="77777777" w:rsidR="006E5DB5" w:rsidRDefault="002C3F34" w:rsidP="008616F9">
      <w:pPr>
        <w:jc w:val="center"/>
        <w:rPr>
          <w:rFonts w:ascii="Book Antiqua" w:hAnsi="Book Antiqua" w:cs="Arial"/>
          <w:b/>
          <w:sz w:val="24"/>
          <w:szCs w:val="24"/>
        </w:rPr>
      </w:pPr>
      <w:r w:rsidRPr="004732BE">
        <w:rPr>
          <w:rFonts w:ascii="Book Antiqua" w:hAnsi="Book Antiqua" w:cs="Arial"/>
          <w:b/>
          <w:sz w:val="24"/>
          <w:szCs w:val="24"/>
        </w:rPr>
        <w:fldChar w:fldCharType="begin">
          <w:ffData>
            <w:name w:val="Text7"/>
            <w:enabled/>
            <w:calcOnExit w:val="0"/>
            <w:textInput>
              <w:default w:val="THE SECRETARY OF STATE FOR THE HOME DEPARTMENT"/>
              <w:format w:val="UPPERCASE"/>
            </w:textInput>
          </w:ffData>
        </w:fldChar>
      </w:r>
      <w:r w:rsidRPr="004732BE">
        <w:rPr>
          <w:rFonts w:ascii="Book Antiqua" w:hAnsi="Book Antiqua" w:cs="Arial"/>
          <w:b/>
          <w:sz w:val="24"/>
          <w:szCs w:val="24"/>
        </w:rPr>
        <w:instrText xml:space="preserve"> FORMTEXT </w:instrText>
      </w:r>
      <w:r w:rsidRPr="004732BE">
        <w:rPr>
          <w:rFonts w:ascii="Book Antiqua" w:hAnsi="Book Antiqua" w:cs="Arial"/>
          <w:b/>
          <w:sz w:val="24"/>
          <w:szCs w:val="24"/>
        </w:rPr>
      </w:r>
      <w:r w:rsidRPr="004732BE">
        <w:rPr>
          <w:rFonts w:ascii="Book Antiqua" w:hAnsi="Book Antiqua" w:cs="Arial"/>
          <w:b/>
          <w:sz w:val="24"/>
          <w:szCs w:val="24"/>
        </w:rPr>
        <w:fldChar w:fldCharType="separate"/>
      </w:r>
      <w:r w:rsidRPr="004732BE">
        <w:rPr>
          <w:rFonts w:ascii="Book Antiqua" w:hAnsi="Book Antiqua" w:cs="Arial"/>
          <w:b/>
          <w:noProof/>
          <w:sz w:val="24"/>
          <w:szCs w:val="24"/>
        </w:rPr>
        <w:t>THE SECRETARY OF STATE FOR THE HOME DEPARTMENT</w:t>
      </w:r>
      <w:r w:rsidRPr="004732BE">
        <w:rPr>
          <w:rFonts w:ascii="Book Antiqua" w:hAnsi="Book Antiqua" w:cs="Arial"/>
          <w:b/>
          <w:sz w:val="24"/>
          <w:szCs w:val="24"/>
        </w:rPr>
        <w:fldChar w:fldCharType="end"/>
      </w:r>
      <w:bookmarkEnd w:id="1"/>
      <w:r>
        <w:rPr>
          <w:rFonts w:ascii="Book Antiqua" w:hAnsi="Book Antiqua" w:cs="Arial"/>
          <w:b/>
          <w:sz w:val="24"/>
          <w:szCs w:val="24"/>
        </w:rPr>
        <w:tab/>
      </w:r>
    </w:p>
    <w:p w14:paraId="4EE782DB" w14:textId="77777777" w:rsidR="006E5DB5" w:rsidRPr="004732BE" w:rsidRDefault="006E5DB5" w:rsidP="008616F9">
      <w:pPr>
        <w:jc w:val="right"/>
        <w:rPr>
          <w:rFonts w:ascii="Book Antiqua" w:hAnsi="Book Antiqua" w:cs="Arial"/>
          <w:sz w:val="24"/>
          <w:szCs w:val="24"/>
          <w:u w:val="single"/>
        </w:rPr>
      </w:pPr>
      <w:r w:rsidRPr="004732BE">
        <w:rPr>
          <w:rFonts w:ascii="Book Antiqua" w:hAnsi="Book Antiqua" w:cs="Arial"/>
          <w:sz w:val="24"/>
          <w:szCs w:val="24"/>
          <w:u w:val="single"/>
        </w:rPr>
        <w:t>Respondent</w:t>
      </w:r>
    </w:p>
    <w:p w14:paraId="2293E028" w14:textId="0252FFC8" w:rsidR="006E5DB5" w:rsidRDefault="006E5DB5" w:rsidP="008616F9">
      <w:pPr>
        <w:rPr>
          <w:rFonts w:ascii="Book Antiqua" w:hAnsi="Book Antiqua" w:cs="Arial"/>
          <w:sz w:val="24"/>
          <w:szCs w:val="24"/>
          <w:u w:val="single"/>
        </w:rPr>
      </w:pPr>
    </w:p>
    <w:p w14:paraId="452B4E28" w14:textId="77777777" w:rsidR="008616F9" w:rsidRPr="004732BE" w:rsidRDefault="008616F9" w:rsidP="008616F9">
      <w:pPr>
        <w:rPr>
          <w:rFonts w:ascii="Book Antiqua" w:hAnsi="Book Antiqua" w:cs="Arial"/>
          <w:sz w:val="24"/>
          <w:szCs w:val="24"/>
          <w:u w:val="single"/>
        </w:rPr>
      </w:pPr>
    </w:p>
    <w:p w14:paraId="1E0B14C8" w14:textId="77777777" w:rsidR="006E5DB5" w:rsidRPr="004732BE" w:rsidRDefault="006E5DB5" w:rsidP="008616F9">
      <w:pPr>
        <w:rPr>
          <w:rFonts w:ascii="Book Antiqua" w:hAnsi="Book Antiqua" w:cs="Arial"/>
          <w:sz w:val="24"/>
          <w:szCs w:val="24"/>
        </w:rPr>
      </w:pPr>
      <w:r w:rsidRPr="004732BE">
        <w:rPr>
          <w:rFonts w:ascii="Book Antiqua" w:hAnsi="Book Antiqua" w:cs="Arial"/>
          <w:b/>
          <w:sz w:val="24"/>
          <w:szCs w:val="24"/>
          <w:u w:val="single"/>
        </w:rPr>
        <w:t>Representation</w:t>
      </w:r>
      <w:r w:rsidRPr="004732BE">
        <w:rPr>
          <w:rFonts w:ascii="Book Antiqua" w:hAnsi="Book Antiqua" w:cs="Arial"/>
          <w:b/>
          <w:sz w:val="24"/>
          <w:szCs w:val="24"/>
        </w:rPr>
        <w:t>:</w:t>
      </w:r>
    </w:p>
    <w:p w14:paraId="7C23BD23" w14:textId="37E49688" w:rsidR="006E5DB5" w:rsidRDefault="006E5DB5" w:rsidP="008616F9">
      <w:pPr>
        <w:tabs>
          <w:tab w:val="left" w:pos="2552"/>
        </w:tabs>
        <w:rPr>
          <w:rFonts w:ascii="Book Antiqua" w:hAnsi="Book Antiqua" w:cs="Arial"/>
          <w:sz w:val="24"/>
          <w:szCs w:val="24"/>
        </w:rPr>
      </w:pPr>
      <w:r w:rsidRPr="004732BE">
        <w:rPr>
          <w:rFonts w:ascii="Book Antiqua" w:hAnsi="Book Antiqua" w:cs="Arial"/>
          <w:sz w:val="24"/>
          <w:szCs w:val="24"/>
        </w:rPr>
        <w:t>For the Appellant:</w:t>
      </w:r>
      <w:r w:rsidR="008616F9">
        <w:rPr>
          <w:rFonts w:ascii="Book Antiqua" w:hAnsi="Book Antiqua" w:cs="Arial"/>
          <w:sz w:val="24"/>
          <w:szCs w:val="24"/>
        </w:rPr>
        <w:tab/>
      </w:r>
      <w:r>
        <w:rPr>
          <w:rFonts w:ascii="Book Antiqua" w:hAnsi="Book Antiqua" w:cs="Arial"/>
          <w:sz w:val="24"/>
          <w:szCs w:val="24"/>
        </w:rPr>
        <w:t>M</w:t>
      </w:r>
      <w:r w:rsidR="00EC1054">
        <w:rPr>
          <w:rFonts w:ascii="Book Antiqua" w:hAnsi="Book Antiqua" w:cs="Arial"/>
          <w:sz w:val="24"/>
          <w:szCs w:val="24"/>
        </w:rPr>
        <w:t xml:space="preserve">r </w:t>
      </w:r>
      <w:r w:rsidR="00FB4C3F">
        <w:rPr>
          <w:rFonts w:ascii="Book Antiqua" w:hAnsi="Book Antiqua" w:cs="Arial"/>
          <w:sz w:val="24"/>
          <w:szCs w:val="24"/>
        </w:rPr>
        <w:t>R K Rai</w:t>
      </w:r>
      <w:r>
        <w:rPr>
          <w:rFonts w:ascii="Book Antiqua" w:hAnsi="Book Antiqua" w:cs="Arial"/>
          <w:sz w:val="24"/>
          <w:szCs w:val="24"/>
        </w:rPr>
        <w:t xml:space="preserve">, </w:t>
      </w:r>
      <w:r w:rsidR="00F26992">
        <w:rPr>
          <w:rFonts w:ascii="Book Antiqua" w:hAnsi="Book Antiqua" w:cs="Arial"/>
          <w:sz w:val="24"/>
          <w:szCs w:val="24"/>
        </w:rPr>
        <w:t xml:space="preserve">Counsel </w:t>
      </w:r>
      <w:r>
        <w:rPr>
          <w:rFonts w:ascii="Book Antiqua" w:hAnsi="Book Antiqua" w:cs="Arial"/>
          <w:sz w:val="24"/>
          <w:szCs w:val="24"/>
        </w:rPr>
        <w:t>(</w:t>
      </w:r>
      <w:r w:rsidR="00FB4C3F">
        <w:rPr>
          <w:rFonts w:ascii="Book Antiqua" w:hAnsi="Book Antiqua" w:cs="Arial"/>
          <w:sz w:val="24"/>
          <w:szCs w:val="24"/>
        </w:rPr>
        <w:t>instructed by Caulker &amp; Co</w:t>
      </w:r>
      <w:r w:rsidR="008616F9">
        <w:rPr>
          <w:rFonts w:ascii="Book Antiqua" w:hAnsi="Book Antiqua" w:cs="Arial"/>
          <w:sz w:val="24"/>
          <w:szCs w:val="24"/>
        </w:rPr>
        <w:t>)</w:t>
      </w:r>
    </w:p>
    <w:p w14:paraId="021BF0FD" w14:textId="4B4CC427" w:rsidR="006E5DB5" w:rsidRPr="004732BE" w:rsidRDefault="006E5DB5" w:rsidP="008616F9">
      <w:pPr>
        <w:tabs>
          <w:tab w:val="left" w:pos="2552"/>
        </w:tabs>
        <w:rPr>
          <w:rFonts w:ascii="Book Antiqua" w:hAnsi="Book Antiqua" w:cs="Arial"/>
          <w:sz w:val="24"/>
          <w:szCs w:val="24"/>
        </w:rPr>
      </w:pPr>
      <w:r w:rsidRPr="004732BE">
        <w:rPr>
          <w:rFonts w:ascii="Book Antiqua" w:hAnsi="Book Antiqua" w:cs="Arial"/>
          <w:sz w:val="24"/>
          <w:szCs w:val="24"/>
        </w:rPr>
        <w:t>For the Respondent:</w:t>
      </w:r>
      <w:r w:rsidR="008616F9">
        <w:rPr>
          <w:rFonts w:ascii="Book Antiqua" w:hAnsi="Book Antiqua" w:cs="Arial"/>
          <w:sz w:val="24"/>
          <w:szCs w:val="24"/>
        </w:rPr>
        <w:tab/>
      </w:r>
      <w:r>
        <w:rPr>
          <w:rFonts w:ascii="Book Antiqua" w:hAnsi="Book Antiqua" w:cs="Arial"/>
          <w:sz w:val="24"/>
          <w:szCs w:val="24"/>
        </w:rPr>
        <w:t xml:space="preserve">Mr </w:t>
      </w:r>
      <w:r w:rsidR="00C14723">
        <w:rPr>
          <w:rFonts w:ascii="Book Antiqua" w:hAnsi="Book Antiqua" w:cs="Arial"/>
          <w:sz w:val="24"/>
          <w:szCs w:val="24"/>
        </w:rPr>
        <w:t>C</w:t>
      </w:r>
      <w:r w:rsidR="0024464F">
        <w:rPr>
          <w:rFonts w:ascii="Book Antiqua" w:hAnsi="Book Antiqua" w:cs="Arial"/>
          <w:sz w:val="24"/>
          <w:szCs w:val="24"/>
        </w:rPr>
        <w:t xml:space="preserve"> </w:t>
      </w:r>
      <w:r w:rsidR="00C14723">
        <w:rPr>
          <w:rFonts w:ascii="Book Antiqua" w:hAnsi="Book Antiqua" w:cs="Arial"/>
          <w:sz w:val="24"/>
          <w:szCs w:val="24"/>
        </w:rPr>
        <w:t>Avery</w:t>
      </w:r>
      <w:r>
        <w:rPr>
          <w:rFonts w:ascii="Book Antiqua" w:hAnsi="Book Antiqua" w:cs="Arial"/>
          <w:sz w:val="24"/>
          <w:szCs w:val="24"/>
        </w:rPr>
        <w:t>,</w:t>
      </w:r>
      <w:r w:rsidRPr="00984CCA">
        <w:rPr>
          <w:rFonts w:ascii="Book Antiqua" w:hAnsi="Book Antiqua" w:cs="Arial"/>
          <w:sz w:val="24"/>
          <w:szCs w:val="24"/>
        </w:rPr>
        <w:t xml:space="preserve"> </w:t>
      </w:r>
      <w:r w:rsidRPr="00C40B63">
        <w:rPr>
          <w:rFonts w:ascii="Book Antiqua" w:hAnsi="Book Antiqua" w:cs="Arial"/>
          <w:sz w:val="24"/>
          <w:szCs w:val="24"/>
        </w:rPr>
        <w:t>Home Office Presenting Officer</w:t>
      </w:r>
    </w:p>
    <w:p w14:paraId="04F8DB7A" w14:textId="77777777" w:rsidR="006E5DB5" w:rsidRDefault="006E5DB5" w:rsidP="008616F9">
      <w:pPr>
        <w:tabs>
          <w:tab w:val="left" w:pos="2520"/>
        </w:tabs>
        <w:jc w:val="center"/>
        <w:rPr>
          <w:rFonts w:ascii="Book Antiqua" w:hAnsi="Book Antiqua" w:cs="Arial"/>
          <w:sz w:val="24"/>
          <w:szCs w:val="24"/>
        </w:rPr>
      </w:pPr>
    </w:p>
    <w:p w14:paraId="5A088853" w14:textId="77777777" w:rsidR="006E5DB5" w:rsidRPr="004732BE" w:rsidRDefault="006E5DB5" w:rsidP="008616F9">
      <w:pPr>
        <w:tabs>
          <w:tab w:val="left" w:pos="2520"/>
        </w:tabs>
        <w:jc w:val="center"/>
        <w:rPr>
          <w:rFonts w:ascii="Book Antiqua" w:hAnsi="Book Antiqua" w:cs="Arial"/>
          <w:sz w:val="24"/>
          <w:szCs w:val="24"/>
        </w:rPr>
      </w:pPr>
    </w:p>
    <w:p w14:paraId="1462C10C" w14:textId="77777777" w:rsidR="006E5DB5" w:rsidRPr="00AB5809" w:rsidRDefault="006E5DB5" w:rsidP="008616F9">
      <w:pPr>
        <w:tabs>
          <w:tab w:val="left" w:pos="2520"/>
        </w:tabs>
        <w:jc w:val="center"/>
        <w:rPr>
          <w:rFonts w:ascii="Book Antiqua" w:hAnsi="Book Antiqua" w:cs="Arial"/>
          <w:sz w:val="24"/>
          <w:szCs w:val="24"/>
        </w:rPr>
      </w:pPr>
      <w:r w:rsidRPr="004732BE">
        <w:rPr>
          <w:rFonts w:ascii="Book Antiqua" w:hAnsi="Book Antiqua" w:cs="Arial"/>
          <w:b/>
          <w:sz w:val="24"/>
          <w:szCs w:val="24"/>
          <w:u w:val="single"/>
        </w:rPr>
        <w:t xml:space="preserve">DETERMINATION </w:t>
      </w:r>
      <w:smartTag w:uri="urn:schemas-microsoft-com:office:smarttags" w:element="stockticker">
        <w:r w:rsidRPr="004732BE">
          <w:rPr>
            <w:rFonts w:ascii="Book Antiqua" w:hAnsi="Book Antiqua" w:cs="Arial"/>
            <w:b/>
            <w:sz w:val="24"/>
            <w:szCs w:val="24"/>
            <w:u w:val="single"/>
          </w:rPr>
          <w:t>AND</w:t>
        </w:r>
      </w:smartTag>
      <w:r w:rsidRPr="004732BE">
        <w:rPr>
          <w:rFonts w:ascii="Book Antiqua" w:hAnsi="Book Antiqua" w:cs="Arial"/>
          <w:b/>
          <w:sz w:val="24"/>
          <w:szCs w:val="24"/>
          <w:u w:val="single"/>
        </w:rPr>
        <w:t xml:space="preserve"> REASONS</w:t>
      </w:r>
    </w:p>
    <w:p w14:paraId="7EBC1623" w14:textId="77777777" w:rsidR="006E5DB5" w:rsidRDefault="006E5DB5" w:rsidP="008616F9">
      <w:pPr>
        <w:spacing w:before="240"/>
        <w:ind w:left="567"/>
        <w:jc w:val="both"/>
        <w:rPr>
          <w:rFonts w:ascii="Book Antiqua" w:hAnsi="Book Antiqua"/>
          <w:i/>
          <w:sz w:val="24"/>
        </w:rPr>
      </w:pPr>
      <w:r>
        <w:rPr>
          <w:rFonts w:ascii="Book Antiqua" w:hAnsi="Book Antiqua"/>
          <w:i/>
          <w:sz w:val="24"/>
        </w:rPr>
        <w:t>Introduction</w:t>
      </w:r>
    </w:p>
    <w:p w14:paraId="6B7D314F" w14:textId="77777777" w:rsidR="006E5DB5" w:rsidRDefault="006E5DB5" w:rsidP="008616F9">
      <w:pPr>
        <w:spacing w:before="240"/>
        <w:ind w:left="1134" w:hanging="567"/>
        <w:jc w:val="both"/>
        <w:rPr>
          <w:rFonts w:ascii="Book Antiqua" w:hAnsi="Book Antiqua"/>
          <w:sz w:val="24"/>
        </w:rPr>
      </w:pPr>
      <w:r w:rsidRPr="004955DC">
        <w:rPr>
          <w:rFonts w:ascii="Book Antiqua" w:hAnsi="Book Antiqua"/>
          <w:sz w:val="24"/>
        </w:rPr>
        <w:t>1.</w:t>
      </w:r>
      <w:r w:rsidRPr="004955DC">
        <w:rPr>
          <w:rFonts w:ascii="Book Antiqua" w:hAnsi="Book Antiqua"/>
          <w:sz w:val="24"/>
        </w:rPr>
        <w:tab/>
      </w:r>
      <w:r>
        <w:rPr>
          <w:rFonts w:ascii="Book Antiqua" w:hAnsi="Book Antiqua"/>
          <w:sz w:val="24"/>
        </w:rPr>
        <w:t xml:space="preserve">The Appellant </w:t>
      </w:r>
      <w:r w:rsidRPr="004955DC">
        <w:rPr>
          <w:rFonts w:ascii="Book Antiqua" w:hAnsi="Book Antiqua"/>
          <w:sz w:val="24"/>
        </w:rPr>
        <w:t>appeal</w:t>
      </w:r>
      <w:r>
        <w:rPr>
          <w:rFonts w:ascii="Book Antiqua" w:hAnsi="Book Antiqua"/>
          <w:sz w:val="24"/>
        </w:rPr>
        <w:t xml:space="preserve">ed with permission granted by </w:t>
      </w:r>
      <w:r w:rsidR="00FB4C3F">
        <w:rPr>
          <w:rFonts w:ascii="Book Antiqua" w:hAnsi="Book Antiqua"/>
          <w:sz w:val="24"/>
        </w:rPr>
        <w:t xml:space="preserve">First-tier Tribunal </w:t>
      </w:r>
      <w:r w:rsidR="00286CD5">
        <w:rPr>
          <w:rFonts w:ascii="Book Antiqua" w:hAnsi="Book Antiqua"/>
          <w:sz w:val="24"/>
        </w:rPr>
        <w:t>Judge</w:t>
      </w:r>
      <w:r w:rsidR="00FB4C3F">
        <w:rPr>
          <w:rFonts w:ascii="Book Antiqua" w:hAnsi="Book Antiqua"/>
          <w:sz w:val="24"/>
        </w:rPr>
        <w:t xml:space="preserve"> Lambert</w:t>
      </w:r>
      <w:r w:rsidR="002C3F34">
        <w:rPr>
          <w:rFonts w:ascii="Book Antiqua" w:hAnsi="Book Antiqua"/>
          <w:sz w:val="24"/>
        </w:rPr>
        <w:t xml:space="preserve"> </w:t>
      </w:r>
      <w:r>
        <w:rPr>
          <w:rFonts w:ascii="Book Antiqua" w:hAnsi="Book Antiqua"/>
          <w:sz w:val="24"/>
        </w:rPr>
        <w:t xml:space="preserve">on </w:t>
      </w:r>
      <w:r w:rsidR="00FB4C3F">
        <w:rPr>
          <w:rFonts w:ascii="Book Antiqua" w:hAnsi="Book Antiqua"/>
          <w:sz w:val="24"/>
        </w:rPr>
        <w:t>31 July</w:t>
      </w:r>
      <w:r>
        <w:rPr>
          <w:rFonts w:ascii="Book Antiqua" w:hAnsi="Book Antiqua"/>
          <w:sz w:val="24"/>
        </w:rPr>
        <w:t xml:space="preserve"> 201</w:t>
      </w:r>
      <w:r w:rsidR="008B472E">
        <w:rPr>
          <w:rFonts w:ascii="Book Antiqua" w:hAnsi="Book Antiqua"/>
          <w:sz w:val="24"/>
        </w:rPr>
        <w:t>8</w:t>
      </w:r>
      <w:r w:rsidRPr="004955DC">
        <w:rPr>
          <w:rFonts w:ascii="Book Antiqua" w:hAnsi="Book Antiqua"/>
          <w:sz w:val="24"/>
        </w:rPr>
        <w:t xml:space="preserve"> against the </w:t>
      </w:r>
      <w:r>
        <w:rPr>
          <w:rFonts w:ascii="Book Antiqua" w:hAnsi="Book Antiqua"/>
          <w:sz w:val="24"/>
        </w:rPr>
        <w:t xml:space="preserve">determination of </w:t>
      </w:r>
      <w:r w:rsidR="0024464F">
        <w:rPr>
          <w:rFonts w:ascii="Book Antiqua" w:hAnsi="Book Antiqua"/>
          <w:sz w:val="24"/>
        </w:rPr>
        <w:t>F</w:t>
      </w:r>
      <w:r w:rsidR="00FB4C3F">
        <w:rPr>
          <w:rFonts w:ascii="Book Antiqua" w:hAnsi="Book Antiqua"/>
          <w:sz w:val="24"/>
        </w:rPr>
        <w:t>irst-tier Tribunal Judge Blake</w:t>
      </w:r>
      <w:r w:rsidR="002C3F34">
        <w:rPr>
          <w:rFonts w:ascii="Book Antiqua" w:hAnsi="Book Antiqua"/>
          <w:sz w:val="24"/>
        </w:rPr>
        <w:t xml:space="preserve"> </w:t>
      </w:r>
      <w:r w:rsidR="003660F4">
        <w:rPr>
          <w:rFonts w:ascii="Book Antiqua" w:hAnsi="Book Antiqua"/>
          <w:sz w:val="24"/>
        </w:rPr>
        <w:t>dismissing</w:t>
      </w:r>
      <w:r w:rsidR="002C3F34">
        <w:rPr>
          <w:rFonts w:ascii="Book Antiqua" w:hAnsi="Book Antiqua"/>
          <w:sz w:val="24"/>
        </w:rPr>
        <w:t xml:space="preserve"> </w:t>
      </w:r>
      <w:r w:rsidR="002C3F34">
        <w:rPr>
          <w:rFonts w:ascii="Book Antiqua" w:hAnsi="Book Antiqua" w:cs="Arial"/>
          <w:sz w:val="24"/>
          <w:szCs w:val="24"/>
        </w:rPr>
        <w:t xml:space="preserve">the </w:t>
      </w:r>
      <w:r w:rsidR="00E74EF1">
        <w:rPr>
          <w:rFonts w:ascii="Book Antiqua" w:hAnsi="Book Antiqua" w:cs="Arial"/>
          <w:sz w:val="24"/>
          <w:szCs w:val="24"/>
        </w:rPr>
        <w:t xml:space="preserve">appeal of the </w:t>
      </w:r>
      <w:r w:rsidR="002C3F34">
        <w:rPr>
          <w:rFonts w:ascii="Book Antiqua" w:hAnsi="Book Antiqua" w:cs="Arial"/>
          <w:sz w:val="24"/>
          <w:szCs w:val="24"/>
        </w:rPr>
        <w:t>Appellant</w:t>
      </w:r>
      <w:r w:rsidR="00E74EF1">
        <w:rPr>
          <w:rFonts w:ascii="Book Antiqua" w:hAnsi="Book Antiqua" w:cs="Arial"/>
          <w:sz w:val="24"/>
          <w:szCs w:val="24"/>
        </w:rPr>
        <w:t xml:space="preserve"> </w:t>
      </w:r>
      <w:r w:rsidR="00F122D8">
        <w:rPr>
          <w:rFonts w:ascii="Book Antiqua" w:hAnsi="Book Antiqua"/>
          <w:sz w:val="24"/>
        </w:rPr>
        <w:t>wh</w:t>
      </w:r>
      <w:r w:rsidR="00A31002">
        <w:rPr>
          <w:rFonts w:ascii="Book Antiqua" w:hAnsi="Book Antiqua"/>
          <w:sz w:val="24"/>
        </w:rPr>
        <w:t xml:space="preserve">o had sought leave to remain in the United Kingdom on </w:t>
      </w:r>
      <w:r w:rsidR="00FB4C3F">
        <w:rPr>
          <w:rFonts w:ascii="Book Antiqua" w:hAnsi="Book Antiqua"/>
          <w:sz w:val="24"/>
        </w:rPr>
        <w:t xml:space="preserve">protection and </w:t>
      </w:r>
      <w:r w:rsidR="003660F4">
        <w:rPr>
          <w:rFonts w:ascii="Book Antiqua" w:hAnsi="Book Antiqua"/>
          <w:sz w:val="24"/>
        </w:rPr>
        <w:t>Article 8 ECHR</w:t>
      </w:r>
      <w:r w:rsidR="008B472E">
        <w:rPr>
          <w:rFonts w:ascii="Book Antiqua" w:hAnsi="Book Antiqua"/>
          <w:sz w:val="24"/>
        </w:rPr>
        <w:t xml:space="preserve"> </w:t>
      </w:r>
      <w:r w:rsidR="00A31002">
        <w:rPr>
          <w:rFonts w:ascii="Book Antiqua" w:hAnsi="Book Antiqua"/>
          <w:sz w:val="24"/>
        </w:rPr>
        <w:t>grounds</w:t>
      </w:r>
      <w:r w:rsidR="008B472E">
        <w:rPr>
          <w:rFonts w:ascii="Book Antiqua" w:hAnsi="Book Antiqua"/>
          <w:sz w:val="24"/>
        </w:rPr>
        <w:t>.</w:t>
      </w:r>
      <w:r w:rsidR="00F122D8">
        <w:rPr>
          <w:rFonts w:ascii="Book Antiqua" w:hAnsi="Book Antiqua"/>
          <w:sz w:val="24"/>
        </w:rPr>
        <w:t xml:space="preserve">  The </w:t>
      </w:r>
      <w:r>
        <w:rPr>
          <w:rFonts w:ascii="Book Antiqua" w:hAnsi="Book Antiqua"/>
          <w:sz w:val="24"/>
        </w:rPr>
        <w:t xml:space="preserve">decision and reasons was </w:t>
      </w:r>
      <w:r w:rsidRPr="004955DC">
        <w:rPr>
          <w:rFonts w:ascii="Book Antiqua" w:hAnsi="Book Antiqua" w:cs="Arial"/>
          <w:sz w:val="24"/>
          <w:szCs w:val="24"/>
        </w:rPr>
        <w:t>promulgated</w:t>
      </w:r>
      <w:r w:rsidRPr="004955DC">
        <w:rPr>
          <w:rFonts w:ascii="Book Antiqua" w:hAnsi="Book Antiqua"/>
          <w:sz w:val="24"/>
        </w:rPr>
        <w:t xml:space="preserve"> on </w:t>
      </w:r>
      <w:r w:rsidR="006E70E2">
        <w:rPr>
          <w:rFonts w:ascii="Book Antiqua" w:hAnsi="Book Antiqua"/>
          <w:sz w:val="24"/>
        </w:rPr>
        <w:t xml:space="preserve">26 June </w:t>
      </w:r>
      <w:r w:rsidRPr="004955DC">
        <w:rPr>
          <w:rFonts w:ascii="Book Antiqua" w:hAnsi="Book Antiqua"/>
          <w:sz w:val="24"/>
        </w:rPr>
        <w:t>20</w:t>
      </w:r>
      <w:r>
        <w:rPr>
          <w:rFonts w:ascii="Book Antiqua" w:hAnsi="Book Antiqua"/>
          <w:sz w:val="24"/>
        </w:rPr>
        <w:t>1</w:t>
      </w:r>
      <w:r w:rsidR="00EC1054">
        <w:rPr>
          <w:rFonts w:ascii="Book Antiqua" w:hAnsi="Book Antiqua"/>
          <w:sz w:val="24"/>
        </w:rPr>
        <w:t>8</w:t>
      </w:r>
      <w:r>
        <w:rPr>
          <w:rFonts w:ascii="Book Antiqua" w:hAnsi="Book Antiqua"/>
          <w:sz w:val="24"/>
        </w:rPr>
        <w:t xml:space="preserve">. </w:t>
      </w:r>
    </w:p>
    <w:p w14:paraId="021321E2" w14:textId="77777777" w:rsidR="00E13D26" w:rsidRDefault="006E5DB5" w:rsidP="008616F9">
      <w:pPr>
        <w:spacing w:before="240"/>
        <w:ind w:left="1134" w:hanging="567"/>
        <w:jc w:val="both"/>
        <w:rPr>
          <w:rFonts w:ascii="Book Antiqua" w:hAnsi="Book Antiqua"/>
          <w:sz w:val="24"/>
        </w:rPr>
      </w:pPr>
      <w:r>
        <w:rPr>
          <w:rFonts w:ascii="Book Antiqua" w:hAnsi="Book Antiqua"/>
          <w:sz w:val="24"/>
        </w:rPr>
        <w:lastRenderedPageBreak/>
        <w:t>2.</w:t>
      </w:r>
      <w:r>
        <w:rPr>
          <w:rFonts w:ascii="Book Antiqua" w:hAnsi="Book Antiqua"/>
          <w:sz w:val="24"/>
        </w:rPr>
        <w:tab/>
      </w:r>
      <w:r>
        <w:rPr>
          <w:rFonts w:ascii="Book Antiqua" w:hAnsi="Book Antiqua" w:cs="Arial"/>
          <w:sz w:val="24"/>
          <w:szCs w:val="24"/>
        </w:rPr>
        <w:t>T</w:t>
      </w:r>
      <w:r w:rsidRPr="009C727F">
        <w:rPr>
          <w:rFonts w:ascii="Book Antiqua" w:hAnsi="Book Antiqua" w:cs="Arial"/>
          <w:sz w:val="24"/>
          <w:szCs w:val="24"/>
        </w:rPr>
        <w:t xml:space="preserve">he </w:t>
      </w:r>
      <w:r w:rsidR="002C3F34">
        <w:rPr>
          <w:rFonts w:ascii="Book Antiqua" w:hAnsi="Book Antiqua" w:cs="Arial"/>
          <w:sz w:val="24"/>
          <w:szCs w:val="24"/>
        </w:rPr>
        <w:t>Appellant</w:t>
      </w:r>
      <w:r w:rsidR="00E74EF1">
        <w:rPr>
          <w:rFonts w:ascii="Book Antiqua" w:hAnsi="Book Antiqua" w:cs="Arial"/>
          <w:sz w:val="24"/>
          <w:szCs w:val="24"/>
        </w:rPr>
        <w:t xml:space="preserve"> </w:t>
      </w:r>
      <w:r w:rsidR="005C65C6">
        <w:rPr>
          <w:rFonts w:ascii="Book Antiqua" w:hAnsi="Book Antiqua" w:cs="Arial"/>
          <w:sz w:val="24"/>
          <w:szCs w:val="24"/>
        </w:rPr>
        <w:t>is a</w:t>
      </w:r>
      <w:r w:rsidR="002C3F34">
        <w:rPr>
          <w:rFonts w:ascii="Book Antiqua" w:hAnsi="Book Antiqua" w:cs="Arial"/>
          <w:sz w:val="24"/>
          <w:szCs w:val="24"/>
        </w:rPr>
        <w:t xml:space="preserve"> </w:t>
      </w:r>
      <w:r w:rsidRPr="004955DC">
        <w:rPr>
          <w:rFonts w:ascii="Book Antiqua" w:hAnsi="Book Antiqua"/>
          <w:sz w:val="24"/>
        </w:rPr>
        <w:t xml:space="preserve">national </w:t>
      </w:r>
      <w:r>
        <w:rPr>
          <w:rFonts w:ascii="Book Antiqua" w:hAnsi="Book Antiqua"/>
          <w:sz w:val="24"/>
        </w:rPr>
        <w:t xml:space="preserve">of </w:t>
      </w:r>
      <w:r w:rsidR="006E70E2">
        <w:rPr>
          <w:rFonts w:ascii="Book Antiqua" w:hAnsi="Book Antiqua"/>
          <w:sz w:val="24"/>
        </w:rPr>
        <w:t>Iraq born there on 9 February 1994</w:t>
      </w:r>
      <w:r w:rsidR="00F26992">
        <w:rPr>
          <w:rFonts w:ascii="Book Antiqua" w:hAnsi="Book Antiqua"/>
          <w:sz w:val="24"/>
        </w:rPr>
        <w:t>.</w:t>
      </w:r>
      <w:r w:rsidR="002C3F34">
        <w:rPr>
          <w:rFonts w:ascii="Book Antiqua" w:hAnsi="Book Antiqua"/>
          <w:sz w:val="24"/>
        </w:rPr>
        <w:t xml:space="preserve"> </w:t>
      </w:r>
      <w:r w:rsidR="00904DA5">
        <w:rPr>
          <w:rFonts w:ascii="Book Antiqua" w:hAnsi="Book Antiqua"/>
          <w:sz w:val="24"/>
        </w:rPr>
        <w:t xml:space="preserve"> </w:t>
      </w:r>
      <w:r w:rsidR="006E70E2">
        <w:rPr>
          <w:rFonts w:ascii="Book Antiqua" w:hAnsi="Book Antiqua"/>
          <w:sz w:val="24"/>
        </w:rPr>
        <w:t>Her protection appeal was dismissed and there was no challenge to that dismissal.  The judge went on to find that the Appellant (</w:t>
      </w:r>
      <w:r w:rsidR="00E13D26">
        <w:rPr>
          <w:rFonts w:ascii="Book Antiqua" w:hAnsi="Book Antiqua"/>
          <w:sz w:val="24"/>
        </w:rPr>
        <w:t xml:space="preserve">who had married an </w:t>
      </w:r>
      <w:r w:rsidR="006E70E2">
        <w:rPr>
          <w:rFonts w:ascii="Book Antiqua" w:hAnsi="Book Antiqua"/>
          <w:sz w:val="24"/>
        </w:rPr>
        <w:t>Iraqi man</w:t>
      </w:r>
      <w:r w:rsidR="00E13D26">
        <w:rPr>
          <w:rFonts w:ascii="Book Antiqua" w:hAnsi="Book Antiqua"/>
          <w:sz w:val="24"/>
        </w:rPr>
        <w:t>) could return to</w:t>
      </w:r>
      <w:r w:rsidR="006E70E2">
        <w:rPr>
          <w:rFonts w:ascii="Book Antiqua" w:hAnsi="Book Antiqua"/>
          <w:sz w:val="24"/>
        </w:rPr>
        <w:t xml:space="preserve"> Iraq with their </w:t>
      </w:r>
      <w:r w:rsidR="00683CA0">
        <w:rPr>
          <w:rFonts w:ascii="Book Antiqua" w:hAnsi="Book Antiqua"/>
          <w:sz w:val="24"/>
        </w:rPr>
        <w:t xml:space="preserve">recently born </w:t>
      </w:r>
      <w:r w:rsidR="006E70E2">
        <w:rPr>
          <w:rFonts w:ascii="Book Antiqua" w:hAnsi="Book Antiqua"/>
          <w:sz w:val="24"/>
        </w:rPr>
        <w:t xml:space="preserve">British Citizen child </w:t>
      </w:r>
      <w:r w:rsidR="00E13D26">
        <w:rPr>
          <w:rFonts w:ascii="Book Antiqua" w:hAnsi="Book Antiqua"/>
          <w:sz w:val="24"/>
        </w:rPr>
        <w:t xml:space="preserve"> and reintegrate there without facing very significant obstacles.  There were no exceptional circumstances.  The proportionality balance for Article 8 ECHR purposes was against the Appellant.  The appeal was accordingly dismissed. </w:t>
      </w:r>
      <w:r w:rsidR="00F56BE3">
        <w:rPr>
          <w:rFonts w:ascii="Book Antiqua" w:hAnsi="Book Antiqua"/>
          <w:sz w:val="24"/>
        </w:rPr>
        <w:t xml:space="preserve"> </w:t>
      </w:r>
    </w:p>
    <w:p w14:paraId="41F8CC55" w14:textId="77777777" w:rsidR="00904DA5" w:rsidRDefault="00E13D26" w:rsidP="008616F9">
      <w:pPr>
        <w:spacing w:before="240"/>
        <w:ind w:left="1134" w:hanging="567"/>
        <w:jc w:val="both"/>
        <w:rPr>
          <w:rFonts w:ascii="Book Antiqua" w:hAnsi="Book Antiqua" w:cs="Arial"/>
          <w:iCs/>
          <w:sz w:val="24"/>
          <w:szCs w:val="24"/>
        </w:rPr>
      </w:pPr>
      <w:r>
        <w:rPr>
          <w:rFonts w:ascii="Book Antiqua" w:hAnsi="Book Antiqua"/>
          <w:sz w:val="24"/>
        </w:rPr>
        <w:t>3</w:t>
      </w:r>
      <w:r w:rsidR="006E5DB5" w:rsidRPr="004955DC">
        <w:rPr>
          <w:rFonts w:ascii="Book Antiqua" w:hAnsi="Book Antiqua"/>
          <w:sz w:val="24"/>
        </w:rPr>
        <w:t>.</w:t>
      </w:r>
      <w:r w:rsidR="006E5DB5" w:rsidRPr="004955DC">
        <w:rPr>
          <w:rFonts w:ascii="Book Antiqua" w:hAnsi="Book Antiqua"/>
          <w:sz w:val="24"/>
        </w:rPr>
        <w:tab/>
      </w:r>
      <w:r w:rsidR="006E5DB5">
        <w:rPr>
          <w:rFonts w:ascii="Book Antiqua" w:hAnsi="Book Antiqua"/>
          <w:sz w:val="24"/>
        </w:rPr>
        <w:t xml:space="preserve">Permission to appeal was </w:t>
      </w:r>
      <w:r w:rsidR="006E70E2">
        <w:rPr>
          <w:rFonts w:ascii="Book Antiqua" w:hAnsi="Book Antiqua"/>
          <w:sz w:val="24"/>
        </w:rPr>
        <w:t>granted</w:t>
      </w:r>
      <w:r w:rsidR="00B632A8">
        <w:rPr>
          <w:rFonts w:ascii="Book Antiqua" w:hAnsi="Book Antiqua"/>
          <w:sz w:val="24"/>
        </w:rPr>
        <w:t xml:space="preserve"> because </w:t>
      </w:r>
      <w:r w:rsidR="006E70E2">
        <w:rPr>
          <w:rFonts w:ascii="Book Antiqua" w:hAnsi="Book Antiqua"/>
          <w:sz w:val="24"/>
        </w:rPr>
        <w:t xml:space="preserve">it was </w:t>
      </w:r>
      <w:r w:rsidR="007113B1">
        <w:rPr>
          <w:rFonts w:ascii="Book Antiqua" w:hAnsi="Book Antiqua"/>
          <w:sz w:val="24"/>
        </w:rPr>
        <w:t xml:space="preserve">considered </w:t>
      </w:r>
      <w:r w:rsidR="0079095C">
        <w:rPr>
          <w:rFonts w:ascii="Book Antiqua" w:hAnsi="Book Antiqua"/>
          <w:sz w:val="24"/>
        </w:rPr>
        <w:t xml:space="preserve">arguable </w:t>
      </w:r>
      <w:r w:rsidR="00904DA5">
        <w:rPr>
          <w:rFonts w:ascii="Book Antiqua" w:hAnsi="Book Antiqua"/>
          <w:sz w:val="24"/>
        </w:rPr>
        <w:t xml:space="preserve">that </w:t>
      </w:r>
      <w:r w:rsidR="00655A2F">
        <w:rPr>
          <w:rFonts w:ascii="Book Antiqua" w:hAnsi="Book Antiqua"/>
          <w:sz w:val="24"/>
        </w:rPr>
        <w:t xml:space="preserve">the judge had erred </w:t>
      </w:r>
      <w:r w:rsidR="006E70E2">
        <w:rPr>
          <w:rFonts w:ascii="Book Antiqua" w:hAnsi="Book Antiqua"/>
          <w:sz w:val="24"/>
        </w:rPr>
        <w:t>by taking into account the fact of the birth of the Appellant’s child, a post decision event which had not been considered by the Secretary of State for the Home Department.</w:t>
      </w:r>
      <w:r w:rsidR="006778BD">
        <w:rPr>
          <w:rFonts w:ascii="Book Antiqua" w:hAnsi="Book Antiqua"/>
          <w:sz w:val="24"/>
        </w:rPr>
        <w:t xml:space="preserve">  The Secretary of State had not consented to a the raising of a new matter.</w:t>
      </w:r>
    </w:p>
    <w:p w14:paraId="6C61A8E5" w14:textId="77777777" w:rsidR="00EC46DB" w:rsidRDefault="00EC46DB" w:rsidP="008616F9">
      <w:pPr>
        <w:spacing w:before="240"/>
        <w:ind w:left="567"/>
        <w:jc w:val="both"/>
        <w:rPr>
          <w:rFonts w:ascii="Book Antiqua" w:hAnsi="Book Antiqua"/>
          <w:sz w:val="24"/>
        </w:rPr>
      </w:pPr>
    </w:p>
    <w:p w14:paraId="799955A5" w14:textId="77777777" w:rsidR="006E5DB5" w:rsidRDefault="006E5DB5" w:rsidP="008616F9">
      <w:pPr>
        <w:spacing w:before="240"/>
        <w:ind w:left="567"/>
        <w:jc w:val="both"/>
        <w:rPr>
          <w:rFonts w:ascii="Book Antiqua" w:hAnsi="Book Antiqua" w:cs="Arial"/>
          <w:i/>
          <w:sz w:val="24"/>
          <w:szCs w:val="24"/>
        </w:rPr>
      </w:pPr>
      <w:r>
        <w:rPr>
          <w:rFonts w:ascii="Book Antiqua" w:hAnsi="Book Antiqua" w:cs="Arial"/>
          <w:i/>
          <w:sz w:val="24"/>
          <w:szCs w:val="24"/>
        </w:rPr>
        <w:t xml:space="preserve">Submissions </w:t>
      </w:r>
    </w:p>
    <w:p w14:paraId="29932BAC" w14:textId="77777777" w:rsidR="00141ECF" w:rsidRDefault="00E13D26" w:rsidP="008616F9">
      <w:pPr>
        <w:spacing w:before="240"/>
        <w:ind w:left="1134" w:hanging="567"/>
        <w:jc w:val="both"/>
        <w:rPr>
          <w:rFonts w:ascii="Book Antiqua" w:hAnsi="Book Antiqua" w:cs="Arial"/>
          <w:sz w:val="24"/>
          <w:szCs w:val="24"/>
        </w:rPr>
      </w:pPr>
      <w:r>
        <w:rPr>
          <w:rFonts w:ascii="Book Antiqua" w:hAnsi="Book Antiqua" w:cs="Arial"/>
          <w:sz w:val="24"/>
          <w:szCs w:val="24"/>
        </w:rPr>
        <w:t>4</w:t>
      </w:r>
      <w:r w:rsidR="006E5DB5">
        <w:rPr>
          <w:rFonts w:ascii="Book Antiqua" w:hAnsi="Book Antiqua" w:cs="Arial"/>
          <w:sz w:val="24"/>
          <w:szCs w:val="24"/>
        </w:rPr>
        <w:t>.</w:t>
      </w:r>
      <w:r w:rsidR="006E5DB5">
        <w:rPr>
          <w:rFonts w:ascii="Book Antiqua" w:hAnsi="Book Antiqua" w:cs="Arial"/>
          <w:sz w:val="24"/>
          <w:szCs w:val="24"/>
        </w:rPr>
        <w:tab/>
      </w:r>
      <w:r w:rsidR="007113B1">
        <w:rPr>
          <w:rFonts w:ascii="Book Antiqua" w:hAnsi="Book Antiqua"/>
          <w:sz w:val="24"/>
        </w:rPr>
        <w:t>M</w:t>
      </w:r>
      <w:r w:rsidR="00B632A8">
        <w:rPr>
          <w:rFonts w:ascii="Book Antiqua" w:hAnsi="Book Antiqua"/>
          <w:sz w:val="24"/>
        </w:rPr>
        <w:t xml:space="preserve">r </w:t>
      </w:r>
      <w:r w:rsidR="006E70E2">
        <w:rPr>
          <w:rFonts w:ascii="Book Antiqua" w:hAnsi="Book Antiqua"/>
          <w:sz w:val="24"/>
        </w:rPr>
        <w:t>Rai</w:t>
      </w:r>
      <w:r w:rsidR="004076DA">
        <w:rPr>
          <w:rFonts w:ascii="Book Antiqua" w:hAnsi="Book Antiqua" w:cs="Arial"/>
          <w:sz w:val="24"/>
          <w:szCs w:val="24"/>
        </w:rPr>
        <w:t xml:space="preserve"> </w:t>
      </w:r>
      <w:r w:rsidR="006E5DB5">
        <w:rPr>
          <w:rFonts w:ascii="Book Antiqua" w:hAnsi="Book Antiqua" w:cs="Arial"/>
          <w:sz w:val="24"/>
          <w:szCs w:val="24"/>
        </w:rPr>
        <w:t xml:space="preserve">for the Appellant </w:t>
      </w:r>
      <w:r w:rsidR="006E70E2">
        <w:rPr>
          <w:rFonts w:ascii="Book Antiqua" w:hAnsi="Book Antiqua" w:cs="Arial"/>
          <w:sz w:val="24"/>
          <w:szCs w:val="24"/>
        </w:rPr>
        <w:t>was not responsible for the grounds on which permission to appeal had been sought and frankly and properly indicated the difficulties he faced.  Although the grounds complained that the judge had proceeded without the Secretary of State for the Home Department’s consent, the determination correctly showed that counsel for the Appellant had forcefully contended that the appeal should not be adjourned.  The judge had acceded.  The Appellant had given extensive evidence of the new matter.  Nonetheless a procedural irregularity remained exactly that and could not be waived given that there was a statutory requirement which had not been followed</w:t>
      </w:r>
      <w:r w:rsidR="00141ECF">
        <w:rPr>
          <w:rFonts w:ascii="Book Antiqua" w:hAnsi="Book Antiqua" w:cs="Arial"/>
          <w:sz w:val="24"/>
          <w:szCs w:val="24"/>
        </w:rPr>
        <w:t xml:space="preserve">: see </w:t>
      </w:r>
      <w:proofErr w:type="spellStart"/>
      <w:r w:rsidR="00141ECF">
        <w:rPr>
          <w:rFonts w:ascii="Book Antiqua" w:hAnsi="Book Antiqua" w:cs="Arial"/>
          <w:sz w:val="24"/>
          <w:szCs w:val="24"/>
          <w:u w:val="single"/>
        </w:rPr>
        <w:t>Quaidoo</w:t>
      </w:r>
      <w:proofErr w:type="spellEnd"/>
      <w:r w:rsidR="00141ECF">
        <w:rPr>
          <w:rFonts w:ascii="Book Antiqua" w:hAnsi="Book Antiqua" w:cs="Arial"/>
          <w:sz w:val="24"/>
          <w:szCs w:val="24"/>
          <w:u w:val="single"/>
        </w:rPr>
        <w:t xml:space="preserve"> (new matter: procedure/process)</w:t>
      </w:r>
      <w:r w:rsidR="00141ECF">
        <w:rPr>
          <w:rFonts w:ascii="Book Antiqua" w:hAnsi="Book Antiqua" w:cs="Arial"/>
          <w:sz w:val="24"/>
          <w:szCs w:val="24"/>
        </w:rPr>
        <w:t xml:space="preserve"> [2018] UKUT 00087 (IAC) and </w:t>
      </w:r>
      <w:r w:rsidR="00141ECF">
        <w:rPr>
          <w:rFonts w:ascii="Book Antiqua" w:hAnsi="Book Antiqua" w:cs="Arial"/>
          <w:sz w:val="24"/>
          <w:szCs w:val="24"/>
          <w:u w:val="single"/>
        </w:rPr>
        <w:t>Mahmud (s.85 NIAA 2002 – ‘new matters’)</w:t>
      </w:r>
      <w:r w:rsidR="00141ECF">
        <w:rPr>
          <w:rFonts w:ascii="Book Antiqua" w:hAnsi="Book Antiqua" w:cs="Arial"/>
          <w:sz w:val="24"/>
          <w:szCs w:val="24"/>
        </w:rPr>
        <w:t xml:space="preserve"> [2017] UKUT 00488 (IAC)</w:t>
      </w:r>
      <w:r w:rsidR="006E70E2">
        <w:rPr>
          <w:rFonts w:ascii="Book Antiqua" w:hAnsi="Book Antiqua" w:cs="Arial"/>
          <w:sz w:val="24"/>
          <w:szCs w:val="24"/>
        </w:rPr>
        <w:t xml:space="preserve">.  </w:t>
      </w:r>
    </w:p>
    <w:p w14:paraId="0DFF355C" w14:textId="77777777" w:rsidR="00AC7324" w:rsidRDefault="00141ECF" w:rsidP="008616F9">
      <w:pPr>
        <w:spacing w:before="240"/>
        <w:ind w:left="1134" w:hanging="567"/>
        <w:jc w:val="both"/>
        <w:rPr>
          <w:rFonts w:ascii="Book Antiqua" w:hAnsi="Book Antiqua" w:cs="Arial"/>
          <w:sz w:val="24"/>
          <w:szCs w:val="24"/>
        </w:rPr>
      </w:pPr>
      <w:r>
        <w:rPr>
          <w:rFonts w:ascii="Book Antiqua" w:hAnsi="Book Antiqua" w:cs="Arial"/>
          <w:sz w:val="24"/>
          <w:szCs w:val="24"/>
        </w:rPr>
        <w:t>5.</w:t>
      </w:r>
      <w:r>
        <w:rPr>
          <w:rFonts w:ascii="Book Antiqua" w:hAnsi="Book Antiqua" w:cs="Arial"/>
          <w:sz w:val="24"/>
          <w:szCs w:val="24"/>
        </w:rPr>
        <w:tab/>
      </w:r>
      <w:r w:rsidR="006E70E2">
        <w:rPr>
          <w:rFonts w:ascii="Book Antiqua" w:hAnsi="Book Antiqua" w:cs="Arial"/>
          <w:sz w:val="24"/>
          <w:szCs w:val="24"/>
        </w:rPr>
        <w:t xml:space="preserve">Although possibly not the most attractive of submissions, the Appellant </w:t>
      </w:r>
      <w:r>
        <w:rPr>
          <w:rFonts w:ascii="Book Antiqua" w:hAnsi="Book Antiqua" w:cs="Arial"/>
          <w:sz w:val="24"/>
          <w:szCs w:val="24"/>
        </w:rPr>
        <w:t>contended</w:t>
      </w:r>
      <w:r w:rsidR="006E70E2">
        <w:rPr>
          <w:rFonts w:ascii="Book Antiqua" w:hAnsi="Book Antiqua" w:cs="Arial"/>
          <w:sz w:val="24"/>
          <w:szCs w:val="24"/>
        </w:rPr>
        <w:t xml:space="preserve"> that there had been serious procedural error such that the appeal determination should be set aside and the appeal reheard before another judge</w:t>
      </w:r>
      <w:r w:rsidR="00AC7324">
        <w:rPr>
          <w:rFonts w:ascii="Book Antiqua" w:hAnsi="Book Antiqua" w:cs="Arial"/>
          <w:sz w:val="24"/>
          <w:szCs w:val="24"/>
        </w:rPr>
        <w:t>.</w:t>
      </w:r>
      <w:r w:rsidR="006E70E2">
        <w:rPr>
          <w:rFonts w:ascii="Book Antiqua" w:hAnsi="Book Antiqua" w:cs="Arial"/>
          <w:sz w:val="24"/>
          <w:szCs w:val="24"/>
        </w:rPr>
        <w:t xml:space="preserve">  </w:t>
      </w:r>
      <w:r>
        <w:rPr>
          <w:rFonts w:ascii="Book Antiqua" w:hAnsi="Book Antiqua" w:cs="Arial"/>
          <w:sz w:val="24"/>
          <w:szCs w:val="24"/>
        </w:rPr>
        <w:t xml:space="preserve">  The determination was unlawful.</w:t>
      </w:r>
      <w:r w:rsidR="00E13D26">
        <w:rPr>
          <w:rFonts w:ascii="Book Antiqua" w:hAnsi="Book Antiqua" w:cs="Arial"/>
          <w:sz w:val="24"/>
          <w:szCs w:val="24"/>
        </w:rPr>
        <w:t xml:space="preserve"> </w:t>
      </w:r>
    </w:p>
    <w:p w14:paraId="58558895" w14:textId="77777777" w:rsidR="0097409E" w:rsidRDefault="00141ECF" w:rsidP="008616F9">
      <w:pPr>
        <w:spacing w:before="240"/>
        <w:ind w:left="1134" w:hanging="567"/>
        <w:jc w:val="both"/>
        <w:rPr>
          <w:rFonts w:ascii="Book Antiqua" w:hAnsi="Book Antiqua" w:cs="Arial"/>
          <w:sz w:val="24"/>
          <w:szCs w:val="24"/>
        </w:rPr>
      </w:pPr>
      <w:r>
        <w:rPr>
          <w:rFonts w:ascii="Book Antiqua" w:hAnsi="Book Antiqua" w:cs="Arial"/>
          <w:sz w:val="24"/>
          <w:szCs w:val="24"/>
        </w:rPr>
        <w:t>6</w:t>
      </w:r>
      <w:r w:rsidR="006E5DB5">
        <w:rPr>
          <w:rFonts w:ascii="Book Antiqua" w:hAnsi="Book Antiqua" w:cs="Arial"/>
          <w:sz w:val="24"/>
          <w:szCs w:val="24"/>
        </w:rPr>
        <w:t>.</w:t>
      </w:r>
      <w:r w:rsidR="006E5DB5">
        <w:rPr>
          <w:rFonts w:ascii="Book Antiqua" w:hAnsi="Book Antiqua" w:cs="Arial"/>
          <w:sz w:val="24"/>
          <w:szCs w:val="24"/>
        </w:rPr>
        <w:tab/>
      </w:r>
      <w:r w:rsidR="007113B1">
        <w:rPr>
          <w:rFonts w:ascii="Book Antiqua" w:hAnsi="Book Antiqua" w:cs="Arial"/>
          <w:sz w:val="24"/>
          <w:szCs w:val="24"/>
        </w:rPr>
        <w:t xml:space="preserve">Mr </w:t>
      </w:r>
      <w:r w:rsidR="00D55506">
        <w:rPr>
          <w:rFonts w:ascii="Book Antiqua" w:hAnsi="Book Antiqua"/>
          <w:sz w:val="24"/>
        </w:rPr>
        <w:t>Avery</w:t>
      </w:r>
      <w:r w:rsidR="007113B1">
        <w:rPr>
          <w:rFonts w:ascii="Book Antiqua" w:hAnsi="Book Antiqua" w:cs="Arial"/>
          <w:sz w:val="24"/>
          <w:szCs w:val="24"/>
        </w:rPr>
        <w:t xml:space="preserve"> </w:t>
      </w:r>
      <w:r w:rsidR="006E5DB5">
        <w:rPr>
          <w:rFonts w:ascii="Book Antiqua" w:hAnsi="Book Antiqua"/>
          <w:sz w:val="24"/>
        </w:rPr>
        <w:t xml:space="preserve">for </w:t>
      </w:r>
      <w:r w:rsidR="006E5DB5" w:rsidRPr="007F338B">
        <w:rPr>
          <w:rFonts w:ascii="Book Antiqua" w:hAnsi="Book Antiqua" w:cs="Arial"/>
          <w:sz w:val="24"/>
          <w:szCs w:val="24"/>
        </w:rPr>
        <w:t>the Respondent</w:t>
      </w:r>
      <w:r w:rsidR="00DA6F0D">
        <w:rPr>
          <w:rFonts w:ascii="Book Antiqua" w:hAnsi="Book Antiqua" w:cs="Arial"/>
          <w:sz w:val="24"/>
          <w:szCs w:val="24"/>
        </w:rPr>
        <w:t xml:space="preserve"> </w:t>
      </w:r>
      <w:r w:rsidR="00EE192F">
        <w:rPr>
          <w:rFonts w:ascii="Book Antiqua" w:hAnsi="Book Antiqua" w:cs="Arial"/>
          <w:sz w:val="24"/>
          <w:szCs w:val="24"/>
        </w:rPr>
        <w:t xml:space="preserve">submitted that there was </w:t>
      </w:r>
      <w:r w:rsidR="00546FC8">
        <w:rPr>
          <w:rFonts w:ascii="Book Antiqua" w:hAnsi="Book Antiqua" w:cs="Arial"/>
          <w:sz w:val="24"/>
          <w:szCs w:val="24"/>
        </w:rPr>
        <w:t xml:space="preserve">plainly </w:t>
      </w:r>
      <w:r w:rsidR="00EE192F">
        <w:rPr>
          <w:rFonts w:ascii="Book Antiqua" w:hAnsi="Book Antiqua" w:cs="Arial"/>
          <w:sz w:val="24"/>
          <w:szCs w:val="24"/>
        </w:rPr>
        <w:t>no material error of law.</w:t>
      </w:r>
      <w:r w:rsidR="00DA6F0D">
        <w:rPr>
          <w:rFonts w:ascii="Book Antiqua" w:hAnsi="Book Antiqua" w:cs="Arial"/>
          <w:sz w:val="24"/>
          <w:szCs w:val="24"/>
        </w:rPr>
        <w:t xml:space="preserve"> </w:t>
      </w:r>
      <w:r w:rsidR="00546FC8">
        <w:rPr>
          <w:rFonts w:ascii="Book Antiqua" w:hAnsi="Book Antiqua" w:cs="Arial"/>
          <w:sz w:val="24"/>
          <w:szCs w:val="24"/>
        </w:rPr>
        <w:t xml:space="preserve">  </w:t>
      </w:r>
      <w:r w:rsidR="00AC7324">
        <w:rPr>
          <w:rFonts w:ascii="Book Antiqua" w:hAnsi="Book Antiqua" w:cs="Arial"/>
          <w:sz w:val="24"/>
          <w:szCs w:val="24"/>
        </w:rPr>
        <w:t>The fact was as the determination showed there had been no objection by the Home Office Presenting Officer at the hearing.  Nor should there have been, as the Home Office’s published policy is to facilitate hearings and only to object to new matters where there was a genuine element of surprise.  Here there was none.  Effectively consent had been given</w:t>
      </w:r>
      <w:r>
        <w:rPr>
          <w:rFonts w:ascii="Book Antiqua" w:hAnsi="Book Antiqua" w:cs="Arial"/>
          <w:sz w:val="24"/>
          <w:szCs w:val="24"/>
        </w:rPr>
        <w:t xml:space="preserve"> and the judge had proceeded on that basis</w:t>
      </w:r>
      <w:r w:rsidR="00AC7324">
        <w:rPr>
          <w:rFonts w:ascii="Book Antiqua" w:hAnsi="Book Antiqua" w:cs="Arial"/>
          <w:sz w:val="24"/>
          <w:szCs w:val="24"/>
        </w:rPr>
        <w:t>.</w:t>
      </w:r>
    </w:p>
    <w:p w14:paraId="2A818262" w14:textId="77777777" w:rsidR="0097409E" w:rsidRDefault="00141ECF" w:rsidP="008616F9">
      <w:pPr>
        <w:spacing w:before="240"/>
        <w:ind w:left="1134" w:hanging="567"/>
        <w:jc w:val="both"/>
        <w:rPr>
          <w:rFonts w:ascii="Book Antiqua" w:hAnsi="Book Antiqua" w:cs="Arial"/>
          <w:sz w:val="24"/>
          <w:szCs w:val="24"/>
        </w:rPr>
      </w:pPr>
      <w:r>
        <w:rPr>
          <w:rFonts w:ascii="Book Antiqua" w:hAnsi="Book Antiqua" w:cs="Arial"/>
          <w:sz w:val="24"/>
          <w:szCs w:val="24"/>
        </w:rPr>
        <w:t>7.</w:t>
      </w:r>
      <w:r w:rsidR="00807795">
        <w:rPr>
          <w:rFonts w:ascii="Book Antiqua" w:hAnsi="Book Antiqua" w:cs="Arial"/>
          <w:sz w:val="24"/>
          <w:szCs w:val="24"/>
        </w:rPr>
        <w:tab/>
        <w:t xml:space="preserve">In reply, </w:t>
      </w:r>
      <w:r w:rsidR="00AC7324">
        <w:rPr>
          <w:rFonts w:ascii="Book Antiqua" w:hAnsi="Book Antiqua" w:cs="Arial"/>
          <w:sz w:val="24"/>
          <w:szCs w:val="24"/>
        </w:rPr>
        <w:t>Mr Rai</w:t>
      </w:r>
      <w:r w:rsidR="008351D3">
        <w:rPr>
          <w:rFonts w:ascii="Book Antiqua" w:hAnsi="Book Antiqua" w:cs="Arial"/>
          <w:sz w:val="24"/>
          <w:szCs w:val="24"/>
        </w:rPr>
        <w:t xml:space="preserve"> </w:t>
      </w:r>
      <w:r w:rsidR="00AC7324">
        <w:rPr>
          <w:rFonts w:ascii="Book Antiqua" w:hAnsi="Book Antiqua" w:cs="Arial"/>
          <w:sz w:val="24"/>
          <w:szCs w:val="24"/>
        </w:rPr>
        <w:t>again acknowledged the difficulty</w:t>
      </w:r>
      <w:r w:rsidR="0097409E">
        <w:rPr>
          <w:rFonts w:ascii="Book Antiqua" w:hAnsi="Book Antiqua" w:cs="Arial"/>
          <w:sz w:val="24"/>
          <w:szCs w:val="24"/>
        </w:rPr>
        <w:t>.</w:t>
      </w:r>
      <w:r w:rsidR="00AC7324">
        <w:rPr>
          <w:rFonts w:ascii="Book Antiqua" w:hAnsi="Book Antiqua" w:cs="Arial"/>
          <w:sz w:val="24"/>
          <w:szCs w:val="24"/>
        </w:rPr>
        <w:t xml:space="preserve">  He requested leave to amend the grounds to challenge the judge’s best interests assessment. That was refused by the tribunal as it was an application made far too late, and there was simply no obvious basis for suggesting that the experienced judge had erred in the </w:t>
      </w:r>
      <w:r>
        <w:rPr>
          <w:rFonts w:ascii="Book Antiqua" w:hAnsi="Book Antiqua" w:cs="Arial"/>
          <w:sz w:val="24"/>
          <w:szCs w:val="24"/>
        </w:rPr>
        <w:lastRenderedPageBreak/>
        <w:t xml:space="preserve">assessing the </w:t>
      </w:r>
      <w:r w:rsidR="00AC7324">
        <w:rPr>
          <w:rFonts w:ascii="Book Antiqua" w:hAnsi="Book Antiqua" w:cs="Arial"/>
          <w:sz w:val="24"/>
          <w:szCs w:val="24"/>
        </w:rPr>
        <w:t>best interests of a child under one year of age who would be remaining with its parents.</w:t>
      </w:r>
    </w:p>
    <w:p w14:paraId="058AD2D0" w14:textId="77777777" w:rsidR="00DA6F0D" w:rsidRDefault="00DA6F0D" w:rsidP="008616F9">
      <w:pPr>
        <w:spacing w:before="240"/>
        <w:ind w:left="567"/>
        <w:jc w:val="both"/>
        <w:rPr>
          <w:rFonts w:ascii="Book Antiqua" w:hAnsi="Book Antiqua" w:cs="Arial"/>
          <w:i/>
          <w:sz w:val="24"/>
          <w:szCs w:val="24"/>
        </w:rPr>
      </w:pPr>
    </w:p>
    <w:p w14:paraId="39C62571" w14:textId="77777777" w:rsidR="006E5DB5" w:rsidRDefault="006E5DB5" w:rsidP="008616F9">
      <w:pPr>
        <w:spacing w:before="240"/>
        <w:ind w:left="567"/>
        <w:jc w:val="both"/>
        <w:rPr>
          <w:rFonts w:ascii="Book Antiqua" w:hAnsi="Book Antiqua" w:cs="Arial"/>
          <w:sz w:val="24"/>
          <w:szCs w:val="24"/>
        </w:rPr>
      </w:pPr>
      <w:r>
        <w:rPr>
          <w:rFonts w:ascii="Book Antiqua" w:hAnsi="Book Antiqua" w:cs="Arial"/>
          <w:i/>
          <w:sz w:val="24"/>
          <w:szCs w:val="24"/>
        </w:rPr>
        <w:t xml:space="preserve">No material error of law finding </w:t>
      </w:r>
      <w:r>
        <w:rPr>
          <w:rFonts w:ascii="Book Antiqua" w:hAnsi="Book Antiqua" w:cs="Arial"/>
          <w:sz w:val="24"/>
          <w:szCs w:val="24"/>
        </w:rPr>
        <w:t xml:space="preserve"> </w:t>
      </w:r>
    </w:p>
    <w:p w14:paraId="21F94CFA" w14:textId="77777777" w:rsidR="00E9187C" w:rsidRDefault="00141ECF" w:rsidP="008616F9">
      <w:pPr>
        <w:spacing w:before="240"/>
        <w:ind w:left="1134" w:hanging="567"/>
        <w:jc w:val="both"/>
        <w:rPr>
          <w:rFonts w:ascii="Book Antiqua" w:hAnsi="Book Antiqua" w:cs="Arial"/>
          <w:sz w:val="24"/>
          <w:szCs w:val="24"/>
        </w:rPr>
      </w:pPr>
      <w:r>
        <w:rPr>
          <w:rFonts w:ascii="Book Antiqua" w:hAnsi="Book Antiqua" w:cs="Arial"/>
          <w:sz w:val="24"/>
          <w:szCs w:val="24"/>
        </w:rPr>
        <w:t>8</w:t>
      </w:r>
      <w:r w:rsidR="009D2195">
        <w:rPr>
          <w:rFonts w:ascii="Book Antiqua" w:hAnsi="Book Antiqua" w:cs="Arial"/>
          <w:sz w:val="24"/>
          <w:szCs w:val="24"/>
        </w:rPr>
        <w:t>.</w:t>
      </w:r>
      <w:r w:rsidR="006E5DB5">
        <w:rPr>
          <w:rFonts w:ascii="Book Antiqua" w:hAnsi="Book Antiqua" w:cs="Arial"/>
          <w:sz w:val="24"/>
          <w:szCs w:val="24"/>
        </w:rPr>
        <w:tab/>
      </w:r>
      <w:r w:rsidR="00DA6F0D">
        <w:rPr>
          <w:rFonts w:ascii="Book Antiqua" w:hAnsi="Book Antiqua" w:cs="Arial"/>
          <w:sz w:val="24"/>
          <w:szCs w:val="24"/>
        </w:rPr>
        <w:t>In the tribunal’s view the gr</w:t>
      </w:r>
      <w:r w:rsidR="00A95D86">
        <w:rPr>
          <w:rFonts w:ascii="Book Antiqua" w:hAnsi="Book Antiqua" w:cs="Arial"/>
          <w:sz w:val="24"/>
          <w:szCs w:val="24"/>
        </w:rPr>
        <w:t xml:space="preserve">ant of permission to appeal </w:t>
      </w:r>
      <w:r w:rsidR="00AA73BD">
        <w:rPr>
          <w:rFonts w:ascii="Book Antiqua" w:hAnsi="Book Antiqua" w:cs="Arial"/>
          <w:sz w:val="24"/>
          <w:szCs w:val="24"/>
        </w:rPr>
        <w:t xml:space="preserve">was </w:t>
      </w:r>
      <w:r w:rsidR="00AC7324">
        <w:rPr>
          <w:rFonts w:ascii="Book Antiqua" w:hAnsi="Book Antiqua" w:cs="Arial"/>
          <w:sz w:val="24"/>
          <w:szCs w:val="24"/>
        </w:rPr>
        <w:t xml:space="preserve">made erroneously.  It simply did not lie in the Appellant’s mouth to complain of receiving </w:t>
      </w:r>
      <w:r>
        <w:rPr>
          <w:rFonts w:ascii="Book Antiqua" w:hAnsi="Book Antiqua" w:cs="Arial"/>
          <w:sz w:val="24"/>
          <w:szCs w:val="24"/>
        </w:rPr>
        <w:t xml:space="preserve">exactly </w:t>
      </w:r>
      <w:r w:rsidR="00AC7324">
        <w:rPr>
          <w:rFonts w:ascii="Book Antiqua" w:hAnsi="Book Antiqua" w:cs="Arial"/>
          <w:sz w:val="24"/>
          <w:szCs w:val="24"/>
        </w:rPr>
        <w:t>that which it had requested</w:t>
      </w:r>
      <w:r w:rsidR="00A962DE">
        <w:rPr>
          <w:rFonts w:ascii="Book Antiqua" w:hAnsi="Book Antiqua" w:cs="Arial"/>
          <w:sz w:val="24"/>
          <w:szCs w:val="24"/>
        </w:rPr>
        <w:t>, subject to that request having been lawful</w:t>
      </w:r>
      <w:r w:rsidR="00AC7324">
        <w:rPr>
          <w:rFonts w:ascii="Book Antiqua" w:hAnsi="Book Antiqua" w:cs="Arial"/>
          <w:sz w:val="24"/>
          <w:szCs w:val="24"/>
        </w:rPr>
        <w:t>.  Moreover and in any event, there was no evidence that the Home Office had in fact objected to the practical, cost and time saving approach which the experienced judge had taken.</w:t>
      </w:r>
      <w:r w:rsidR="00E9187C">
        <w:rPr>
          <w:rFonts w:ascii="Book Antiqua" w:hAnsi="Book Antiqua" w:cs="Arial"/>
          <w:sz w:val="24"/>
          <w:szCs w:val="24"/>
        </w:rPr>
        <w:t xml:space="preserve">  </w:t>
      </w:r>
      <w:r w:rsidR="009D2195">
        <w:rPr>
          <w:rFonts w:ascii="Book Antiqua" w:hAnsi="Book Antiqua" w:cs="Arial"/>
          <w:sz w:val="24"/>
          <w:szCs w:val="24"/>
        </w:rPr>
        <w:t>The tribunal agrees with Mr Avery’s submissions.</w:t>
      </w:r>
      <w:r w:rsidR="00AC7324">
        <w:rPr>
          <w:rFonts w:ascii="Book Antiqua" w:hAnsi="Book Antiqua" w:cs="Arial"/>
          <w:sz w:val="24"/>
          <w:szCs w:val="24"/>
        </w:rPr>
        <w:t xml:space="preserve">  The Home Office’s own policy was followed.  </w:t>
      </w:r>
      <w:r w:rsidR="00A962DE">
        <w:rPr>
          <w:rFonts w:ascii="Book Antiqua" w:hAnsi="Book Antiqua" w:cs="Arial"/>
          <w:sz w:val="24"/>
          <w:szCs w:val="24"/>
        </w:rPr>
        <w:t xml:space="preserve">Consent was </w:t>
      </w:r>
      <w:r w:rsidR="00630166">
        <w:rPr>
          <w:rFonts w:ascii="Book Antiqua" w:hAnsi="Book Antiqua" w:cs="Arial"/>
          <w:sz w:val="24"/>
          <w:szCs w:val="24"/>
        </w:rPr>
        <w:t xml:space="preserve">not withheld.  </w:t>
      </w:r>
      <w:r w:rsidR="00AC7324">
        <w:rPr>
          <w:rFonts w:ascii="Book Antiqua" w:hAnsi="Book Antiqua" w:cs="Arial"/>
          <w:sz w:val="24"/>
          <w:szCs w:val="24"/>
        </w:rPr>
        <w:t>There is, in short, nothing in the grounds of appeal which merited a grant of permission to appeal.</w:t>
      </w:r>
    </w:p>
    <w:p w14:paraId="5DB67FA6" w14:textId="77777777" w:rsidR="00141ECF" w:rsidRDefault="00141ECF" w:rsidP="008616F9">
      <w:pPr>
        <w:spacing w:before="240"/>
        <w:ind w:left="1134" w:hanging="567"/>
        <w:jc w:val="both"/>
        <w:rPr>
          <w:rFonts w:ascii="Book Antiqua" w:hAnsi="Book Antiqua" w:cs="Arial"/>
          <w:sz w:val="24"/>
          <w:szCs w:val="24"/>
        </w:rPr>
      </w:pPr>
      <w:r>
        <w:rPr>
          <w:rFonts w:ascii="Book Antiqua" w:hAnsi="Book Antiqua" w:cs="Arial"/>
          <w:sz w:val="24"/>
          <w:szCs w:val="24"/>
        </w:rPr>
        <w:t>9</w:t>
      </w:r>
      <w:r w:rsidR="0097409E">
        <w:rPr>
          <w:rFonts w:ascii="Book Antiqua" w:hAnsi="Book Antiqua" w:cs="Arial"/>
          <w:sz w:val="24"/>
          <w:szCs w:val="24"/>
        </w:rPr>
        <w:t>.</w:t>
      </w:r>
      <w:r w:rsidR="0097409E">
        <w:rPr>
          <w:rFonts w:ascii="Book Antiqua" w:hAnsi="Book Antiqua" w:cs="Arial"/>
          <w:sz w:val="24"/>
          <w:szCs w:val="24"/>
        </w:rPr>
        <w:tab/>
        <w:t xml:space="preserve">Judge </w:t>
      </w:r>
      <w:r w:rsidR="00AC7324">
        <w:rPr>
          <w:rFonts w:ascii="Book Antiqua" w:hAnsi="Book Antiqua" w:cs="Arial"/>
          <w:sz w:val="24"/>
          <w:szCs w:val="24"/>
        </w:rPr>
        <w:t>Blake</w:t>
      </w:r>
      <w:r w:rsidR="00E9187C">
        <w:rPr>
          <w:rFonts w:ascii="Book Antiqua" w:hAnsi="Book Antiqua" w:cs="Arial"/>
          <w:sz w:val="24"/>
          <w:szCs w:val="24"/>
        </w:rPr>
        <w:t xml:space="preserve">’s decision </w:t>
      </w:r>
      <w:r>
        <w:rPr>
          <w:rFonts w:ascii="Book Antiqua" w:hAnsi="Book Antiqua" w:cs="Arial"/>
          <w:sz w:val="24"/>
          <w:szCs w:val="24"/>
        </w:rPr>
        <w:t>to proceed and to deal with the obvious fact of the birth of the Appellant’s child was not opposed</w:t>
      </w:r>
      <w:r w:rsidR="002760BF">
        <w:rPr>
          <w:rFonts w:ascii="Book Antiqua" w:hAnsi="Book Antiqua" w:cs="Arial"/>
          <w:sz w:val="24"/>
          <w:szCs w:val="24"/>
        </w:rPr>
        <w:t xml:space="preserve"> by the Respondent</w:t>
      </w:r>
      <w:r>
        <w:rPr>
          <w:rFonts w:ascii="Book Antiqua" w:hAnsi="Book Antiqua" w:cs="Arial"/>
          <w:sz w:val="24"/>
          <w:szCs w:val="24"/>
        </w:rPr>
        <w:t>.  That is indicated by the exchanges with the Home Office Presenting Officer noted by the judge.  If the Home Office position had not been one of effective consent, the Home Office Presenting Officer would have had to have withdrawn from the hearing and sought permission to appeal when the determination was promulgated.  That was the most suitable remedy as applying for judicial review would hardly have been practical or cost effective.</w:t>
      </w:r>
      <w:r w:rsidR="00A962DE">
        <w:rPr>
          <w:rFonts w:ascii="Book Antiqua" w:hAnsi="Book Antiqua" w:cs="Arial"/>
          <w:sz w:val="24"/>
          <w:szCs w:val="24"/>
        </w:rPr>
        <w:t xml:space="preserve">  But the tribunal finds that the judge proceeded on the basis of Home Office consent.</w:t>
      </w:r>
    </w:p>
    <w:p w14:paraId="270FF0D5" w14:textId="77777777" w:rsidR="0028213B" w:rsidRDefault="002760BF" w:rsidP="008616F9">
      <w:pPr>
        <w:spacing w:before="240"/>
        <w:ind w:left="1134" w:hanging="567"/>
        <w:jc w:val="both"/>
        <w:rPr>
          <w:rFonts w:ascii="Book Antiqua" w:hAnsi="Book Antiqua" w:cs="Arial"/>
          <w:sz w:val="24"/>
          <w:szCs w:val="24"/>
        </w:rPr>
      </w:pPr>
      <w:r>
        <w:rPr>
          <w:rFonts w:ascii="Book Antiqua" w:hAnsi="Book Antiqua" w:cs="Arial"/>
          <w:sz w:val="24"/>
          <w:szCs w:val="24"/>
        </w:rPr>
        <w:t>10.</w:t>
      </w:r>
      <w:r>
        <w:rPr>
          <w:rFonts w:ascii="Book Antiqua" w:hAnsi="Book Antiqua" w:cs="Arial"/>
          <w:sz w:val="24"/>
          <w:szCs w:val="24"/>
        </w:rPr>
        <w:tab/>
        <w:t xml:space="preserve">Judge Blake’s determination </w:t>
      </w:r>
      <w:r w:rsidR="009B6B23">
        <w:rPr>
          <w:rFonts w:ascii="Book Antiqua" w:hAnsi="Book Antiqua" w:cs="Arial"/>
          <w:sz w:val="24"/>
          <w:szCs w:val="24"/>
        </w:rPr>
        <w:t xml:space="preserve">was full and careful, setting out the procedural history, </w:t>
      </w:r>
      <w:r w:rsidR="0041751B">
        <w:rPr>
          <w:rFonts w:ascii="Book Antiqua" w:hAnsi="Book Antiqua" w:cs="Arial"/>
          <w:sz w:val="24"/>
          <w:szCs w:val="24"/>
        </w:rPr>
        <w:t xml:space="preserve">the </w:t>
      </w:r>
      <w:r w:rsidR="009B6B23">
        <w:rPr>
          <w:rFonts w:ascii="Book Antiqua" w:hAnsi="Book Antiqua" w:cs="Arial"/>
          <w:sz w:val="24"/>
          <w:szCs w:val="24"/>
        </w:rPr>
        <w:t>evidence and submissions in detail</w:t>
      </w:r>
      <w:r w:rsidR="00E9187C">
        <w:rPr>
          <w:rFonts w:ascii="Book Antiqua" w:hAnsi="Book Antiqua" w:cs="Arial"/>
          <w:sz w:val="24"/>
          <w:szCs w:val="24"/>
        </w:rPr>
        <w:t>.</w:t>
      </w:r>
      <w:r w:rsidR="003F1053">
        <w:rPr>
          <w:rFonts w:ascii="Book Antiqua" w:hAnsi="Book Antiqua" w:cs="Arial"/>
          <w:sz w:val="24"/>
          <w:szCs w:val="24"/>
        </w:rPr>
        <w:t xml:space="preserve">  </w:t>
      </w:r>
      <w:r w:rsidR="009D2195">
        <w:rPr>
          <w:rFonts w:ascii="Book Antiqua" w:hAnsi="Book Antiqua" w:cs="Arial"/>
          <w:sz w:val="24"/>
          <w:szCs w:val="24"/>
        </w:rPr>
        <w:t xml:space="preserve">The Appellant </w:t>
      </w:r>
      <w:r>
        <w:rPr>
          <w:rFonts w:ascii="Book Antiqua" w:hAnsi="Book Antiqua" w:cs="Arial"/>
          <w:sz w:val="24"/>
          <w:szCs w:val="24"/>
        </w:rPr>
        <w:t>and her husband were found to be</w:t>
      </w:r>
      <w:r w:rsidR="009D2195">
        <w:rPr>
          <w:rFonts w:ascii="Book Antiqua" w:hAnsi="Book Antiqua" w:cs="Arial"/>
          <w:sz w:val="24"/>
          <w:szCs w:val="24"/>
        </w:rPr>
        <w:t xml:space="preserve"> unreliable witness</w:t>
      </w:r>
      <w:r>
        <w:rPr>
          <w:rFonts w:ascii="Book Antiqua" w:hAnsi="Book Antiqua" w:cs="Arial"/>
          <w:sz w:val="24"/>
          <w:szCs w:val="24"/>
        </w:rPr>
        <w:t>es</w:t>
      </w:r>
      <w:r w:rsidR="009D2195">
        <w:rPr>
          <w:rFonts w:ascii="Book Antiqua" w:hAnsi="Book Antiqua" w:cs="Arial"/>
          <w:sz w:val="24"/>
          <w:szCs w:val="24"/>
        </w:rPr>
        <w:t xml:space="preserve"> on many contested issues.  </w:t>
      </w:r>
      <w:r w:rsidR="00AC7324">
        <w:rPr>
          <w:rFonts w:ascii="Book Antiqua" w:hAnsi="Book Antiqua" w:cs="Arial"/>
          <w:sz w:val="24"/>
          <w:szCs w:val="24"/>
        </w:rPr>
        <w:t>The appeal had no merit.  The blameless British Citizen baby’s best interests were properly considered: see [135] of the determination which is unimpeachable.</w:t>
      </w:r>
    </w:p>
    <w:p w14:paraId="1DBD88DD" w14:textId="77777777" w:rsidR="0011404B" w:rsidRDefault="002760BF" w:rsidP="008616F9">
      <w:pPr>
        <w:spacing w:before="240"/>
        <w:ind w:left="1134" w:hanging="567"/>
        <w:jc w:val="both"/>
        <w:rPr>
          <w:rFonts w:ascii="Book Antiqua" w:hAnsi="Book Antiqua" w:cs="Arial"/>
          <w:sz w:val="24"/>
          <w:szCs w:val="24"/>
        </w:rPr>
      </w:pPr>
      <w:r>
        <w:rPr>
          <w:rFonts w:ascii="Book Antiqua" w:hAnsi="Book Antiqua" w:cs="Arial"/>
          <w:sz w:val="24"/>
          <w:szCs w:val="24"/>
        </w:rPr>
        <w:t>11</w:t>
      </w:r>
      <w:r w:rsidR="007C49DF">
        <w:rPr>
          <w:rFonts w:ascii="Book Antiqua" w:hAnsi="Book Antiqua" w:cs="Arial"/>
          <w:sz w:val="24"/>
          <w:szCs w:val="24"/>
        </w:rPr>
        <w:t>.</w:t>
      </w:r>
      <w:r w:rsidR="000D238A">
        <w:rPr>
          <w:rFonts w:ascii="Book Antiqua" w:hAnsi="Book Antiqua" w:cs="Arial"/>
          <w:sz w:val="24"/>
          <w:szCs w:val="24"/>
        </w:rPr>
        <w:tab/>
      </w:r>
      <w:proofErr w:type="gramStart"/>
      <w:r w:rsidR="004274FB">
        <w:rPr>
          <w:rFonts w:ascii="Book Antiqua" w:hAnsi="Book Antiqua" w:cs="Arial"/>
          <w:sz w:val="24"/>
          <w:szCs w:val="24"/>
        </w:rPr>
        <w:t>Th</w:t>
      </w:r>
      <w:r>
        <w:rPr>
          <w:rFonts w:ascii="Book Antiqua" w:hAnsi="Book Antiqua" w:cs="Arial"/>
          <w:sz w:val="24"/>
          <w:szCs w:val="24"/>
        </w:rPr>
        <w:t>us</w:t>
      </w:r>
      <w:proofErr w:type="gramEnd"/>
      <w:r>
        <w:rPr>
          <w:rFonts w:ascii="Book Antiqua" w:hAnsi="Book Antiqua" w:cs="Arial"/>
          <w:sz w:val="24"/>
          <w:szCs w:val="24"/>
        </w:rPr>
        <w:t xml:space="preserve"> the</w:t>
      </w:r>
      <w:r w:rsidR="004274FB">
        <w:rPr>
          <w:rFonts w:ascii="Book Antiqua" w:hAnsi="Book Antiqua" w:cs="Arial"/>
          <w:sz w:val="24"/>
          <w:szCs w:val="24"/>
        </w:rPr>
        <w:t xml:space="preserve"> t</w:t>
      </w:r>
      <w:r w:rsidR="00AC7324">
        <w:rPr>
          <w:rFonts w:ascii="Book Antiqua" w:hAnsi="Book Antiqua" w:cs="Arial"/>
          <w:sz w:val="24"/>
          <w:szCs w:val="24"/>
        </w:rPr>
        <w:t>ribunal finds that there was no</w:t>
      </w:r>
      <w:r w:rsidR="00825DBF">
        <w:rPr>
          <w:rFonts w:ascii="Book Antiqua" w:hAnsi="Book Antiqua" w:cs="Arial"/>
          <w:sz w:val="24"/>
          <w:szCs w:val="24"/>
        </w:rPr>
        <w:t xml:space="preserve"> </w:t>
      </w:r>
      <w:r w:rsidR="004274FB">
        <w:rPr>
          <w:rFonts w:ascii="Book Antiqua" w:hAnsi="Book Antiqua" w:cs="Arial"/>
          <w:sz w:val="24"/>
          <w:szCs w:val="24"/>
        </w:rPr>
        <w:t>error of law</w:t>
      </w:r>
      <w:r w:rsidR="005D153E">
        <w:rPr>
          <w:rFonts w:ascii="Book Antiqua" w:hAnsi="Book Antiqua" w:cs="Arial"/>
          <w:sz w:val="24"/>
          <w:szCs w:val="24"/>
        </w:rPr>
        <w:t xml:space="preserve"> in the decision challenged</w:t>
      </w:r>
      <w:r w:rsidR="004274FB">
        <w:rPr>
          <w:rFonts w:ascii="Book Antiqua" w:hAnsi="Book Antiqua" w:cs="Arial"/>
          <w:sz w:val="24"/>
          <w:szCs w:val="24"/>
        </w:rPr>
        <w:t>.</w:t>
      </w:r>
      <w:r w:rsidR="00683CA0">
        <w:rPr>
          <w:rFonts w:ascii="Book Antiqua" w:hAnsi="Book Antiqua" w:cs="Arial"/>
          <w:sz w:val="24"/>
          <w:szCs w:val="24"/>
        </w:rPr>
        <w:t xml:space="preserve">  The onwards appeal is dismissed.</w:t>
      </w:r>
    </w:p>
    <w:p w14:paraId="0BB889B7" w14:textId="77777777" w:rsidR="00AC6ADE" w:rsidRDefault="00AC6ADE" w:rsidP="008616F9">
      <w:pPr>
        <w:spacing w:before="240"/>
        <w:ind w:left="567"/>
        <w:jc w:val="both"/>
        <w:rPr>
          <w:rFonts w:ascii="Book Antiqua" w:hAnsi="Book Antiqua"/>
          <w:b/>
          <w:sz w:val="24"/>
          <w:u w:val="single"/>
        </w:rPr>
      </w:pPr>
    </w:p>
    <w:p w14:paraId="4187F07F" w14:textId="77777777" w:rsidR="006E5DB5" w:rsidRDefault="006E5DB5" w:rsidP="008616F9">
      <w:pPr>
        <w:spacing w:before="240"/>
        <w:ind w:left="567"/>
        <w:jc w:val="both"/>
        <w:rPr>
          <w:rFonts w:ascii="Book Antiqua" w:hAnsi="Book Antiqua"/>
          <w:b/>
          <w:sz w:val="24"/>
          <w:u w:val="single"/>
        </w:rPr>
      </w:pPr>
      <w:r w:rsidRPr="004955DC">
        <w:rPr>
          <w:rFonts w:ascii="Book Antiqua" w:hAnsi="Book Antiqua"/>
          <w:b/>
          <w:sz w:val="24"/>
          <w:u w:val="single"/>
        </w:rPr>
        <w:t>DECISION</w:t>
      </w:r>
    </w:p>
    <w:p w14:paraId="0FB6E567" w14:textId="77777777" w:rsidR="00E44A65" w:rsidRPr="00E44A65" w:rsidRDefault="00E44A65" w:rsidP="008616F9">
      <w:pPr>
        <w:spacing w:before="240"/>
        <w:ind w:left="567"/>
        <w:jc w:val="both"/>
        <w:rPr>
          <w:rFonts w:ascii="Book Antiqua" w:hAnsi="Book Antiqua"/>
          <w:sz w:val="24"/>
        </w:rPr>
      </w:pPr>
      <w:r>
        <w:rPr>
          <w:rFonts w:ascii="Book Antiqua" w:hAnsi="Book Antiqua"/>
          <w:sz w:val="24"/>
        </w:rPr>
        <w:t>The appeal is dismissed</w:t>
      </w:r>
    </w:p>
    <w:p w14:paraId="5B465C8B" w14:textId="77777777" w:rsidR="006E5DB5" w:rsidRDefault="006E5DB5" w:rsidP="008616F9">
      <w:pPr>
        <w:spacing w:before="240"/>
        <w:ind w:left="567"/>
        <w:jc w:val="both"/>
        <w:rPr>
          <w:rFonts w:ascii="Book Antiqua" w:hAnsi="Book Antiqua"/>
          <w:color w:val="000000"/>
          <w:sz w:val="24"/>
          <w:szCs w:val="24"/>
        </w:rPr>
      </w:pPr>
      <w:r w:rsidRPr="002C718C">
        <w:rPr>
          <w:rFonts w:ascii="Book Antiqua" w:hAnsi="Book Antiqua" w:cs="Arial"/>
          <w:color w:val="000000"/>
          <w:sz w:val="24"/>
          <w:szCs w:val="24"/>
        </w:rPr>
        <w:t xml:space="preserve">The making of the previous decision </w:t>
      </w:r>
      <w:r>
        <w:rPr>
          <w:rFonts w:ascii="Book Antiqua" w:hAnsi="Book Antiqua" w:cs="Arial"/>
          <w:color w:val="000000"/>
          <w:sz w:val="24"/>
          <w:szCs w:val="24"/>
        </w:rPr>
        <w:t xml:space="preserve">did </w:t>
      </w:r>
      <w:r w:rsidR="004274FB">
        <w:rPr>
          <w:rFonts w:ascii="Book Antiqua" w:hAnsi="Book Antiqua" w:cs="Arial"/>
          <w:color w:val="000000"/>
          <w:sz w:val="24"/>
          <w:szCs w:val="24"/>
        </w:rPr>
        <w:t xml:space="preserve">not </w:t>
      </w:r>
      <w:r w:rsidRPr="002C718C">
        <w:rPr>
          <w:rFonts w:ascii="Book Antiqua" w:hAnsi="Book Antiqua" w:cs="Arial"/>
          <w:color w:val="000000"/>
          <w:sz w:val="24"/>
          <w:szCs w:val="24"/>
        </w:rPr>
        <w:t>involve the making of a</w:t>
      </w:r>
      <w:r w:rsidR="00825DBF">
        <w:rPr>
          <w:rFonts w:ascii="Book Antiqua" w:hAnsi="Book Antiqua" w:cs="Arial"/>
          <w:color w:val="000000"/>
          <w:sz w:val="24"/>
          <w:szCs w:val="24"/>
        </w:rPr>
        <w:t xml:space="preserve"> material </w:t>
      </w:r>
      <w:r>
        <w:rPr>
          <w:rFonts w:ascii="Book Antiqua" w:hAnsi="Book Antiqua" w:cs="Arial"/>
          <w:color w:val="000000"/>
          <w:sz w:val="24"/>
          <w:szCs w:val="24"/>
        </w:rPr>
        <w:t xml:space="preserve">error </w:t>
      </w:r>
      <w:r w:rsidRPr="002C718C">
        <w:rPr>
          <w:rFonts w:ascii="Book Antiqua" w:hAnsi="Book Antiqua" w:cs="Arial"/>
          <w:color w:val="000000"/>
          <w:sz w:val="24"/>
          <w:szCs w:val="24"/>
        </w:rPr>
        <w:t xml:space="preserve">on </w:t>
      </w:r>
      <w:r>
        <w:rPr>
          <w:rFonts w:ascii="Book Antiqua" w:hAnsi="Book Antiqua" w:cs="Arial"/>
          <w:color w:val="000000"/>
          <w:sz w:val="24"/>
          <w:szCs w:val="24"/>
        </w:rPr>
        <w:t xml:space="preserve">a </w:t>
      </w:r>
      <w:r w:rsidRPr="002C718C">
        <w:rPr>
          <w:rFonts w:ascii="Book Antiqua" w:hAnsi="Book Antiqua" w:cs="Arial"/>
          <w:color w:val="000000"/>
          <w:sz w:val="24"/>
          <w:szCs w:val="24"/>
        </w:rPr>
        <w:t>point of law</w:t>
      </w:r>
      <w:r>
        <w:rPr>
          <w:rFonts w:ascii="Book Antiqua" w:hAnsi="Book Antiqua" w:cs="Arial"/>
          <w:color w:val="000000"/>
          <w:sz w:val="24"/>
          <w:szCs w:val="24"/>
        </w:rPr>
        <w:t xml:space="preserve">.  The decision </w:t>
      </w:r>
      <w:r w:rsidR="004274FB">
        <w:rPr>
          <w:rFonts w:ascii="Book Antiqua" w:hAnsi="Book Antiqua" w:cs="Arial"/>
          <w:color w:val="000000"/>
          <w:sz w:val="24"/>
          <w:szCs w:val="24"/>
        </w:rPr>
        <w:t>stands unchanged.</w:t>
      </w:r>
    </w:p>
    <w:p w14:paraId="14EE4AC5" w14:textId="4F0794C7" w:rsidR="008616F9" w:rsidRDefault="008616F9" w:rsidP="008616F9">
      <w:pPr>
        <w:ind w:left="567"/>
        <w:jc w:val="both"/>
        <w:rPr>
          <w:rFonts w:ascii="Book Antiqua" w:hAnsi="Book Antiqua" w:cs="Arial"/>
          <w:b/>
          <w:sz w:val="24"/>
          <w:szCs w:val="24"/>
        </w:rPr>
      </w:pPr>
    </w:p>
    <w:p w14:paraId="70E371A1" w14:textId="77777777" w:rsidR="008616F9" w:rsidRDefault="008616F9" w:rsidP="008616F9">
      <w:pPr>
        <w:ind w:left="567"/>
        <w:jc w:val="both"/>
        <w:rPr>
          <w:rFonts w:ascii="Book Antiqua" w:hAnsi="Book Antiqua" w:cs="Arial"/>
          <w:b/>
          <w:sz w:val="24"/>
          <w:szCs w:val="24"/>
        </w:rPr>
      </w:pPr>
    </w:p>
    <w:p w14:paraId="324C6078" w14:textId="77777777" w:rsidR="008616F9" w:rsidRDefault="006E5DB5" w:rsidP="008616F9">
      <w:pPr>
        <w:tabs>
          <w:tab w:val="right" w:pos="9639"/>
        </w:tabs>
        <w:ind w:left="567"/>
        <w:jc w:val="both"/>
        <w:rPr>
          <w:rFonts w:ascii="Book Antiqua" w:hAnsi="Book Antiqua" w:cs="Arial"/>
          <w:sz w:val="24"/>
          <w:szCs w:val="24"/>
        </w:rPr>
      </w:pPr>
      <w:r w:rsidRPr="002C718C">
        <w:rPr>
          <w:rFonts w:ascii="Book Antiqua" w:hAnsi="Book Antiqua" w:cs="Arial"/>
          <w:b/>
          <w:sz w:val="24"/>
          <w:szCs w:val="24"/>
        </w:rPr>
        <w:t>Signed</w:t>
      </w:r>
      <w:r w:rsidR="008616F9">
        <w:rPr>
          <w:rFonts w:ascii="Book Antiqua" w:hAnsi="Book Antiqua" w:cs="Arial"/>
          <w:b/>
          <w:sz w:val="24"/>
          <w:szCs w:val="24"/>
        </w:rPr>
        <w:tab/>
      </w:r>
      <w:r w:rsidRPr="002C718C">
        <w:rPr>
          <w:rFonts w:ascii="Book Antiqua" w:hAnsi="Book Antiqua" w:cs="Arial"/>
          <w:b/>
          <w:sz w:val="24"/>
          <w:szCs w:val="24"/>
        </w:rPr>
        <w:t>Dated</w:t>
      </w:r>
      <w:r w:rsidR="003802B9">
        <w:rPr>
          <w:rFonts w:ascii="Book Antiqua" w:hAnsi="Book Antiqua" w:cs="Arial"/>
          <w:b/>
          <w:sz w:val="24"/>
          <w:szCs w:val="24"/>
        </w:rPr>
        <w:t xml:space="preserve"> </w:t>
      </w:r>
      <w:r w:rsidR="006572E2">
        <w:rPr>
          <w:rFonts w:ascii="Book Antiqua" w:hAnsi="Book Antiqua" w:cs="Arial"/>
          <w:sz w:val="24"/>
          <w:szCs w:val="24"/>
        </w:rPr>
        <w:t>23 August</w:t>
      </w:r>
      <w:r w:rsidR="007C49DF">
        <w:rPr>
          <w:rFonts w:ascii="Book Antiqua" w:hAnsi="Book Antiqua" w:cs="Arial"/>
          <w:sz w:val="24"/>
          <w:szCs w:val="24"/>
        </w:rPr>
        <w:t xml:space="preserve"> 2018</w:t>
      </w:r>
    </w:p>
    <w:p w14:paraId="5B2CBB8D" w14:textId="77777777" w:rsidR="008616F9" w:rsidRDefault="008616F9" w:rsidP="008616F9">
      <w:pPr>
        <w:ind w:left="567"/>
        <w:jc w:val="both"/>
        <w:rPr>
          <w:rFonts w:ascii="Book Antiqua" w:hAnsi="Book Antiqua" w:cs="Arial"/>
          <w:sz w:val="24"/>
          <w:szCs w:val="24"/>
        </w:rPr>
      </w:pPr>
    </w:p>
    <w:p w14:paraId="2D7C4FEB" w14:textId="79217B72" w:rsidR="006E5DB5" w:rsidRDefault="006E5DB5" w:rsidP="008616F9">
      <w:pPr>
        <w:ind w:left="567"/>
        <w:jc w:val="both"/>
        <w:rPr>
          <w:rFonts w:ascii="Book Antiqua" w:hAnsi="Book Antiqua" w:cs="Arial"/>
          <w:b/>
          <w:sz w:val="24"/>
          <w:szCs w:val="24"/>
        </w:rPr>
      </w:pPr>
      <w:r>
        <w:rPr>
          <w:rFonts w:ascii="Book Antiqua" w:hAnsi="Book Antiqua" w:cs="Arial"/>
          <w:b/>
          <w:sz w:val="24"/>
          <w:szCs w:val="24"/>
        </w:rPr>
        <w:t xml:space="preserve">Deputy Upper Tribunal </w:t>
      </w:r>
      <w:r w:rsidR="008616F9">
        <w:rPr>
          <w:rFonts w:ascii="Book Antiqua" w:hAnsi="Book Antiqua" w:cs="Arial"/>
          <w:b/>
          <w:sz w:val="24"/>
          <w:szCs w:val="24"/>
        </w:rPr>
        <w:t xml:space="preserve">Judge </w:t>
      </w:r>
      <w:proofErr w:type="spellStart"/>
      <w:r w:rsidR="008616F9">
        <w:rPr>
          <w:rFonts w:ascii="Book Antiqua" w:hAnsi="Book Antiqua" w:cs="Arial"/>
          <w:b/>
          <w:sz w:val="24"/>
          <w:szCs w:val="24"/>
        </w:rPr>
        <w:t>Manuell</w:t>
      </w:r>
      <w:proofErr w:type="spellEnd"/>
    </w:p>
    <w:sectPr w:rsidR="006E5DB5" w:rsidSect="008616F9">
      <w:headerReference w:type="default" r:id="rId8"/>
      <w:footerReference w:type="even" r:id="rId9"/>
      <w:footerReference w:type="default" r:id="rId10"/>
      <w:footerReference w:type="first" r:id="rId11"/>
      <w:endnotePr>
        <w:numFmt w:val="decimal"/>
        <w:numStart w:val="0"/>
      </w:endnotePr>
      <w:pgSz w:w="11907" w:h="16840" w:code="9"/>
      <w:pgMar w:top="1440" w:right="1134" w:bottom="1440"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38C10" w14:textId="77777777" w:rsidR="001962EB" w:rsidRDefault="001962EB">
      <w:r>
        <w:separator/>
      </w:r>
    </w:p>
  </w:endnote>
  <w:endnote w:type="continuationSeparator" w:id="0">
    <w:p w14:paraId="331C0389" w14:textId="77777777" w:rsidR="001962EB" w:rsidRDefault="00196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1B0BB" w14:textId="77777777" w:rsidR="00BA76F3" w:rsidRDefault="00BA76F3" w:rsidP="000044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F5B4F2" w14:textId="77777777" w:rsidR="00BA76F3" w:rsidRDefault="00BA76F3" w:rsidP="00C907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C87B" w14:textId="776E2AB7" w:rsidR="00CD6692" w:rsidRPr="008616F9" w:rsidRDefault="00CD6692">
    <w:pPr>
      <w:pStyle w:val="Footer"/>
      <w:jc w:val="center"/>
      <w:rPr>
        <w:rFonts w:ascii="Book Antiqua" w:hAnsi="Book Antiqua"/>
      </w:rPr>
    </w:pPr>
    <w:r w:rsidRPr="008616F9">
      <w:rPr>
        <w:rFonts w:ascii="Book Antiqua" w:hAnsi="Book Antiqua"/>
      </w:rPr>
      <w:fldChar w:fldCharType="begin"/>
    </w:r>
    <w:r w:rsidRPr="008616F9">
      <w:rPr>
        <w:rFonts w:ascii="Book Antiqua" w:hAnsi="Book Antiqua"/>
      </w:rPr>
      <w:instrText xml:space="preserve"> PAGE   \* MERGEFORMAT </w:instrText>
    </w:r>
    <w:r w:rsidRPr="008616F9">
      <w:rPr>
        <w:rFonts w:ascii="Book Antiqua" w:hAnsi="Book Antiqua"/>
      </w:rPr>
      <w:fldChar w:fldCharType="separate"/>
    </w:r>
    <w:r w:rsidR="00A14707">
      <w:rPr>
        <w:rFonts w:ascii="Book Antiqua" w:hAnsi="Book Antiqua"/>
        <w:noProof/>
      </w:rPr>
      <w:t>3</w:t>
    </w:r>
    <w:r w:rsidRPr="008616F9">
      <w:rPr>
        <w:rFonts w:ascii="Book Antiqua" w:hAnsi="Book Antiqua"/>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526CD" w14:textId="77777777" w:rsidR="00BA76F3" w:rsidRPr="008616F9" w:rsidRDefault="00BA76F3" w:rsidP="0002533F">
    <w:pPr>
      <w:pStyle w:val="Footer"/>
      <w:jc w:val="center"/>
      <w:rPr>
        <w:rFonts w:ascii="Book Antiqua" w:hAnsi="Book Antiqua"/>
        <w:b/>
        <w:sz w:val="24"/>
        <w:szCs w:val="24"/>
      </w:rPr>
    </w:pPr>
    <w:r w:rsidRPr="008616F9">
      <w:rPr>
        <w:rFonts w:ascii="Book Antiqua" w:hAnsi="Book Antiqua"/>
        <w:b/>
        <w:sz w:val="24"/>
        <w:szCs w:val="24"/>
      </w:rPr>
      <w:t>© CROWN COPYRIGHT 201</w:t>
    </w:r>
    <w:r w:rsidR="0024464F" w:rsidRPr="008616F9">
      <w:rPr>
        <w:rFonts w:ascii="Book Antiqua" w:hAnsi="Book Antiqua"/>
        <w:b/>
        <w:sz w:val="24"/>
        <w:szCs w:val="24"/>
      </w:rPr>
      <w:t>8</w:t>
    </w:r>
    <w:r w:rsidRPr="008616F9">
      <w:rPr>
        <w:rFonts w:ascii="Book Antiqua" w:hAnsi="Book Antiqua"/>
        <w:b/>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3123C" w14:textId="77777777" w:rsidR="001962EB" w:rsidRDefault="001962EB">
      <w:r>
        <w:separator/>
      </w:r>
    </w:p>
  </w:footnote>
  <w:footnote w:type="continuationSeparator" w:id="0">
    <w:p w14:paraId="3BA21520" w14:textId="77777777" w:rsidR="001962EB" w:rsidRDefault="001962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5F1A8" w14:textId="6DE44FA4" w:rsidR="00BA76F3" w:rsidRPr="008616F9" w:rsidRDefault="00FB4C3F" w:rsidP="008616F9">
    <w:pPr>
      <w:tabs>
        <w:tab w:val="right" w:pos="9720"/>
      </w:tabs>
      <w:ind w:right="-82"/>
      <w:jc w:val="right"/>
      <w:rPr>
        <w:rFonts w:ascii="Book Antiqua" w:hAnsi="Book Antiqua" w:cs="Arial"/>
        <w:bCs/>
        <w:color w:val="000000"/>
      </w:rPr>
    </w:pPr>
    <w:r w:rsidRPr="008616F9">
      <w:rPr>
        <w:rFonts w:ascii="Book Antiqua" w:hAnsi="Book Antiqua" w:cs="Arial"/>
        <w:bCs/>
        <w:color w:val="000000"/>
      </w:rPr>
      <w:t>Appeal Number: PA/05537/2017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45C38"/>
    <w:multiLevelType w:val="hybridMultilevel"/>
    <w:tmpl w:val="B7E66C9C"/>
    <w:lvl w:ilvl="0" w:tplc="E66C806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3E46382A"/>
    <w:multiLevelType w:val="hybridMultilevel"/>
    <w:tmpl w:val="4670BF4E"/>
    <w:lvl w:ilvl="0" w:tplc="4FFA8388">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pos w:val="sectEnd"/>
    <w:numFmt w:val="decimal"/>
    <w:numStart w:val="0"/>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F08"/>
    <w:rsid w:val="000017BD"/>
    <w:rsid w:val="000044E0"/>
    <w:rsid w:val="00007BC2"/>
    <w:rsid w:val="000102BB"/>
    <w:rsid w:val="00012161"/>
    <w:rsid w:val="00012704"/>
    <w:rsid w:val="00014E34"/>
    <w:rsid w:val="00015C2D"/>
    <w:rsid w:val="00020D91"/>
    <w:rsid w:val="00023F35"/>
    <w:rsid w:val="00024A96"/>
    <w:rsid w:val="0002533F"/>
    <w:rsid w:val="00031F04"/>
    <w:rsid w:val="00033FFF"/>
    <w:rsid w:val="00035A3A"/>
    <w:rsid w:val="000371F4"/>
    <w:rsid w:val="00053B60"/>
    <w:rsid w:val="00055A8C"/>
    <w:rsid w:val="0006265C"/>
    <w:rsid w:val="00062887"/>
    <w:rsid w:val="00062BCD"/>
    <w:rsid w:val="00067F72"/>
    <w:rsid w:val="00083A3A"/>
    <w:rsid w:val="0009100D"/>
    <w:rsid w:val="00092801"/>
    <w:rsid w:val="00092BC5"/>
    <w:rsid w:val="000932BE"/>
    <w:rsid w:val="000A2463"/>
    <w:rsid w:val="000B00D6"/>
    <w:rsid w:val="000B0A97"/>
    <w:rsid w:val="000B1632"/>
    <w:rsid w:val="000B1857"/>
    <w:rsid w:val="000B2BF0"/>
    <w:rsid w:val="000B5ADD"/>
    <w:rsid w:val="000B7492"/>
    <w:rsid w:val="000C01A2"/>
    <w:rsid w:val="000C042F"/>
    <w:rsid w:val="000C49C9"/>
    <w:rsid w:val="000C7C87"/>
    <w:rsid w:val="000D169F"/>
    <w:rsid w:val="000D238A"/>
    <w:rsid w:val="000D2880"/>
    <w:rsid w:val="000D2F94"/>
    <w:rsid w:val="000E1FC3"/>
    <w:rsid w:val="000E2555"/>
    <w:rsid w:val="000E4210"/>
    <w:rsid w:val="000E61EC"/>
    <w:rsid w:val="000E652E"/>
    <w:rsid w:val="000E7897"/>
    <w:rsid w:val="000F0A09"/>
    <w:rsid w:val="000F1213"/>
    <w:rsid w:val="000F1D16"/>
    <w:rsid w:val="000F2DE8"/>
    <w:rsid w:val="000F6237"/>
    <w:rsid w:val="00100F13"/>
    <w:rsid w:val="00101C6A"/>
    <w:rsid w:val="00103EC3"/>
    <w:rsid w:val="001054A3"/>
    <w:rsid w:val="00110B62"/>
    <w:rsid w:val="00111AEC"/>
    <w:rsid w:val="00113496"/>
    <w:rsid w:val="0011404B"/>
    <w:rsid w:val="00115FE7"/>
    <w:rsid w:val="00120BEB"/>
    <w:rsid w:val="00121A2F"/>
    <w:rsid w:val="001224CF"/>
    <w:rsid w:val="00122C36"/>
    <w:rsid w:val="00124DEC"/>
    <w:rsid w:val="00126B5B"/>
    <w:rsid w:val="00130BFE"/>
    <w:rsid w:val="001318F4"/>
    <w:rsid w:val="00131D41"/>
    <w:rsid w:val="00133674"/>
    <w:rsid w:val="00133AA6"/>
    <w:rsid w:val="00133E2D"/>
    <w:rsid w:val="00133E97"/>
    <w:rsid w:val="0014188D"/>
    <w:rsid w:val="00141ECF"/>
    <w:rsid w:val="00142EA4"/>
    <w:rsid w:val="00150247"/>
    <w:rsid w:val="001541D2"/>
    <w:rsid w:val="00162438"/>
    <w:rsid w:val="00165B36"/>
    <w:rsid w:val="00167ACA"/>
    <w:rsid w:val="00170A8E"/>
    <w:rsid w:val="00175554"/>
    <w:rsid w:val="001755DE"/>
    <w:rsid w:val="00176550"/>
    <w:rsid w:val="00177709"/>
    <w:rsid w:val="00191040"/>
    <w:rsid w:val="0019233F"/>
    <w:rsid w:val="00192C45"/>
    <w:rsid w:val="00193AC4"/>
    <w:rsid w:val="00195383"/>
    <w:rsid w:val="00195769"/>
    <w:rsid w:val="001962EB"/>
    <w:rsid w:val="00196430"/>
    <w:rsid w:val="00197855"/>
    <w:rsid w:val="001A1500"/>
    <w:rsid w:val="001A35F4"/>
    <w:rsid w:val="001A6C6A"/>
    <w:rsid w:val="001B1399"/>
    <w:rsid w:val="001B21ED"/>
    <w:rsid w:val="001B3C8E"/>
    <w:rsid w:val="001B577D"/>
    <w:rsid w:val="001B5CC3"/>
    <w:rsid w:val="001B5F78"/>
    <w:rsid w:val="001B6576"/>
    <w:rsid w:val="001B7DAA"/>
    <w:rsid w:val="001C0E7A"/>
    <w:rsid w:val="001C114D"/>
    <w:rsid w:val="001C390A"/>
    <w:rsid w:val="001C4C70"/>
    <w:rsid w:val="001C53A6"/>
    <w:rsid w:val="001D5417"/>
    <w:rsid w:val="001D7ADD"/>
    <w:rsid w:val="001E2646"/>
    <w:rsid w:val="001E2E6C"/>
    <w:rsid w:val="001E4420"/>
    <w:rsid w:val="001E4738"/>
    <w:rsid w:val="001E47E9"/>
    <w:rsid w:val="001E56FD"/>
    <w:rsid w:val="001E6895"/>
    <w:rsid w:val="001E7637"/>
    <w:rsid w:val="001F0A30"/>
    <w:rsid w:val="001F1CFB"/>
    <w:rsid w:val="001F636D"/>
    <w:rsid w:val="001F69E0"/>
    <w:rsid w:val="00201DEE"/>
    <w:rsid w:val="00204417"/>
    <w:rsid w:val="00211938"/>
    <w:rsid w:val="00214FA1"/>
    <w:rsid w:val="00215F99"/>
    <w:rsid w:val="0022324C"/>
    <w:rsid w:val="002276A4"/>
    <w:rsid w:val="00227990"/>
    <w:rsid w:val="002327CD"/>
    <w:rsid w:val="00233383"/>
    <w:rsid w:val="00235887"/>
    <w:rsid w:val="002370CF"/>
    <w:rsid w:val="00242DD5"/>
    <w:rsid w:val="0024464F"/>
    <w:rsid w:val="00246542"/>
    <w:rsid w:val="00247EC4"/>
    <w:rsid w:val="00250376"/>
    <w:rsid w:val="0025190E"/>
    <w:rsid w:val="002543B5"/>
    <w:rsid w:val="00257FF6"/>
    <w:rsid w:val="00260FB8"/>
    <w:rsid w:val="002637ED"/>
    <w:rsid w:val="00263C46"/>
    <w:rsid w:val="00265F7F"/>
    <w:rsid w:val="002760BF"/>
    <w:rsid w:val="002766E8"/>
    <w:rsid w:val="00276FC5"/>
    <w:rsid w:val="00280AD8"/>
    <w:rsid w:val="00281962"/>
    <w:rsid w:val="0028213B"/>
    <w:rsid w:val="00282CA1"/>
    <w:rsid w:val="00286CD5"/>
    <w:rsid w:val="0029228C"/>
    <w:rsid w:val="00292D10"/>
    <w:rsid w:val="00293B4B"/>
    <w:rsid w:val="00295942"/>
    <w:rsid w:val="002976CD"/>
    <w:rsid w:val="002A03EC"/>
    <w:rsid w:val="002A1227"/>
    <w:rsid w:val="002A127D"/>
    <w:rsid w:val="002A2153"/>
    <w:rsid w:val="002A2E15"/>
    <w:rsid w:val="002A479C"/>
    <w:rsid w:val="002A5ADF"/>
    <w:rsid w:val="002A7997"/>
    <w:rsid w:val="002B1868"/>
    <w:rsid w:val="002B3B4D"/>
    <w:rsid w:val="002B5471"/>
    <w:rsid w:val="002B5D1A"/>
    <w:rsid w:val="002B5DAF"/>
    <w:rsid w:val="002B6ADD"/>
    <w:rsid w:val="002B7FB0"/>
    <w:rsid w:val="002C00F8"/>
    <w:rsid w:val="002C0D86"/>
    <w:rsid w:val="002C37FB"/>
    <w:rsid w:val="002C384A"/>
    <w:rsid w:val="002C3F34"/>
    <w:rsid w:val="002C439E"/>
    <w:rsid w:val="002C6581"/>
    <w:rsid w:val="002C718C"/>
    <w:rsid w:val="002C73D1"/>
    <w:rsid w:val="002D64B6"/>
    <w:rsid w:val="002E0E2A"/>
    <w:rsid w:val="002E2269"/>
    <w:rsid w:val="002E325C"/>
    <w:rsid w:val="002E649C"/>
    <w:rsid w:val="002F03A8"/>
    <w:rsid w:val="002F3955"/>
    <w:rsid w:val="002F5596"/>
    <w:rsid w:val="002F74A9"/>
    <w:rsid w:val="00300891"/>
    <w:rsid w:val="00301F35"/>
    <w:rsid w:val="00305CC8"/>
    <w:rsid w:val="00307D61"/>
    <w:rsid w:val="003145D3"/>
    <w:rsid w:val="0032094B"/>
    <w:rsid w:val="00321C0C"/>
    <w:rsid w:val="00326D3C"/>
    <w:rsid w:val="00330F07"/>
    <w:rsid w:val="003315F4"/>
    <w:rsid w:val="003329B5"/>
    <w:rsid w:val="00334CC9"/>
    <w:rsid w:val="00334F4F"/>
    <w:rsid w:val="003370D8"/>
    <w:rsid w:val="00340275"/>
    <w:rsid w:val="00342C97"/>
    <w:rsid w:val="00342D34"/>
    <w:rsid w:val="0034388E"/>
    <w:rsid w:val="00351D29"/>
    <w:rsid w:val="00352F7B"/>
    <w:rsid w:val="00354B72"/>
    <w:rsid w:val="003615E3"/>
    <w:rsid w:val="00363BD3"/>
    <w:rsid w:val="00364114"/>
    <w:rsid w:val="003650C8"/>
    <w:rsid w:val="003660F4"/>
    <w:rsid w:val="003663C1"/>
    <w:rsid w:val="00366941"/>
    <w:rsid w:val="00372B7E"/>
    <w:rsid w:val="003747E9"/>
    <w:rsid w:val="003777B8"/>
    <w:rsid w:val="003802B9"/>
    <w:rsid w:val="00381ECE"/>
    <w:rsid w:val="00384A25"/>
    <w:rsid w:val="003857BB"/>
    <w:rsid w:val="003857D6"/>
    <w:rsid w:val="003964D2"/>
    <w:rsid w:val="003A4290"/>
    <w:rsid w:val="003A6E6D"/>
    <w:rsid w:val="003A774C"/>
    <w:rsid w:val="003B150F"/>
    <w:rsid w:val="003B3ECE"/>
    <w:rsid w:val="003C0095"/>
    <w:rsid w:val="003C1310"/>
    <w:rsid w:val="003C3B8B"/>
    <w:rsid w:val="003D2363"/>
    <w:rsid w:val="003D3D16"/>
    <w:rsid w:val="003D5727"/>
    <w:rsid w:val="003D5A2A"/>
    <w:rsid w:val="003D7F3A"/>
    <w:rsid w:val="003E3E57"/>
    <w:rsid w:val="003E6665"/>
    <w:rsid w:val="003E745C"/>
    <w:rsid w:val="003F1053"/>
    <w:rsid w:val="003F4009"/>
    <w:rsid w:val="003F6D59"/>
    <w:rsid w:val="0040052F"/>
    <w:rsid w:val="004005C7"/>
    <w:rsid w:val="00404024"/>
    <w:rsid w:val="00405A2D"/>
    <w:rsid w:val="004068D6"/>
    <w:rsid w:val="004076DA"/>
    <w:rsid w:val="00410B35"/>
    <w:rsid w:val="004125D9"/>
    <w:rsid w:val="00412C0E"/>
    <w:rsid w:val="004168A9"/>
    <w:rsid w:val="0041751B"/>
    <w:rsid w:val="0042001D"/>
    <w:rsid w:val="00421E63"/>
    <w:rsid w:val="004271E0"/>
    <w:rsid w:val="004274FB"/>
    <w:rsid w:val="00427FA3"/>
    <w:rsid w:val="00431758"/>
    <w:rsid w:val="00431E7B"/>
    <w:rsid w:val="00431E87"/>
    <w:rsid w:val="00433F99"/>
    <w:rsid w:val="004353AC"/>
    <w:rsid w:val="00440434"/>
    <w:rsid w:val="00441C99"/>
    <w:rsid w:val="004469EC"/>
    <w:rsid w:val="00450173"/>
    <w:rsid w:val="00452144"/>
    <w:rsid w:val="0045373A"/>
    <w:rsid w:val="00455593"/>
    <w:rsid w:val="00456C49"/>
    <w:rsid w:val="00456D96"/>
    <w:rsid w:val="004621EA"/>
    <w:rsid w:val="00462954"/>
    <w:rsid w:val="00464FBF"/>
    <w:rsid w:val="00466882"/>
    <w:rsid w:val="004732BE"/>
    <w:rsid w:val="004775DB"/>
    <w:rsid w:val="00481983"/>
    <w:rsid w:val="00481A1F"/>
    <w:rsid w:val="00491C1C"/>
    <w:rsid w:val="00491C94"/>
    <w:rsid w:val="00492DF6"/>
    <w:rsid w:val="004932EE"/>
    <w:rsid w:val="004955DC"/>
    <w:rsid w:val="004A0029"/>
    <w:rsid w:val="004A5237"/>
    <w:rsid w:val="004B2734"/>
    <w:rsid w:val="004B4F34"/>
    <w:rsid w:val="004D0F7B"/>
    <w:rsid w:val="004D128D"/>
    <w:rsid w:val="004D28F2"/>
    <w:rsid w:val="004D4FB9"/>
    <w:rsid w:val="004E23F0"/>
    <w:rsid w:val="004E2F7E"/>
    <w:rsid w:val="004E3416"/>
    <w:rsid w:val="004E4682"/>
    <w:rsid w:val="004E5BA8"/>
    <w:rsid w:val="004E6FDD"/>
    <w:rsid w:val="004F44C1"/>
    <w:rsid w:val="0050070B"/>
    <w:rsid w:val="00501018"/>
    <w:rsid w:val="0050124D"/>
    <w:rsid w:val="005031ED"/>
    <w:rsid w:val="005043DD"/>
    <w:rsid w:val="00504E8A"/>
    <w:rsid w:val="00505DAD"/>
    <w:rsid w:val="00511344"/>
    <w:rsid w:val="00520164"/>
    <w:rsid w:val="005214D5"/>
    <w:rsid w:val="00522757"/>
    <w:rsid w:val="00523DC1"/>
    <w:rsid w:val="00525F5C"/>
    <w:rsid w:val="00530466"/>
    <w:rsid w:val="00532C8F"/>
    <w:rsid w:val="00533054"/>
    <w:rsid w:val="00535248"/>
    <w:rsid w:val="00536B23"/>
    <w:rsid w:val="00540878"/>
    <w:rsid w:val="005453CB"/>
    <w:rsid w:val="005453D4"/>
    <w:rsid w:val="005455FC"/>
    <w:rsid w:val="00546FC8"/>
    <w:rsid w:val="00547424"/>
    <w:rsid w:val="00547AA5"/>
    <w:rsid w:val="00550E46"/>
    <w:rsid w:val="0056252E"/>
    <w:rsid w:val="00565729"/>
    <w:rsid w:val="00570798"/>
    <w:rsid w:val="00571157"/>
    <w:rsid w:val="005726D2"/>
    <w:rsid w:val="005728B0"/>
    <w:rsid w:val="005763CC"/>
    <w:rsid w:val="00576B57"/>
    <w:rsid w:val="005774B7"/>
    <w:rsid w:val="0057782C"/>
    <w:rsid w:val="00582D69"/>
    <w:rsid w:val="00586558"/>
    <w:rsid w:val="0058691F"/>
    <w:rsid w:val="005965EF"/>
    <w:rsid w:val="0059737B"/>
    <w:rsid w:val="005B437A"/>
    <w:rsid w:val="005C65C6"/>
    <w:rsid w:val="005C7BDD"/>
    <w:rsid w:val="005D12CB"/>
    <w:rsid w:val="005D153E"/>
    <w:rsid w:val="005D53A7"/>
    <w:rsid w:val="005D5B87"/>
    <w:rsid w:val="005D7016"/>
    <w:rsid w:val="005E3447"/>
    <w:rsid w:val="005E7388"/>
    <w:rsid w:val="005E75AB"/>
    <w:rsid w:val="005F12EB"/>
    <w:rsid w:val="005F40E3"/>
    <w:rsid w:val="005F432A"/>
    <w:rsid w:val="006057FC"/>
    <w:rsid w:val="006076D6"/>
    <w:rsid w:val="00611227"/>
    <w:rsid w:val="0061376D"/>
    <w:rsid w:val="00614EBE"/>
    <w:rsid w:val="00621E93"/>
    <w:rsid w:val="0062313B"/>
    <w:rsid w:val="00623296"/>
    <w:rsid w:val="0062468E"/>
    <w:rsid w:val="00630166"/>
    <w:rsid w:val="00633689"/>
    <w:rsid w:val="00634B89"/>
    <w:rsid w:val="00634CAE"/>
    <w:rsid w:val="00635D33"/>
    <w:rsid w:val="0063636E"/>
    <w:rsid w:val="006368BB"/>
    <w:rsid w:val="00636C3D"/>
    <w:rsid w:val="0064111E"/>
    <w:rsid w:val="00643195"/>
    <w:rsid w:val="00644A3A"/>
    <w:rsid w:val="006528EF"/>
    <w:rsid w:val="00655A2F"/>
    <w:rsid w:val="006572E2"/>
    <w:rsid w:val="0066492C"/>
    <w:rsid w:val="006666B4"/>
    <w:rsid w:val="00670052"/>
    <w:rsid w:val="0067125A"/>
    <w:rsid w:val="006778BD"/>
    <w:rsid w:val="006803EB"/>
    <w:rsid w:val="006817C2"/>
    <w:rsid w:val="00681B9B"/>
    <w:rsid w:val="00681EC1"/>
    <w:rsid w:val="00683CA0"/>
    <w:rsid w:val="00691D95"/>
    <w:rsid w:val="0069249B"/>
    <w:rsid w:val="00695025"/>
    <w:rsid w:val="006953C5"/>
    <w:rsid w:val="006974AE"/>
    <w:rsid w:val="006A155F"/>
    <w:rsid w:val="006A1F2E"/>
    <w:rsid w:val="006A208E"/>
    <w:rsid w:val="006A54A8"/>
    <w:rsid w:val="006B132A"/>
    <w:rsid w:val="006B180B"/>
    <w:rsid w:val="006B1C18"/>
    <w:rsid w:val="006B5C23"/>
    <w:rsid w:val="006C1577"/>
    <w:rsid w:val="006D42CF"/>
    <w:rsid w:val="006D7A96"/>
    <w:rsid w:val="006D7B45"/>
    <w:rsid w:val="006E5DB5"/>
    <w:rsid w:val="006E632D"/>
    <w:rsid w:val="006E70E2"/>
    <w:rsid w:val="006F0EDE"/>
    <w:rsid w:val="006F21E4"/>
    <w:rsid w:val="006F4B09"/>
    <w:rsid w:val="006F4EE6"/>
    <w:rsid w:val="0070558A"/>
    <w:rsid w:val="007113B1"/>
    <w:rsid w:val="007165AF"/>
    <w:rsid w:val="00722B4C"/>
    <w:rsid w:val="00723EC3"/>
    <w:rsid w:val="0072583C"/>
    <w:rsid w:val="007279B5"/>
    <w:rsid w:val="00730C51"/>
    <w:rsid w:val="00732097"/>
    <w:rsid w:val="007332EC"/>
    <w:rsid w:val="00733877"/>
    <w:rsid w:val="007366D0"/>
    <w:rsid w:val="00746183"/>
    <w:rsid w:val="007466EE"/>
    <w:rsid w:val="007472B2"/>
    <w:rsid w:val="007519CA"/>
    <w:rsid w:val="00752961"/>
    <w:rsid w:val="007531A9"/>
    <w:rsid w:val="0076593B"/>
    <w:rsid w:val="00776332"/>
    <w:rsid w:val="00776C65"/>
    <w:rsid w:val="00777F08"/>
    <w:rsid w:val="00782257"/>
    <w:rsid w:val="00782D2A"/>
    <w:rsid w:val="00785DB6"/>
    <w:rsid w:val="00787CF5"/>
    <w:rsid w:val="0079095C"/>
    <w:rsid w:val="00793394"/>
    <w:rsid w:val="0079696F"/>
    <w:rsid w:val="00797761"/>
    <w:rsid w:val="007A1308"/>
    <w:rsid w:val="007A13C0"/>
    <w:rsid w:val="007A2AB7"/>
    <w:rsid w:val="007A531E"/>
    <w:rsid w:val="007B00CB"/>
    <w:rsid w:val="007B1B5E"/>
    <w:rsid w:val="007B2E7A"/>
    <w:rsid w:val="007B30B3"/>
    <w:rsid w:val="007B6551"/>
    <w:rsid w:val="007C49DF"/>
    <w:rsid w:val="007C5D86"/>
    <w:rsid w:val="007C6C2B"/>
    <w:rsid w:val="007D00DF"/>
    <w:rsid w:val="007D2A80"/>
    <w:rsid w:val="007D6C7F"/>
    <w:rsid w:val="007D79A0"/>
    <w:rsid w:val="007E0F2C"/>
    <w:rsid w:val="007F1ED6"/>
    <w:rsid w:val="007F338B"/>
    <w:rsid w:val="007F7910"/>
    <w:rsid w:val="007F7ACF"/>
    <w:rsid w:val="00800E67"/>
    <w:rsid w:val="00801662"/>
    <w:rsid w:val="00802517"/>
    <w:rsid w:val="00807795"/>
    <w:rsid w:val="00812C37"/>
    <w:rsid w:val="0081393C"/>
    <w:rsid w:val="00816967"/>
    <w:rsid w:val="00824E5D"/>
    <w:rsid w:val="00825A57"/>
    <w:rsid w:val="00825DBF"/>
    <w:rsid w:val="008307D3"/>
    <w:rsid w:val="008309BA"/>
    <w:rsid w:val="00831399"/>
    <w:rsid w:val="0083286A"/>
    <w:rsid w:val="008334C7"/>
    <w:rsid w:val="008351D3"/>
    <w:rsid w:val="00837BDE"/>
    <w:rsid w:val="00840E56"/>
    <w:rsid w:val="00841CB5"/>
    <w:rsid w:val="008428E7"/>
    <w:rsid w:val="00843094"/>
    <w:rsid w:val="0084642B"/>
    <w:rsid w:val="00850A03"/>
    <w:rsid w:val="00850A9A"/>
    <w:rsid w:val="00852A12"/>
    <w:rsid w:val="008616F9"/>
    <w:rsid w:val="00863D7A"/>
    <w:rsid w:val="00872290"/>
    <w:rsid w:val="00874791"/>
    <w:rsid w:val="00876BB2"/>
    <w:rsid w:val="008772F4"/>
    <w:rsid w:val="00877AF9"/>
    <w:rsid w:val="008817E1"/>
    <w:rsid w:val="00886FBD"/>
    <w:rsid w:val="0088738C"/>
    <w:rsid w:val="00887645"/>
    <w:rsid w:val="00892A29"/>
    <w:rsid w:val="0089449E"/>
    <w:rsid w:val="00895AAA"/>
    <w:rsid w:val="008966AE"/>
    <w:rsid w:val="00896A02"/>
    <w:rsid w:val="00897740"/>
    <w:rsid w:val="008A2A1B"/>
    <w:rsid w:val="008A3ABE"/>
    <w:rsid w:val="008A4205"/>
    <w:rsid w:val="008A442A"/>
    <w:rsid w:val="008A4A29"/>
    <w:rsid w:val="008A6B30"/>
    <w:rsid w:val="008B2ED3"/>
    <w:rsid w:val="008B3589"/>
    <w:rsid w:val="008B3AC1"/>
    <w:rsid w:val="008B41DD"/>
    <w:rsid w:val="008B472E"/>
    <w:rsid w:val="008B7CDF"/>
    <w:rsid w:val="008C09D5"/>
    <w:rsid w:val="008C40CC"/>
    <w:rsid w:val="008C449E"/>
    <w:rsid w:val="008C5403"/>
    <w:rsid w:val="008D1AB8"/>
    <w:rsid w:val="008D27F0"/>
    <w:rsid w:val="008D678C"/>
    <w:rsid w:val="008D6F55"/>
    <w:rsid w:val="008E3479"/>
    <w:rsid w:val="008E3F7B"/>
    <w:rsid w:val="008E47F6"/>
    <w:rsid w:val="008E5D2D"/>
    <w:rsid w:val="008E6052"/>
    <w:rsid w:val="008E6319"/>
    <w:rsid w:val="008F0520"/>
    <w:rsid w:val="008F0979"/>
    <w:rsid w:val="008F0EED"/>
    <w:rsid w:val="008F13AB"/>
    <w:rsid w:val="008F198D"/>
    <w:rsid w:val="008F4AB9"/>
    <w:rsid w:val="008F500E"/>
    <w:rsid w:val="008F5016"/>
    <w:rsid w:val="008F5213"/>
    <w:rsid w:val="00904DA5"/>
    <w:rsid w:val="00911D7C"/>
    <w:rsid w:val="00915DA0"/>
    <w:rsid w:val="00915F60"/>
    <w:rsid w:val="00916762"/>
    <w:rsid w:val="009173EB"/>
    <w:rsid w:val="00924ED4"/>
    <w:rsid w:val="00925F4A"/>
    <w:rsid w:val="00930A14"/>
    <w:rsid w:val="00931549"/>
    <w:rsid w:val="0093165E"/>
    <w:rsid w:val="009360C3"/>
    <w:rsid w:val="0094542E"/>
    <w:rsid w:val="00946E72"/>
    <w:rsid w:val="009517AC"/>
    <w:rsid w:val="00952694"/>
    <w:rsid w:val="0095409D"/>
    <w:rsid w:val="009571E3"/>
    <w:rsid w:val="00957CE4"/>
    <w:rsid w:val="0096085B"/>
    <w:rsid w:val="009657E3"/>
    <w:rsid w:val="0096772C"/>
    <w:rsid w:val="0097409E"/>
    <w:rsid w:val="00974B5B"/>
    <w:rsid w:val="00981746"/>
    <w:rsid w:val="00984821"/>
    <w:rsid w:val="00984CCA"/>
    <w:rsid w:val="009851D1"/>
    <w:rsid w:val="009871A8"/>
    <w:rsid w:val="00993C0B"/>
    <w:rsid w:val="009940E2"/>
    <w:rsid w:val="009A11A1"/>
    <w:rsid w:val="009A26D2"/>
    <w:rsid w:val="009B2142"/>
    <w:rsid w:val="009B23FE"/>
    <w:rsid w:val="009B24BD"/>
    <w:rsid w:val="009B4C39"/>
    <w:rsid w:val="009B6B23"/>
    <w:rsid w:val="009C00EE"/>
    <w:rsid w:val="009C18E7"/>
    <w:rsid w:val="009C727F"/>
    <w:rsid w:val="009D1ED5"/>
    <w:rsid w:val="009D2195"/>
    <w:rsid w:val="009D4055"/>
    <w:rsid w:val="009D48DA"/>
    <w:rsid w:val="009D53E6"/>
    <w:rsid w:val="009D78F8"/>
    <w:rsid w:val="009E008E"/>
    <w:rsid w:val="009E3801"/>
    <w:rsid w:val="009E51F0"/>
    <w:rsid w:val="009E60F6"/>
    <w:rsid w:val="00A0072F"/>
    <w:rsid w:val="00A03DBE"/>
    <w:rsid w:val="00A0447C"/>
    <w:rsid w:val="00A0564B"/>
    <w:rsid w:val="00A0672C"/>
    <w:rsid w:val="00A07134"/>
    <w:rsid w:val="00A13304"/>
    <w:rsid w:val="00A14707"/>
    <w:rsid w:val="00A149A7"/>
    <w:rsid w:val="00A15609"/>
    <w:rsid w:val="00A16ABD"/>
    <w:rsid w:val="00A23836"/>
    <w:rsid w:val="00A27765"/>
    <w:rsid w:val="00A304D6"/>
    <w:rsid w:val="00A30B96"/>
    <w:rsid w:val="00A31002"/>
    <w:rsid w:val="00A32F27"/>
    <w:rsid w:val="00A34B0A"/>
    <w:rsid w:val="00A3551A"/>
    <w:rsid w:val="00A46DFB"/>
    <w:rsid w:val="00A47F6D"/>
    <w:rsid w:val="00A5182C"/>
    <w:rsid w:val="00A533A3"/>
    <w:rsid w:val="00A56ACC"/>
    <w:rsid w:val="00A661EB"/>
    <w:rsid w:val="00A711F4"/>
    <w:rsid w:val="00A71980"/>
    <w:rsid w:val="00A71982"/>
    <w:rsid w:val="00A73EFB"/>
    <w:rsid w:val="00A81B4B"/>
    <w:rsid w:val="00A81E00"/>
    <w:rsid w:val="00A84008"/>
    <w:rsid w:val="00A864AD"/>
    <w:rsid w:val="00A87B65"/>
    <w:rsid w:val="00A95D86"/>
    <w:rsid w:val="00A962DE"/>
    <w:rsid w:val="00AA00B4"/>
    <w:rsid w:val="00AA1393"/>
    <w:rsid w:val="00AA23F9"/>
    <w:rsid w:val="00AA2C9D"/>
    <w:rsid w:val="00AA5656"/>
    <w:rsid w:val="00AA60D5"/>
    <w:rsid w:val="00AA73BD"/>
    <w:rsid w:val="00AB22FE"/>
    <w:rsid w:val="00AB39CF"/>
    <w:rsid w:val="00AB5809"/>
    <w:rsid w:val="00AB5903"/>
    <w:rsid w:val="00AB7E8C"/>
    <w:rsid w:val="00AC02F7"/>
    <w:rsid w:val="00AC113F"/>
    <w:rsid w:val="00AC3928"/>
    <w:rsid w:val="00AC40E1"/>
    <w:rsid w:val="00AC64CC"/>
    <w:rsid w:val="00AC6ADE"/>
    <w:rsid w:val="00AC6FFF"/>
    <w:rsid w:val="00AC7324"/>
    <w:rsid w:val="00AC7E4F"/>
    <w:rsid w:val="00AD2BD8"/>
    <w:rsid w:val="00AE2B91"/>
    <w:rsid w:val="00AE48F6"/>
    <w:rsid w:val="00AF0CBA"/>
    <w:rsid w:val="00AF3F17"/>
    <w:rsid w:val="00AF6626"/>
    <w:rsid w:val="00AF7850"/>
    <w:rsid w:val="00B03E44"/>
    <w:rsid w:val="00B1063F"/>
    <w:rsid w:val="00B10C3C"/>
    <w:rsid w:val="00B11DB0"/>
    <w:rsid w:val="00B12BD0"/>
    <w:rsid w:val="00B16F08"/>
    <w:rsid w:val="00B1735F"/>
    <w:rsid w:val="00B17FB8"/>
    <w:rsid w:val="00B20543"/>
    <w:rsid w:val="00B2733E"/>
    <w:rsid w:val="00B313C8"/>
    <w:rsid w:val="00B338F3"/>
    <w:rsid w:val="00B3620F"/>
    <w:rsid w:val="00B4060E"/>
    <w:rsid w:val="00B41DAB"/>
    <w:rsid w:val="00B440D0"/>
    <w:rsid w:val="00B44479"/>
    <w:rsid w:val="00B45BD8"/>
    <w:rsid w:val="00B45E2C"/>
    <w:rsid w:val="00B46751"/>
    <w:rsid w:val="00B52425"/>
    <w:rsid w:val="00B55411"/>
    <w:rsid w:val="00B619EF"/>
    <w:rsid w:val="00B632A8"/>
    <w:rsid w:val="00B64DB2"/>
    <w:rsid w:val="00B676F3"/>
    <w:rsid w:val="00B67F8D"/>
    <w:rsid w:val="00B80E3B"/>
    <w:rsid w:val="00B812A8"/>
    <w:rsid w:val="00B817B2"/>
    <w:rsid w:val="00B84B14"/>
    <w:rsid w:val="00B85998"/>
    <w:rsid w:val="00B871C6"/>
    <w:rsid w:val="00B87E55"/>
    <w:rsid w:val="00B91F9F"/>
    <w:rsid w:val="00B9324D"/>
    <w:rsid w:val="00B940CB"/>
    <w:rsid w:val="00B9550B"/>
    <w:rsid w:val="00B96B14"/>
    <w:rsid w:val="00B96FDE"/>
    <w:rsid w:val="00B9735E"/>
    <w:rsid w:val="00BA01E2"/>
    <w:rsid w:val="00BA615D"/>
    <w:rsid w:val="00BA6519"/>
    <w:rsid w:val="00BA7129"/>
    <w:rsid w:val="00BA76F3"/>
    <w:rsid w:val="00BB11BF"/>
    <w:rsid w:val="00BB13E0"/>
    <w:rsid w:val="00BB28FF"/>
    <w:rsid w:val="00BB2A5F"/>
    <w:rsid w:val="00BB75A0"/>
    <w:rsid w:val="00BC14DD"/>
    <w:rsid w:val="00BC4B72"/>
    <w:rsid w:val="00BC4E7B"/>
    <w:rsid w:val="00BC6D28"/>
    <w:rsid w:val="00BD4461"/>
    <w:rsid w:val="00BD55AE"/>
    <w:rsid w:val="00BE3732"/>
    <w:rsid w:val="00BE4A25"/>
    <w:rsid w:val="00BF0598"/>
    <w:rsid w:val="00BF07B3"/>
    <w:rsid w:val="00BF0AE8"/>
    <w:rsid w:val="00BF2D41"/>
    <w:rsid w:val="00BF3BC9"/>
    <w:rsid w:val="00BF77EA"/>
    <w:rsid w:val="00BF7DB6"/>
    <w:rsid w:val="00C019B6"/>
    <w:rsid w:val="00C02F07"/>
    <w:rsid w:val="00C074EF"/>
    <w:rsid w:val="00C14723"/>
    <w:rsid w:val="00C14EB6"/>
    <w:rsid w:val="00C178A0"/>
    <w:rsid w:val="00C20B9D"/>
    <w:rsid w:val="00C21D01"/>
    <w:rsid w:val="00C23C51"/>
    <w:rsid w:val="00C25658"/>
    <w:rsid w:val="00C32F34"/>
    <w:rsid w:val="00C34B37"/>
    <w:rsid w:val="00C35429"/>
    <w:rsid w:val="00C36B71"/>
    <w:rsid w:val="00C40B63"/>
    <w:rsid w:val="00C4253B"/>
    <w:rsid w:val="00C453DA"/>
    <w:rsid w:val="00C47088"/>
    <w:rsid w:val="00C470D6"/>
    <w:rsid w:val="00C5120F"/>
    <w:rsid w:val="00C52B11"/>
    <w:rsid w:val="00C53129"/>
    <w:rsid w:val="00C539AA"/>
    <w:rsid w:val="00C54AE7"/>
    <w:rsid w:val="00C5694C"/>
    <w:rsid w:val="00C57200"/>
    <w:rsid w:val="00C6311D"/>
    <w:rsid w:val="00C64E7D"/>
    <w:rsid w:val="00C662B6"/>
    <w:rsid w:val="00C665E3"/>
    <w:rsid w:val="00C66653"/>
    <w:rsid w:val="00C702F0"/>
    <w:rsid w:val="00C756E2"/>
    <w:rsid w:val="00C760BF"/>
    <w:rsid w:val="00C81282"/>
    <w:rsid w:val="00C8187F"/>
    <w:rsid w:val="00C83E61"/>
    <w:rsid w:val="00C85BED"/>
    <w:rsid w:val="00C86816"/>
    <w:rsid w:val="00C907B6"/>
    <w:rsid w:val="00C95E99"/>
    <w:rsid w:val="00CA06EA"/>
    <w:rsid w:val="00CA17D2"/>
    <w:rsid w:val="00CA37EF"/>
    <w:rsid w:val="00CA38BF"/>
    <w:rsid w:val="00CA7B67"/>
    <w:rsid w:val="00CB0BE7"/>
    <w:rsid w:val="00CB37F9"/>
    <w:rsid w:val="00CB4216"/>
    <w:rsid w:val="00CB6DA9"/>
    <w:rsid w:val="00CB7459"/>
    <w:rsid w:val="00CB79ED"/>
    <w:rsid w:val="00CC2F76"/>
    <w:rsid w:val="00CC51FD"/>
    <w:rsid w:val="00CC7D48"/>
    <w:rsid w:val="00CD5D82"/>
    <w:rsid w:val="00CD61BE"/>
    <w:rsid w:val="00CD6692"/>
    <w:rsid w:val="00CD6B95"/>
    <w:rsid w:val="00CD6BF7"/>
    <w:rsid w:val="00CE606A"/>
    <w:rsid w:val="00CE6235"/>
    <w:rsid w:val="00CF351A"/>
    <w:rsid w:val="00CF4128"/>
    <w:rsid w:val="00CF538B"/>
    <w:rsid w:val="00CF6559"/>
    <w:rsid w:val="00CF6B67"/>
    <w:rsid w:val="00CF7087"/>
    <w:rsid w:val="00CF77D2"/>
    <w:rsid w:val="00D0096E"/>
    <w:rsid w:val="00D051C3"/>
    <w:rsid w:val="00D060D3"/>
    <w:rsid w:val="00D06500"/>
    <w:rsid w:val="00D108C9"/>
    <w:rsid w:val="00D10D48"/>
    <w:rsid w:val="00D11135"/>
    <w:rsid w:val="00D11C5B"/>
    <w:rsid w:val="00D121A6"/>
    <w:rsid w:val="00D14FA3"/>
    <w:rsid w:val="00D1593E"/>
    <w:rsid w:val="00D15E40"/>
    <w:rsid w:val="00D22E55"/>
    <w:rsid w:val="00D23AA7"/>
    <w:rsid w:val="00D24CC7"/>
    <w:rsid w:val="00D25B3C"/>
    <w:rsid w:val="00D25E2B"/>
    <w:rsid w:val="00D27770"/>
    <w:rsid w:val="00D307CA"/>
    <w:rsid w:val="00D31E96"/>
    <w:rsid w:val="00D328F0"/>
    <w:rsid w:val="00D375EF"/>
    <w:rsid w:val="00D4330E"/>
    <w:rsid w:val="00D43403"/>
    <w:rsid w:val="00D52C5C"/>
    <w:rsid w:val="00D52F3E"/>
    <w:rsid w:val="00D54581"/>
    <w:rsid w:val="00D54FC3"/>
    <w:rsid w:val="00D55506"/>
    <w:rsid w:val="00D67154"/>
    <w:rsid w:val="00D67189"/>
    <w:rsid w:val="00D745F0"/>
    <w:rsid w:val="00D76097"/>
    <w:rsid w:val="00D800E2"/>
    <w:rsid w:val="00D8105E"/>
    <w:rsid w:val="00D81B15"/>
    <w:rsid w:val="00D81F56"/>
    <w:rsid w:val="00D82431"/>
    <w:rsid w:val="00D82F75"/>
    <w:rsid w:val="00D861C6"/>
    <w:rsid w:val="00D8660C"/>
    <w:rsid w:val="00D8743A"/>
    <w:rsid w:val="00D97771"/>
    <w:rsid w:val="00DA39F6"/>
    <w:rsid w:val="00DA4AD5"/>
    <w:rsid w:val="00DA6F0D"/>
    <w:rsid w:val="00DB42B4"/>
    <w:rsid w:val="00DB6338"/>
    <w:rsid w:val="00DB6DF7"/>
    <w:rsid w:val="00DD3A41"/>
    <w:rsid w:val="00DD52C5"/>
    <w:rsid w:val="00DD6180"/>
    <w:rsid w:val="00DD6C88"/>
    <w:rsid w:val="00DD7A6C"/>
    <w:rsid w:val="00DE68A9"/>
    <w:rsid w:val="00DE70D5"/>
    <w:rsid w:val="00DE727F"/>
    <w:rsid w:val="00DF2069"/>
    <w:rsid w:val="00DF453B"/>
    <w:rsid w:val="00DF580E"/>
    <w:rsid w:val="00E01292"/>
    <w:rsid w:val="00E01C40"/>
    <w:rsid w:val="00E02673"/>
    <w:rsid w:val="00E03DB2"/>
    <w:rsid w:val="00E05BAE"/>
    <w:rsid w:val="00E06FF8"/>
    <w:rsid w:val="00E109B8"/>
    <w:rsid w:val="00E13D26"/>
    <w:rsid w:val="00E14AF1"/>
    <w:rsid w:val="00E17B63"/>
    <w:rsid w:val="00E17DFD"/>
    <w:rsid w:val="00E2773A"/>
    <w:rsid w:val="00E27B8A"/>
    <w:rsid w:val="00E31C03"/>
    <w:rsid w:val="00E33C87"/>
    <w:rsid w:val="00E366F6"/>
    <w:rsid w:val="00E374C6"/>
    <w:rsid w:val="00E41559"/>
    <w:rsid w:val="00E44078"/>
    <w:rsid w:val="00E44A65"/>
    <w:rsid w:val="00E467A8"/>
    <w:rsid w:val="00E50A8D"/>
    <w:rsid w:val="00E516C7"/>
    <w:rsid w:val="00E52C22"/>
    <w:rsid w:val="00E57C93"/>
    <w:rsid w:val="00E614C4"/>
    <w:rsid w:val="00E65F6E"/>
    <w:rsid w:val="00E679B1"/>
    <w:rsid w:val="00E67C9D"/>
    <w:rsid w:val="00E74EF1"/>
    <w:rsid w:val="00E75CDD"/>
    <w:rsid w:val="00E76739"/>
    <w:rsid w:val="00E85CC2"/>
    <w:rsid w:val="00E909D8"/>
    <w:rsid w:val="00E9187C"/>
    <w:rsid w:val="00E9551F"/>
    <w:rsid w:val="00EA0D43"/>
    <w:rsid w:val="00EA2735"/>
    <w:rsid w:val="00EA52AA"/>
    <w:rsid w:val="00EA5965"/>
    <w:rsid w:val="00EA6FEA"/>
    <w:rsid w:val="00EA705E"/>
    <w:rsid w:val="00EB03E0"/>
    <w:rsid w:val="00EB0F0C"/>
    <w:rsid w:val="00EB6EC9"/>
    <w:rsid w:val="00EB7AA1"/>
    <w:rsid w:val="00EC1054"/>
    <w:rsid w:val="00EC1968"/>
    <w:rsid w:val="00EC46DB"/>
    <w:rsid w:val="00EC6356"/>
    <w:rsid w:val="00ED1E22"/>
    <w:rsid w:val="00ED2E6F"/>
    <w:rsid w:val="00ED5A34"/>
    <w:rsid w:val="00ED5E5B"/>
    <w:rsid w:val="00EE036B"/>
    <w:rsid w:val="00EE192F"/>
    <w:rsid w:val="00EE1A67"/>
    <w:rsid w:val="00EE2B19"/>
    <w:rsid w:val="00EE2E14"/>
    <w:rsid w:val="00EE40C2"/>
    <w:rsid w:val="00EF101A"/>
    <w:rsid w:val="00EF12BB"/>
    <w:rsid w:val="00EF2413"/>
    <w:rsid w:val="00EF3BE9"/>
    <w:rsid w:val="00EF6200"/>
    <w:rsid w:val="00EF6E0F"/>
    <w:rsid w:val="00EF6F32"/>
    <w:rsid w:val="00F01282"/>
    <w:rsid w:val="00F03523"/>
    <w:rsid w:val="00F0712F"/>
    <w:rsid w:val="00F07DED"/>
    <w:rsid w:val="00F11A90"/>
    <w:rsid w:val="00F122D8"/>
    <w:rsid w:val="00F13B83"/>
    <w:rsid w:val="00F16B99"/>
    <w:rsid w:val="00F225F7"/>
    <w:rsid w:val="00F24502"/>
    <w:rsid w:val="00F26992"/>
    <w:rsid w:val="00F30765"/>
    <w:rsid w:val="00F32F4E"/>
    <w:rsid w:val="00F349C2"/>
    <w:rsid w:val="00F362A2"/>
    <w:rsid w:val="00F36EFE"/>
    <w:rsid w:val="00F42F6B"/>
    <w:rsid w:val="00F453E8"/>
    <w:rsid w:val="00F45F61"/>
    <w:rsid w:val="00F517FE"/>
    <w:rsid w:val="00F53C1B"/>
    <w:rsid w:val="00F54D96"/>
    <w:rsid w:val="00F56BE3"/>
    <w:rsid w:val="00F57661"/>
    <w:rsid w:val="00F71425"/>
    <w:rsid w:val="00F76D70"/>
    <w:rsid w:val="00F84CB6"/>
    <w:rsid w:val="00F86ABC"/>
    <w:rsid w:val="00F87041"/>
    <w:rsid w:val="00F9577C"/>
    <w:rsid w:val="00F9740D"/>
    <w:rsid w:val="00FB0A58"/>
    <w:rsid w:val="00FB1253"/>
    <w:rsid w:val="00FB16E1"/>
    <w:rsid w:val="00FB309C"/>
    <w:rsid w:val="00FB4C3F"/>
    <w:rsid w:val="00FB4D64"/>
    <w:rsid w:val="00FB63E3"/>
    <w:rsid w:val="00FB65D6"/>
    <w:rsid w:val="00FD0013"/>
    <w:rsid w:val="00FD55BF"/>
    <w:rsid w:val="00FD6C75"/>
    <w:rsid w:val="00FE23A1"/>
    <w:rsid w:val="00FF181B"/>
    <w:rsid w:val="00FF3109"/>
    <w:rsid w:val="00FF75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63753A7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65EF"/>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07B6"/>
    <w:pPr>
      <w:tabs>
        <w:tab w:val="center" w:pos="4153"/>
        <w:tab w:val="right" w:pos="8306"/>
      </w:tabs>
    </w:pPr>
  </w:style>
  <w:style w:type="character" w:customStyle="1" w:styleId="HeaderChar">
    <w:name w:val="Header Char"/>
    <w:link w:val="Header"/>
    <w:uiPriority w:val="99"/>
    <w:semiHidden/>
    <w:locked/>
    <w:rsid w:val="00BD4461"/>
    <w:rPr>
      <w:rFonts w:cs="Times New Roman"/>
    </w:rPr>
  </w:style>
  <w:style w:type="paragraph" w:styleId="Footer">
    <w:name w:val="footer"/>
    <w:basedOn w:val="Normal"/>
    <w:link w:val="FooterChar"/>
    <w:uiPriority w:val="99"/>
    <w:rsid w:val="00C907B6"/>
    <w:pPr>
      <w:tabs>
        <w:tab w:val="center" w:pos="4153"/>
        <w:tab w:val="right" w:pos="8306"/>
      </w:tabs>
    </w:pPr>
  </w:style>
  <w:style w:type="character" w:customStyle="1" w:styleId="FooterChar">
    <w:name w:val="Footer Char"/>
    <w:link w:val="Footer"/>
    <w:uiPriority w:val="99"/>
    <w:locked/>
    <w:rsid w:val="00BD4461"/>
    <w:rPr>
      <w:rFonts w:cs="Times New Roman"/>
    </w:rPr>
  </w:style>
  <w:style w:type="character" w:styleId="PageNumber">
    <w:name w:val="page number"/>
    <w:uiPriority w:val="99"/>
    <w:rsid w:val="00C907B6"/>
    <w:rPr>
      <w:rFonts w:cs="Times New Roman"/>
    </w:rPr>
  </w:style>
  <w:style w:type="paragraph" w:styleId="BalloonText">
    <w:name w:val="Balloon Text"/>
    <w:basedOn w:val="Normal"/>
    <w:link w:val="BalloonTextChar"/>
    <w:uiPriority w:val="99"/>
    <w:semiHidden/>
    <w:rsid w:val="00523DC1"/>
    <w:rPr>
      <w:rFonts w:ascii="Tahoma" w:hAnsi="Tahoma"/>
      <w:sz w:val="16"/>
      <w:szCs w:val="16"/>
    </w:rPr>
  </w:style>
  <w:style w:type="character" w:customStyle="1" w:styleId="BalloonTextChar">
    <w:name w:val="Balloon Text Char"/>
    <w:link w:val="BalloonText"/>
    <w:uiPriority w:val="99"/>
    <w:semiHidden/>
    <w:locked/>
    <w:rsid w:val="00BD4461"/>
    <w:rPr>
      <w:rFonts w:cs="Times New Roman"/>
      <w:sz w:val="2"/>
    </w:rPr>
  </w:style>
  <w:style w:type="table" w:styleId="TableGrid">
    <w:name w:val="Table Grid"/>
    <w:basedOn w:val="TableNormal"/>
    <w:uiPriority w:val="99"/>
    <w:locked/>
    <w:rsid w:val="004732BE"/>
    <w:rPr>
      <w:lang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99"/>
    <w:qFormat/>
    <w:locked/>
    <w:rsid w:val="00B96FDE"/>
    <w:rPr>
      <w:rFonts w:cs="Times New Roman"/>
      <w:i/>
      <w:iCs/>
    </w:rPr>
  </w:style>
  <w:style w:type="character" w:customStyle="1" w:styleId="st">
    <w:name w:val="st"/>
    <w:basedOn w:val="DefaultParagraphFont"/>
    <w:rsid w:val="00EE1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899362">
      <w:bodyDiv w:val="1"/>
      <w:marLeft w:val="0"/>
      <w:marRight w:val="0"/>
      <w:marTop w:val="0"/>
      <w:marBottom w:val="0"/>
      <w:divBdr>
        <w:top w:val="none" w:sz="0" w:space="0" w:color="auto"/>
        <w:left w:val="none" w:sz="0" w:space="0" w:color="auto"/>
        <w:bottom w:val="none" w:sz="0" w:space="0" w:color="auto"/>
        <w:right w:val="none" w:sz="0" w:space="0" w:color="auto"/>
      </w:divBdr>
    </w:div>
    <w:div w:id="195378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949</Words>
  <Characters>4972</Characters>
  <Application>Microsoft Office Word</Application>
  <DocSecurity>0</DocSecurity>
  <Lines>41</Lines>
  <Paragraphs>11</Paragraphs>
  <ScaleCrop>false</ScaleCrop>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2018-09-18T10:56:00Z</dcterms:created>
  <dcterms:modified xsi:type="dcterms:W3CDTF">2018-09-18T10:56:00Z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