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3A8" w:rsidRDefault="00AA03A8" w:rsidP="00515F1B">
      <w:pPr>
        <w:jc w:val="center"/>
        <w:rPr>
          <w:rFonts w:ascii="Book Antiqua" w:hAnsi="Book Antiqua" w:cs="Arial"/>
          <w:color w:val="000000"/>
          <w:sz w:val="16"/>
          <w:szCs w:val="16"/>
        </w:rPr>
      </w:pPr>
      <w:r w:rsidRPr="00515F1B">
        <w:rPr>
          <w:rFonts w:ascii="Book Antiqua" w:hAnsi="Book Antiqua"/>
          <w:noProof/>
          <w:sz w:val="16"/>
          <w:szCs w:val="16"/>
        </w:rPr>
        <w:drawing>
          <wp:inline distT="0" distB="0" distL="0" distR="0" wp14:anchorId="7414ABD1" wp14:editId="58107686">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515F1B" w:rsidRPr="00515F1B" w:rsidRDefault="00515F1B" w:rsidP="00515F1B">
      <w:pPr>
        <w:jc w:val="center"/>
        <w:rPr>
          <w:rFonts w:ascii="Book Antiqua" w:hAnsi="Book Antiqua" w:cs="Arial"/>
          <w:color w:val="000000"/>
          <w:sz w:val="16"/>
          <w:szCs w:val="16"/>
        </w:rPr>
      </w:pPr>
    </w:p>
    <w:p w:rsidR="00AA03A8" w:rsidRPr="00935D75" w:rsidRDefault="00AA03A8" w:rsidP="00AA03A8">
      <w:pPr>
        <w:tabs>
          <w:tab w:val="right" w:pos="9720"/>
        </w:tabs>
        <w:ind w:right="-82"/>
        <w:rPr>
          <w:rFonts w:ascii="Book Antiqua" w:hAnsi="Book Antiqua" w:cs="Arial"/>
          <w:b/>
          <w:color w:val="000000"/>
        </w:rPr>
      </w:pPr>
      <w:r w:rsidRPr="00935D75">
        <w:rPr>
          <w:rFonts w:ascii="Book Antiqua" w:hAnsi="Book Antiqua" w:cs="Arial"/>
          <w:b/>
          <w:color w:val="000000"/>
        </w:rPr>
        <w:t xml:space="preserve">Upper Tribunal </w:t>
      </w:r>
    </w:p>
    <w:p w:rsidR="00AA03A8" w:rsidRPr="00935D75" w:rsidRDefault="00AA03A8" w:rsidP="00AA03A8">
      <w:pPr>
        <w:tabs>
          <w:tab w:val="right" w:pos="9720"/>
        </w:tabs>
        <w:ind w:right="-82"/>
        <w:rPr>
          <w:rFonts w:ascii="Book Antiqua" w:hAnsi="Book Antiqua" w:cs="Arial"/>
          <w:color w:val="000000"/>
        </w:rPr>
      </w:pPr>
      <w:r w:rsidRPr="00935D75">
        <w:rPr>
          <w:rFonts w:ascii="Book Antiqua" w:hAnsi="Book Antiqua" w:cs="Arial"/>
          <w:b/>
          <w:color w:val="000000"/>
        </w:rPr>
        <w:t>(Immigration and Asylum Chamber)</w:t>
      </w:r>
      <w:r w:rsidRPr="00935D75">
        <w:rPr>
          <w:rFonts w:ascii="Book Antiqua" w:hAnsi="Book Antiqua" w:cs="Arial"/>
          <w:b/>
          <w:color w:val="000000"/>
        </w:rPr>
        <w:tab/>
      </w:r>
      <w:r w:rsidRPr="00935D75">
        <w:rPr>
          <w:rFonts w:ascii="Book Antiqua" w:hAnsi="Book Antiqua" w:cs="Arial"/>
          <w:color w:val="000000"/>
        </w:rPr>
        <w:t xml:space="preserve">Appeal Number: </w:t>
      </w:r>
      <w:bookmarkStart w:id="0" w:name="_GoBack"/>
      <w:r w:rsidRPr="00935D75">
        <w:rPr>
          <w:rFonts w:ascii="Book Antiqua" w:hAnsi="Book Antiqua" w:cs="Arial"/>
          <w:color w:val="000000"/>
        </w:rPr>
        <w:t>PA/05649/2016</w:t>
      </w:r>
      <w:bookmarkEnd w:id="0"/>
    </w:p>
    <w:p w:rsidR="00AA03A8" w:rsidRPr="00935D75" w:rsidRDefault="00AA03A8" w:rsidP="00AA03A8">
      <w:pPr>
        <w:tabs>
          <w:tab w:val="right" w:pos="9720"/>
        </w:tabs>
        <w:ind w:right="-82"/>
        <w:rPr>
          <w:rFonts w:ascii="Book Antiqua" w:hAnsi="Book Antiqua" w:cs="Arial"/>
          <w:color w:val="000000"/>
        </w:rPr>
      </w:pPr>
    </w:p>
    <w:p w:rsidR="00AA03A8" w:rsidRPr="00935D75" w:rsidRDefault="00AA03A8" w:rsidP="00AA03A8">
      <w:pPr>
        <w:jc w:val="center"/>
        <w:rPr>
          <w:rFonts w:ascii="Book Antiqua" w:hAnsi="Book Antiqua" w:cs="Arial"/>
          <w:color w:val="000000"/>
        </w:rPr>
      </w:pPr>
    </w:p>
    <w:p w:rsidR="00AA03A8" w:rsidRPr="00935D75" w:rsidRDefault="00AA03A8" w:rsidP="00AA03A8">
      <w:pPr>
        <w:jc w:val="center"/>
        <w:rPr>
          <w:rFonts w:ascii="Book Antiqua" w:hAnsi="Book Antiqua" w:cs="Arial"/>
          <w:b/>
          <w:color w:val="000000"/>
          <w:u w:val="single"/>
        </w:rPr>
      </w:pPr>
      <w:r w:rsidRPr="00935D75">
        <w:rPr>
          <w:rFonts w:ascii="Book Antiqua" w:hAnsi="Book Antiqua" w:cs="Arial"/>
          <w:b/>
          <w:color w:val="000000"/>
          <w:u w:val="single"/>
        </w:rPr>
        <w:t>THE IMMIGRATION ACTS</w:t>
      </w:r>
    </w:p>
    <w:p w:rsidR="00AA03A8" w:rsidRDefault="00AA03A8" w:rsidP="00AA03A8">
      <w:pPr>
        <w:jc w:val="center"/>
        <w:rPr>
          <w:rFonts w:ascii="Book Antiqua" w:hAnsi="Book Antiqua" w:cs="Arial"/>
          <w:b/>
          <w:u w:val="single"/>
        </w:rPr>
      </w:pPr>
    </w:p>
    <w:p w:rsidR="00515F1B" w:rsidRPr="00935D75" w:rsidRDefault="00515F1B" w:rsidP="00AA03A8">
      <w:pPr>
        <w:jc w:val="center"/>
        <w:rPr>
          <w:rFonts w:ascii="Book Antiqua" w:hAnsi="Book Antiqua" w:cs="Arial"/>
          <w:b/>
          <w:u w:val="single"/>
        </w:rPr>
      </w:pPr>
    </w:p>
    <w:tbl>
      <w:tblPr>
        <w:tblW w:w="0" w:type="auto"/>
        <w:tblLook w:val="01E0" w:firstRow="1" w:lastRow="1" w:firstColumn="1" w:lastColumn="1" w:noHBand="0" w:noVBand="0"/>
      </w:tblPr>
      <w:tblGrid>
        <w:gridCol w:w="5098"/>
        <w:gridCol w:w="768"/>
        <w:gridCol w:w="3762"/>
      </w:tblGrid>
      <w:tr w:rsidR="00AA03A8" w:rsidRPr="00935D75" w:rsidTr="00372446">
        <w:trPr>
          <w:trHeight w:val="355"/>
        </w:trPr>
        <w:tc>
          <w:tcPr>
            <w:tcW w:w="5098" w:type="dxa"/>
            <w:shd w:val="clear" w:color="auto" w:fill="auto"/>
          </w:tcPr>
          <w:p w:rsidR="00AA03A8" w:rsidRPr="00935D75" w:rsidRDefault="00AA03A8" w:rsidP="008D5703">
            <w:pPr>
              <w:jc w:val="both"/>
              <w:rPr>
                <w:rFonts w:ascii="Book Antiqua" w:hAnsi="Book Antiqua" w:cs="Arial"/>
                <w:b/>
              </w:rPr>
            </w:pPr>
            <w:r w:rsidRPr="00935D75">
              <w:rPr>
                <w:rFonts w:ascii="Book Antiqua" w:hAnsi="Book Antiqua" w:cs="Arial"/>
                <w:b/>
              </w:rPr>
              <w:t>Heard at Field House</w:t>
            </w:r>
          </w:p>
        </w:tc>
        <w:tc>
          <w:tcPr>
            <w:tcW w:w="4530" w:type="dxa"/>
            <w:gridSpan w:val="2"/>
            <w:shd w:val="clear" w:color="auto" w:fill="auto"/>
          </w:tcPr>
          <w:p w:rsidR="00AA03A8" w:rsidRPr="00935D75" w:rsidRDefault="00AA03A8" w:rsidP="008D5703">
            <w:pPr>
              <w:jc w:val="both"/>
              <w:rPr>
                <w:rFonts w:ascii="Book Antiqua" w:hAnsi="Book Antiqua" w:cs="Arial"/>
                <w:b/>
                <w:color w:val="000000"/>
              </w:rPr>
            </w:pPr>
            <w:r w:rsidRPr="00935D75">
              <w:rPr>
                <w:rFonts w:ascii="Book Antiqua" w:hAnsi="Book Antiqua" w:cs="Arial"/>
                <w:b/>
                <w:color w:val="000000"/>
              </w:rPr>
              <w:t>Decision</w:t>
            </w:r>
            <w:r w:rsidR="00372446">
              <w:rPr>
                <w:rFonts w:ascii="Book Antiqua" w:hAnsi="Book Antiqua" w:cs="Arial"/>
                <w:b/>
                <w:color w:val="000000"/>
              </w:rPr>
              <w:t xml:space="preserve"> and Reasons </w:t>
            </w:r>
            <w:r w:rsidR="00372446" w:rsidRPr="00935D75">
              <w:rPr>
                <w:rFonts w:ascii="Book Antiqua" w:hAnsi="Book Antiqua" w:cs="Arial"/>
                <w:b/>
                <w:color w:val="000000"/>
              </w:rPr>
              <w:t>Promulgated</w:t>
            </w:r>
          </w:p>
        </w:tc>
      </w:tr>
      <w:tr w:rsidR="00AA03A8" w:rsidRPr="00935D75" w:rsidTr="00372446">
        <w:tc>
          <w:tcPr>
            <w:tcW w:w="5098" w:type="dxa"/>
            <w:shd w:val="clear" w:color="auto" w:fill="auto"/>
          </w:tcPr>
          <w:p w:rsidR="00AA03A8" w:rsidRPr="00935D75" w:rsidRDefault="00AA03A8" w:rsidP="008D5703">
            <w:pPr>
              <w:jc w:val="both"/>
              <w:rPr>
                <w:rFonts w:ascii="Book Antiqua" w:hAnsi="Book Antiqua" w:cs="Arial"/>
                <w:b/>
              </w:rPr>
            </w:pPr>
            <w:r w:rsidRPr="00935D75">
              <w:rPr>
                <w:rFonts w:ascii="Book Antiqua" w:hAnsi="Book Antiqua" w:cs="Arial"/>
                <w:b/>
              </w:rPr>
              <w:t>On 13 July 2018</w:t>
            </w:r>
          </w:p>
        </w:tc>
        <w:tc>
          <w:tcPr>
            <w:tcW w:w="4530" w:type="dxa"/>
            <w:gridSpan w:val="2"/>
            <w:shd w:val="clear" w:color="auto" w:fill="auto"/>
          </w:tcPr>
          <w:p w:rsidR="00AA03A8" w:rsidRPr="00935D75" w:rsidRDefault="00372446" w:rsidP="008D5703">
            <w:pPr>
              <w:jc w:val="both"/>
              <w:rPr>
                <w:rFonts w:ascii="Book Antiqua" w:hAnsi="Book Antiqua" w:cs="Arial"/>
                <w:b/>
              </w:rPr>
            </w:pPr>
            <w:r>
              <w:rPr>
                <w:rFonts w:ascii="Book Antiqua" w:hAnsi="Book Antiqua" w:cs="Arial"/>
                <w:b/>
              </w:rPr>
              <w:t>On 0</w:t>
            </w:r>
            <w:r w:rsidR="0005145F">
              <w:rPr>
                <w:rFonts w:ascii="Book Antiqua" w:hAnsi="Book Antiqua" w:cs="Arial"/>
                <w:b/>
              </w:rPr>
              <w:t>6</w:t>
            </w:r>
            <w:r>
              <w:rPr>
                <w:rFonts w:ascii="Book Antiqua" w:hAnsi="Book Antiqua" w:cs="Arial"/>
                <w:b/>
              </w:rPr>
              <w:t xml:space="preserve"> August 2018 </w:t>
            </w:r>
          </w:p>
        </w:tc>
      </w:tr>
      <w:tr w:rsidR="00372446" w:rsidRPr="00935D75" w:rsidTr="00372446">
        <w:trPr>
          <w:gridAfter w:val="1"/>
          <w:wAfter w:w="3762" w:type="dxa"/>
        </w:trPr>
        <w:tc>
          <w:tcPr>
            <w:tcW w:w="5866" w:type="dxa"/>
            <w:gridSpan w:val="2"/>
            <w:shd w:val="clear" w:color="auto" w:fill="auto"/>
          </w:tcPr>
          <w:p w:rsidR="00372446" w:rsidRPr="00935D75" w:rsidRDefault="00372446" w:rsidP="008D5703">
            <w:pPr>
              <w:jc w:val="both"/>
              <w:rPr>
                <w:rFonts w:ascii="Book Antiqua" w:hAnsi="Book Antiqua" w:cs="Arial"/>
                <w:b/>
              </w:rPr>
            </w:pPr>
          </w:p>
        </w:tc>
      </w:tr>
    </w:tbl>
    <w:p w:rsidR="00AA03A8" w:rsidRPr="00935D75" w:rsidRDefault="00AA03A8" w:rsidP="00AA03A8">
      <w:pPr>
        <w:jc w:val="center"/>
        <w:rPr>
          <w:rFonts w:ascii="Book Antiqua" w:hAnsi="Book Antiqua" w:cs="Arial"/>
        </w:rPr>
      </w:pPr>
    </w:p>
    <w:p w:rsidR="00AA03A8" w:rsidRPr="00935D75" w:rsidRDefault="00AA03A8" w:rsidP="00AA03A8">
      <w:pPr>
        <w:jc w:val="center"/>
        <w:rPr>
          <w:rFonts w:ascii="Book Antiqua" w:hAnsi="Book Antiqua" w:cs="Arial"/>
          <w:b/>
        </w:rPr>
      </w:pPr>
      <w:r w:rsidRPr="00935D75">
        <w:rPr>
          <w:rFonts w:ascii="Book Antiqua" w:hAnsi="Book Antiqua" w:cs="Arial"/>
          <w:b/>
        </w:rPr>
        <w:t>Before</w:t>
      </w:r>
    </w:p>
    <w:p w:rsidR="00AA03A8" w:rsidRPr="00935D75" w:rsidRDefault="00AA03A8" w:rsidP="00AA03A8">
      <w:pPr>
        <w:jc w:val="center"/>
        <w:rPr>
          <w:rFonts w:ascii="Book Antiqua" w:hAnsi="Book Antiqua" w:cs="Arial"/>
          <w:b/>
        </w:rPr>
      </w:pPr>
    </w:p>
    <w:p w:rsidR="00AA03A8" w:rsidRPr="00935D75" w:rsidRDefault="00AA03A8" w:rsidP="00AA03A8">
      <w:pPr>
        <w:jc w:val="center"/>
        <w:rPr>
          <w:rFonts w:ascii="Book Antiqua" w:hAnsi="Book Antiqua" w:cs="Arial"/>
          <w:b/>
          <w:color w:val="000000"/>
        </w:rPr>
      </w:pPr>
      <w:r w:rsidRPr="00935D75">
        <w:rPr>
          <w:rFonts w:ascii="Book Antiqua" w:hAnsi="Book Antiqua" w:cs="Arial"/>
          <w:b/>
          <w:color w:val="000000"/>
        </w:rPr>
        <w:t>DEPUTY UPPER TRIBUNAL JUDGE SYMES</w:t>
      </w:r>
    </w:p>
    <w:p w:rsidR="00AA03A8" w:rsidRPr="00935D75" w:rsidRDefault="00AA03A8" w:rsidP="00AA03A8">
      <w:pPr>
        <w:jc w:val="center"/>
        <w:rPr>
          <w:rFonts w:ascii="Book Antiqua" w:hAnsi="Book Antiqua" w:cs="Arial"/>
          <w:b/>
        </w:rPr>
      </w:pPr>
    </w:p>
    <w:p w:rsidR="00515F1B" w:rsidRDefault="00515F1B" w:rsidP="00AA03A8">
      <w:pPr>
        <w:jc w:val="center"/>
        <w:rPr>
          <w:rFonts w:ascii="Book Antiqua" w:hAnsi="Book Antiqua" w:cs="Arial"/>
          <w:b/>
        </w:rPr>
      </w:pPr>
    </w:p>
    <w:p w:rsidR="00AA03A8" w:rsidRPr="00935D75" w:rsidRDefault="00AA03A8" w:rsidP="00AA03A8">
      <w:pPr>
        <w:jc w:val="center"/>
        <w:rPr>
          <w:rFonts w:ascii="Book Antiqua" w:hAnsi="Book Antiqua" w:cs="Arial"/>
          <w:b/>
        </w:rPr>
      </w:pPr>
      <w:r w:rsidRPr="00935D75">
        <w:rPr>
          <w:rFonts w:ascii="Book Antiqua" w:hAnsi="Book Antiqua" w:cs="Arial"/>
          <w:b/>
        </w:rPr>
        <w:t>Between</w:t>
      </w:r>
    </w:p>
    <w:p w:rsidR="00AA03A8" w:rsidRPr="00935D75" w:rsidRDefault="00AA03A8" w:rsidP="00AA03A8">
      <w:pPr>
        <w:jc w:val="center"/>
        <w:rPr>
          <w:rFonts w:ascii="Book Antiqua" w:hAnsi="Book Antiqua" w:cs="Arial"/>
          <w:b/>
        </w:rPr>
      </w:pPr>
    </w:p>
    <w:p w:rsidR="00AA03A8" w:rsidRPr="00935D75" w:rsidRDefault="00515F1B" w:rsidP="00AA03A8">
      <w:pPr>
        <w:jc w:val="center"/>
        <w:rPr>
          <w:rFonts w:ascii="Book Antiqua" w:hAnsi="Book Antiqua" w:cs="Arial"/>
          <w:b/>
        </w:rPr>
      </w:pPr>
      <w:r>
        <w:rPr>
          <w:rFonts w:ascii="Book Antiqua" w:hAnsi="Book Antiqua"/>
          <w:b/>
        </w:rPr>
        <w:t>[</w:t>
      </w:r>
      <w:r w:rsidR="00AA03A8" w:rsidRPr="00935D75">
        <w:rPr>
          <w:rFonts w:ascii="Book Antiqua" w:hAnsi="Book Antiqua"/>
          <w:b/>
        </w:rPr>
        <w:t>N</w:t>
      </w:r>
      <w:r>
        <w:rPr>
          <w:rFonts w:ascii="Book Antiqua" w:hAnsi="Book Antiqua"/>
          <w:b/>
        </w:rPr>
        <w:t xml:space="preserve"> </w:t>
      </w:r>
      <w:r w:rsidR="00AA03A8" w:rsidRPr="00935D75">
        <w:rPr>
          <w:rFonts w:ascii="Book Antiqua" w:hAnsi="Book Antiqua"/>
          <w:b/>
        </w:rPr>
        <w:t>S</w:t>
      </w:r>
      <w:r>
        <w:rPr>
          <w:rFonts w:ascii="Book Antiqua" w:hAnsi="Book Antiqua"/>
          <w:b/>
        </w:rPr>
        <w:t>]</w:t>
      </w:r>
    </w:p>
    <w:p w:rsidR="00AA03A8" w:rsidRPr="00515F1B" w:rsidRDefault="00AA03A8" w:rsidP="00AA03A8">
      <w:pPr>
        <w:jc w:val="center"/>
        <w:rPr>
          <w:rFonts w:ascii="Book Antiqua" w:hAnsi="Book Antiqua" w:cs="Arial"/>
          <w:b/>
          <w:sz w:val="22"/>
        </w:rPr>
      </w:pPr>
      <w:r w:rsidRPr="00515F1B">
        <w:rPr>
          <w:rFonts w:ascii="Book Antiqua" w:hAnsi="Book Antiqua" w:cs="Arial"/>
          <w:b/>
          <w:sz w:val="22"/>
        </w:rPr>
        <w:t>(ANONYMITY ORDER NOT MADE)</w:t>
      </w:r>
    </w:p>
    <w:p w:rsidR="00AA03A8" w:rsidRPr="00935D75" w:rsidRDefault="00AA03A8" w:rsidP="00AA03A8">
      <w:pPr>
        <w:jc w:val="right"/>
        <w:rPr>
          <w:rFonts w:ascii="Book Antiqua" w:hAnsi="Book Antiqua" w:cs="Arial"/>
          <w:u w:val="single"/>
        </w:rPr>
      </w:pPr>
      <w:r w:rsidRPr="00935D75">
        <w:rPr>
          <w:rFonts w:ascii="Book Antiqua" w:hAnsi="Book Antiqua" w:cs="Arial"/>
          <w:u w:val="single"/>
        </w:rPr>
        <w:t>Appellant</w:t>
      </w:r>
    </w:p>
    <w:p w:rsidR="00AA03A8" w:rsidRPr="00935D75" w:rsidRDefault="00AA03A8" w:rsidP="00AA03A8">
      <w:pPr>
        <w:jc w:val="center"/>
        <w:rPr>
          <w:rFonts w:ascii="Book Antiqua" w:hAnsi="Book Antiqua" w:cs="Arial"/>
          <w:b/>
        </w:rPr>
      </w:pPr>
      <w:r w:rsidRPr="00935D75">
        <w:rPr>
          <w:rFonts w:ascii="Book Antiqua" w:hAnsi="Book Antiqua" w:cs="Arial"/>
          <w:b/>
        </w:rPr>
        <w:t>and</w:t>
      </w:r>
    </w:p>
    <w:p w:rsidR="00AA03A8" w:rsidRPr="00935D75" w:rsidRDefault="00AA03A8" w:rsidP="00AA03A8">
      <w:pPr>
        <w:jc w:val="center"/>
        <w:rPr>
          <w:rFonts w:ascii="Book Antiqua" w:hAnsi="Book Antiqua" w:cs="Arial"/>
          <w:b/>
        </w:rPr>
      </w:pPr>
    </w:p>
    <w:p w:rsidR="00AA03A8" w:rsidRPr="00935D75" w:rsidRDefault="00AA03A8" w:rsidP="00AA03A8">
      <w:pPr>
        <w:jc w:val="center"/>
        <w:rPr>
          <w:rFonts w:ascii="Book Antiqua" w:hAnsi="Book Antiqua" w:cs="Arial"/>
          <w:b/>
        </w:rPr>
      </w:pPr>
      <w:r w:rsidRPr="00935D75">
        <w:rPr>
          <w:rFonts w:ascii="Book Antiqua" w:hAnsi="Book Antiqua" w:cs="Arial"/>
          <w:b/>
        </w:rPr>
        <w:t>THE SECRETARY OF STATE FOR THE HOME DEPARTMENT</w:t>
      </w:r>
    </w:p>
    <w:p w:rsidR="00AA03A8" w:rsidRPr="00935D75" w:rsidRDefault="00AA03A8" w:rsidP="00AA03A8">
      <w:pPr>
        <w:jc w:val="right"/>
        <w:rPr>
          <w:rFonts w:ascii="Book Antiqua" w:hAnsi="Book Antiqua" w:cs="Arial"/>
          <w:u w:val="single"/>
        </w:rPr>
      </w:pPr>
      <w:r w:rsidRPr="00935D75">
        <w:rPr>
          <w:rFonts w:ascii="Book Antiqua" w:hAnsi="Book Antiqua" w:cs="Arial"/>
          <w:u w:val="single"/>
        </w:rPr>
        <w:t>Respondent</w:t>
      </w:r>
    </w:p>
    <w:p w:rsidR="00AA03A8" w:rsidRDefault="00AA03A8" w:rsidP="00AA03A8">
      <w:pPr>
        <w:rPr>
          <w:rFonts w:ascii="Book Antiqua" w:hAnsi="Book Antiqua" w:cs="Arial"/>
          <w:u w:val="single"/>
        </w:rPr>
      </w:pPr>
    </w:p>
    <w:p w:rsidR="00515F1B" w:rsidRPr="00935D75" w:rsidRDefault="00515F1B" w:rsidP="00AA03A8">
      <w:pPr>
        <w:rPr>
          <w:rFonts w:ascii="Book Antiqua" w:hAnsi="Book Antiqua" w:cs="Arial"/>
          <w:u w:val="single"/>
        </w:rPr>
      </w:pPr>
    </w:p>
    <w:p w:rsidR="00AA03A8" w:rsidRPr="00935D75" w:rsidRDefault="00AA03A8" w:rsidP="00AA03A8">
      <w:pPr>
        <w:rPr>
          <w:rFonts w:ascii="Book Antiqua" w:hAnsi="Book Antiqua" w:cs="Arial"/>
        </w:rPr>
      </w:pPr>
      <w:r w:rsidRPr="00935D75">
        <w:rPr>
          <w:rFonts w:ascii="Book Antiqua" w:hAnsi="Book Antiqua" w:cs="Arial"/>
          <w:b/>
          <w:u w:val="single"/>
        </w:rPr>
        <w:t>Representation</w:t>
      </w:r>
      <w:r w:rsidRPr="00935D75">
        <w:rPr>
          <w:rFonts w:ascii="Book Antiqua" w:hAnsi="Book Antiqua" w:cs="Arial"/>
          <w:b/>
        </w:rPr>
        <w:t>:</w:t>
      </w:r>
    </w:p>
    <w:p w:rsidR="00AA03A8" w:rsidRPr="00935D75" w:rsidRDefault="00AA03A8" w:rsidP="00515F1B">
      <w:pPr>
        <w:tabs>
          <w:tab w:val="left" w:pos="2552"/>
        </w:tabs>
        <w:rPr>
          <w:rFonts w:ascii="Book Antiqua" w:hAnsi="Book Antiqua" w:cs="Arial"/>
        </w:rPr>
      </w:pPr>
      <w:r w:rsidRPr="00935D75">
        <w:rPr>
          <w:rFonts w:ascii="Book Antiqua" w:hAnsi="Book Antiqua" w:cs="Arial"/>
        </w:rPr>
        <w:t xml:space="preserve">For the Appellant:    </w:t>
      </w:r>
      <w:r w:rsidRPr="00935D75">
        <w:rPr>
          <w:rFonts w:ascii="Book Antiqua" w:hAnsi="Book Antiqua" w:cs="Arial"/>
        </w:rPr>
        <w:tab/>
        <w:t xml:space="preserve">Mr A Eaton (counsel instructed by Duncan Lewis Solicitors) </w:t>
      </w:r>
    </w:p>
    <w:p w:rsidR="00AA03A8" w:rsidRPr="00935D75" w:rsidRDefault="00AA03A8" w:rsidP="00515F1B">
      <w:pPr>
        <w:tabs>
          <w:tab w:val="left" w:pos="2552"/>
        </w:tabs>
        <w:rPr>
          <w:rFonts w:ascii="Book Antiqua" w:hAnsi="Book Antiqua" w:cs="Arial"/>
        </w:rPr>
      </w:pPr>
      <w:r w:rsidRPr="00935D75">
        <w:rPr>
          <w:rFonts w:ascii="Book Antiqua" w:hAnsi="Book Antiqua" w:cs="Arial"/>
        </w:rPr>
        <w:t>For the Respondent:       Mr T Wilding (Senior Home Office Presenting Officer)</w:t>
      </w:r>
    </w:p>
    <w:p w:rsidR="00AA03A8" w:rsidRDefault="00AA03A8" w:rsidP="00AA03A8">
      <w:pPr>
        <w:tabs>
          <w:tab w:val="left" w:pos="2520"/>
        </w:tabs>
        <w:rPr>
          <w:rFonts w:ascii="Book Antiqua" w:hAnsi="Book Antiqua" w:cs="Arial"/>
          <w:b/>
          <w:u w:val="single"/>
        </w:rPr>
      </w:pPr>
    </w:p>
    <w:p w:rsidR="00515F1B" w:rsidRPr="00935D75" w:rsidRDefault="00515F1B" w:rsidP="00AA03A8">
      <w:pPr>
        <w:tabs>
          <w:tab w:val="left" w:pos="2520"/>
        </w:tabs>
        <w:rPr>
          <w:rFonts w:ascii="Book Antiqua" w:hAnsi="Book Antiqua" w:cs="Arial"/>
          <w:b/>
          <w:u w:val="single"/>
        </w:rPr>
      </w:pPr>
    </w:p>
    <w:p w:rsidR="00AA03A8" w:rsidRPr="00935D75" w:rsidRDefault="00AA03A8" w:rsidP="00AA03A8">
      <w:pPr>
        <w:tabs>
          <w:tab w:val="left" w:pos="2520"/>
        </w:tabs>
        <w:jc w:val="center"/>
        <w:rPr>
          <w:rFonts w:ascii="Book Antiqua" w:hAnsi="Book Antiqua" w:cs="Arial"/>
          <w:b/>
          <w:u w:val="single"/>
        </w:rPr>
      </w:pPr>
      <w:r w:rsidRPr="00935D75">
        <w:rPr>
          <w:rFonts w:ascii="Book Antiqua" w:hAnsi="Book Antiqua" w:cs="Arial"/>
          <w:b/>
          <w:u w:val="single"/>
        </w:rPr>
        <w:t>DECISION AND REASONS</w:t>
      </w:r>
    </w:p>
    <w:p w:rsidR="00AA03A8" w:rsidRPr="00935D75" w:rsidRDefault="00AA03A8"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t xml:space="preserve">This is the appeal of </w:t>
      </w:r>
      <w:r w:rsidR="00515F1B">
        <w:rPr>
          <w:rFonts w:ascii="Book Antiqua" w:hAnsi="Book Antiqua"/>
        </w:rPr>
        <w:t>[</w:t>
      </w:r>
      <w:r w:rsidRPr="00935D75">
        <w:rPr>
          <w:rFonts w:ascii="Book Antiqua" w:hAnsi="Book Antiqua"/>
        </w:rPr>
        <w:t>NS</w:t>
      </w:r>
      <w:r w:rsidR="00515F1B">
        <w:rPr>
          <w:rFonts w:ascii="Book Antiqua" w:hAnsi="Book Antiqua"/>
        </w:rPr>
        <w:t>]</w:t>
      </w:r>
      <w:r w:rsidRPr="00935D75">
        <w:rPr>
          <w:rFonts w:ascii="Book Antiqua" w:hAnsi="Book Antiqua"/>
        </w:rPr>
        <w:t xml:space="preserve">, a citizen of Afghanistan with a birth date recorded as 1 January 1978, against the decision of the First-tier Tribunal of 28 February 2017 to dismiss his appeal on asylum grounds, itself brought against the decision of the Secretary of State of 23 May 2016 to refuse his asylum claim. </w:t>
      </w:r>
    </w:p>
    <w:p w:rsidR="00AA03A8" w:rsidRPr="00935D75" w:rsidRDefault="00AA03A8"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t xml:space="preserve">His claim was based on his fears of the </w:t>
      </w:r>
      <w:proofErr w:type="spellStart"/>
      <w:r w:rsidRPr="00935D75">
        <w:rPr>
          <w:rFonts w:ascii="Book Antiqua" w:hAnsi="Book Antiqua"/>
        </w:rPr>
        <w:t>Jamiat</w:t>
      </w:r>
      <w:proofErr w:type="spellEnd"/>
      <w:r w:rsidRPr="00935D75">
        <w:rPr>
          <w:rFonts w:ascii="Book Antiqua" w:hAnsi="Book Antiqua"/>
        </w:rPr>
        <w:t xml:space="preserve"> Political Party and the Taliban. When he was aged around 13, his family became caught up in a feud between </w:t>
      </w:r>
      <w:proofErr w:type="spellStart"/>
      <w:r w:rsidRPr="00935D75">
        <w:rPr>
          <w:rFonts w:ascii="Book Antiqua" w:hAnsi="Book Antiqua"/>
        </w:rPr>
        <w:t>Jamiat</w:t>
      </w:r>
      <w:proofErr w:type="spellEnd"/>
      <w:r w:rsidRPr="00935D75">
        <w:rPr>
          <w:rFonts w:ascii="Book Antiqua" w:hAnsi="Book Antiqua"/>
        </w:rPr>
        <w:t xml:space="preserve"> and </w:t>
      </w:r>
      <w:proofErr w:type="spellStart"/>
      <w:r w:rsidRPr="00935D75">
        <w:rPr>
          <w:rFonts w:ascii="Book Antiqua" w:hAnsi="Book Antiqua"/>
        </w:rPr>
        <w:lastRenderedPageBreak/>
        <w:t>Hezb</w:t>
      </w:r>
      <w:proofErr w:type="spellEnd"/>
      <w:r w:rsidRPr="00935D75">
        <w:rPr>
          <w:rFonts w:ascii="Book Antiqua" w:hAnsi="Book Antiqua"/>
        </w:rPr>
        <w:t>-e-</w:t>
      </w:r>
      <w:proofErr w:type="spellStart"/>
      <w:r w:rsidRPr="00935D75">
        <w:rPr>
          <w:rFonts w:ascii="Book Antiqua" w:hAnsi="Book Antiqua"/>
        </w:rPr>
        <w:t>Islami</w:t>
      </w:r>
      <w:proofErr w:type="spellEnd"/>
      <w:r w:rsidRPr="00935D75">
        <w:rPr>
          <w:rFonts w:ascii="Book Antiqua" w:hAnsi="Book Antiqua"/>
        </w:rPr>
        <w:t xml:space="preserve">. His brother was killed early on in the feud, and in retribution members of the opposing party were slain, leading to a hunt for the appellant’s father. </w:t>
      </w:r>
    </w:p>
    <w:p w:rsidR="00AA03A8" w:rsidRPr="00935D75" w:rsidRDefault="00AA03A8"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t xml:space="preserve">They went to Pakistan, though in the camp where they resided the family was attacked; his father struck one attacker with an axe, seriously injuring him, and the appellant injured another man. His father was subsequently arrested over the incident, and imprisoned for 25 years following the attacker’s death. Meanwhile the appellant went on the run, there being a warrant out for his arrest. He married and began to live in Haripur. There he was attacked, but escaped. He went to live in </w:t>
      </w:r>
      <w:proofErr w:type="spellStart"/>
      <w:r w:rsidRPr="00935D75">
        <w:rPr>
          <w:rFonts w:ascii="Book Antiqua" w:hAnsi="Book Antiqua"/>
        </w:rPr>
        <w:t>Bahwalpur</w:t>
      </w:r>
      <w:proofErr w:type="spellEnd"/>
      <w:r w:rsidRPr="00935D75">
        <w:rPr>
          <w:rFonts w:ascii="Book Antiqua" w:hAnsi="Book Antiqua"/>
        </w:rPr>
        <w:t xml:space="preserve"> for several years, before returning to Afghanistan, as his family could no longer cope with being separated from him. </w:t>
      </w:r>
    </w:p>
    <w:p w:rsidR="00AA03A8" w:rsidRPr="00935D75" w:rsidRDefault="00AA03A8"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t xml:space="preserve">His father was attacked and killed in 2008, whilst holding the appellant’s three-month-old son, who was also injured. This incident apart, they lived safely in Afghanistan for several years, until in June 2015 their enemies learned of their location from a nephew they bribed, and a grenade was thrown into the family home. The Appellant now feared for his safety that he felt that leaving the region altogether was the only solution. </w:t>
      </w:r>
    </w:p>
    <w:p w:rsidR="00AA03A8" w:rsidRPr="00935D75" w:rsidRDefault="00AA03A8"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t xml:space="preserve">The First-tier tribunal heard the appellant’s appeal, having refused an adjournment application to seek expert evidence in order to authenticate the appellant's documents on the basis that the possibility of such material eventuating at this late stage was unduly speculative. The Tribunal did not accept the appellant as a credible witness, because </w:t>
      </w:r>
    </w:p>
    <w:p w:rsidR="00AA03A8" w:rsidRPr="00935D75" w:rsidRDefault="00AA03A8" w:rsidP="00515F1B">
      <w:pPr>
        <w:pStyle w:val="ListParagraph"/>
        <w:numPr>
          <w:ilvl w:val="0"/>
          <w:numId w:val="2"/>
        </w:numPr>
        <w:spacing w:before="120"/>
        <w:ind w:left="1134" w:hanging="567"/>
        <w:rPr>
          <w:rFonts w:ascii="Book Antiqua" w:hAnsi="Book Antiqua"/>
        </w:rPr>
      </w:pPr>
      <w:r w:rsidRPr="00935D75">
        <w:rPr>
          <w:rFonts w:ascii="Book Antiqua" w:hAnsi="Book Antiqua"/>
        </w:rPr>
        <w:t xml:space="preserve">His asylum claim was made very late, after some 8 years of absconding, to avoid being returned to Greece which would have been the country responsible for his claim; </w:t>
      </w:r>
    </w:p>
    <w:p w:rsidR="00AA03A8" w:rsidRPr="00935D75" w:rsidRDefault="00AA03A8" w:rsidP="00515F1B">
      <w:pPr>
        <w:pStyle w:val="ListParagraph"/>
        <w:numPr>
          <w:ilvl w:val="0"/>
          <w:numId w:val="2"/>
        </w:numPr>
        <w:spacing w:before="120"/>
        <w:ind w:left="1134" w:hanging="567"/>
        <w:rPr>
          <w:rFonts w:ascii="Book Antiqua" w:hAnsi="Book Antiqua"/>
        </w:rPr>
      </w:pPr>
      <w:r w:rsidRPr="00935D75">
        <w:rPr>
          <w:rFonts w:ascii="Book Antiqua" w:hAnsi="Book Antiqua"/>
        </w:rPr>
        <w:t>The documents recording his father’s conviction and sentence did not suggest any political dispute: an appeal court judgment referenced some minor altercation and a dispute over the boarding of passengers; the evidence regarding his father’s release was equally unclear;</w:t>
      </w:r>
    </w:p>
    <w:p w:rsidR="00AA03A8" w:rsidRPr="00935D75" w:rsidRDefault="00AA03A8" w:rsidP="00515F1B">
      <w:pPr>
        <w:pStyle w:val="ListParagraph"/>
        <w:numPr>
          <w:ilvl w:val="0"/>
          <w:numId w:val="2"/>
        </w:numPr>
        <w:spacing w:before="120"/>
        <w:ind w:left="1134" w:hanging="567"/>
        <w:rPr>
          <w:rFonts w:ascii="Book Antiqua" w:hAnsi="Book Antiqua"/>
        </w:rPr>
      </w:pPr>
      <w:r w:rsidRPr="00935D75">
        <w:rPr>
          <w:rFonts w:ascii="Book Antiqua" w:hAnsi="Book Antiqua"/>
        </w:rPr>
        <w:t xml:space="preserve">His account of events in 2015 was inconsistent as to the family’s location and the supporting materials were not sufficiently cogent to assist him in establishing his claim. </w:t>
      </w:r>
    </w:p>
    <w:p w:rsidR="00AA03A8" w:rsidRPr="00935D75" w:rsidRDefault="00AA03A8"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t xml:space="preserve">In conclusion, whilst the Tribunal was willing to accept the possibility that the appellant’s father may have been killed in the context of a family feud, there was nothing to show any political dimension to the death, notwithstanding the background evidence indicating that political violence was common in Afghanistan and Pakistan. None of the facts asserted by the appellant were accepted as established, beyond the fact he would be returning to his country of origin as a failed asylum seeker, in circumstances where he had a wife and children there. </w:t>
      </w:r>
    </w:p>
    <w:p w:rsidR="00AA03A8" w:rsidRPr="00935D75" w:rsidRDefault="00AA03A8"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t xml:space="preserve">Grounds of appeal contended that the First-tier tribunal had erred in law in failing to make findings as to whether the appellant would be at risk from the armed conflict in his home province of </w:t>
      </w:r>
      <w:proofErr w:type="spellStart"/>
      <w:r w:rsidRPr="00935D75">
        <w:rPr>
          <w:rFonts w:ascii="Book Antiqua" w:hAnsi="Book Antiqua"/>
        </w:rPr>
        <w:t>Baghlan</w:t>
      </w:r>
      <w:proofErr w:type="spellEnd"/>
      <w:r w:rsidRPr="00935D75">
        <w:rPr>
          <w:rFonts w:ascii="Book Antiqua" w:hAnsi="Book Antiqua"/>
        </w:rPr>
        <w:t xml:space="preserve"> or in Kabul were he to relocate there (given that on a return he would now present as westernised), failed to make findings on all relevant issues and evidence, and acted unfairly in refusing an adjournment.</w:t>
      </w:r>
    </w:p>
    <w:p w:rsidR="00741549" w:rsidRPr="00935D75" w:rsidRDefault="00AA03A8"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lastRenderedPageBreak/>
        <w:t xml:space="preserve">Permission to appeal was granted and following a hearing confined to the question of whether the First-tier tribunal had erred in law in its treatment of the case, the Upper Tribunal issued a decision and reasons on 8 September 2017. It rejected the contention that there had been any material error of law, taking the view that the appellant's immigration history fully justified the findings made and that the documents he prayed in aid of his case did not establish the necessary background to put him at risk. Accordingly, the findings made had been sufficient to deal with the individualised element of his asylum claim. However, the Upper Tribunal accepted that there had been no treatment of the question of armed conflict risks, and set the appeal down for a continuation hearing to address that single issue. Given that Country Guidelines on that </w:t>
      </w:r>
      <w:r w:rsidR="00935D75" w:rsidRPr="00935D75">
        <w:rPr>
          <w:rFonts w:ascii="Book Antiqua" w:hAnsi="Book Antiqua"/>
        </w:rPr>
        <w:t>point</w:t>
      </w:r>
      <w:r w:rsidRPr="00935D75">
        <w:rPr>
          <w:rFonts w:ascii="Book Antiqua" w:hAnsi="Book Antiqua"/>
        </w:rPr>
        <w:t xml:space="preserve"> were known to be </w:t>
      </w:r>
      <w:r w:rsidR="00935D75" w:rsidRPr="00935D75">
        <w:rPr>
          <w:rFonts w:ascii="Book Antiqua" w:hAnsi="Book Antiqua"/>
        </w:rPr>
        <w:t>pending</w:t>
      </w:r>
      <w:r w:rsidRPr="00935D75">
        <w:rPr>
          <w:rFonts w:ascii="Book Antiqua" w:hAnsi="Book Antiqua"/>
        </w:rPr>
        <w:t>, it was appropriate to defer final consideration of the appeal pending their publication.</w:t>
      </w:r>
    </w:p>
    <w:p w:rsidR="00D57453" w:rsidRPr="00935D75" w:rsidRDefault="00741549"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t xml:space="preserve">In due course the decision in </w:t>
      </w:r>
      <w:r w:rsidRPr="00935D75">
        <w:rPr>
          <w:rFonts w:ascii="Book Antiqua" w:hAnsi="Book Antiqua"/>
          <w:i/>
          <w:color w:val="000000"/>
        </w:rPr>
        <w:t>AS (Safety of Kabul) Afghanistan</w:t>
      </w:r>
      <w:r w:rsidRPr="00935D75">
        <w:rPr>
          <w:rFonts w:ascii="Book Antiqua" w:hAnsi="Book Antiqua"/>
          <w:color w:val="000000"/>
        </w:rPr>
        <w:t xml:space="preserve"> CG [2018] UKUT 118 (IAC) (28 March 2018)</w:t>
      </w:r>
      <w:r w:rsidRPr="00935D75">
        <w:rPr>
          <w:rStyle w:val="apple-converted-space"/>
          <w:rFonts w:ascii="Book Antiqua" w:hAnsi="Book Antiqua"/>
          <w:color w:val="000000"/>
        </w:rPr>
        <w:t> </w:t>
      </w:r>
      <w:r w:rsidRPr="00935D75">
        <w:rPr>
          <w:rFonts w:ascii="Book Antiqua" w:hAnsi="Book Antiqua"/>
        </w:rPr>
        <w:t xml:space="preserve">was issued. At the continuation hearing before me, Mr Eaton </w:t>
      </w:r>
      <w:r w:rsidR="00D57453" w:rsidRPr="00935D75">
        <w:rPr>
          <w:rFonts w:ascii="Book Antiqua" w:hAnsi="Book Antiqua"/>
        </w:rPr>
        <w:t xml:space="preserve">recognised that there were significant obstacles to the appeal’s success, though nevertheless sought valiantly to defend his client’s interests with references to country evidence that might bear on his circumstances, particularly extracts from the Amnesty International report </w:t>
      </w:r>
      <w:r w:rsidR="00D57453" w:rsidRPr="00935D75">
        <w:rPr>
          <w:rFonts w:ascii="Book Antiqua" w:hAnsi="Book Antiqua"/>
          <w:i/>
        </w:rPr>
        <w:t>Forced back to danger: Asylum-seekers returned from Europe to Afghanistan</w:t>
      </w:r>
      <w:r w:rsidR="00D57453" w:rsidRPr="00935D75">
        <w:rPr>
          <w:rFonts w:ascii="Book Antiqua" w:hAnsi="Book Antiqua"/>
        </w:rPr>
        <w:t xml:space="preserve"> (5 October 2017), the Home Office Country Policy and Information Note – </w:t>
      </w:r>
      <w:r w:rsidR="00D57453" w:rsidRPr="00935D75">
        <w:rPr>
          <w:rFonts w:ascii="Book Antiqua" w:hAnsi="Book Antiqua"/>
          <w:i/>
        </w:rPr>
        <w:t>Afghanistan: Security and humanitarian situation</w:t>
      </w:r>
      <w:r w:rsidR="00D57453" w:rsidRPr="00935D75">
        <w:rPr>
          <w:rFonts w:ascii="Book Antiqua" w:hAnsi="Book Antiqua"/>
        </w:rPr>
        <w:t xml:space="preserve"> (August 2017), and the UNHCR Eligibility Guidelines for assessing Afghan asylum claims 19</w:t>
      </w:r>
      <w:r w:rsidR="00D57453" w:rsidRPr="00935D75">
        <w:rPr>
          <w:rFonts w:ascii="Book Antiqua" w:hAnsi="Book Antiqua"/>
          <w:vertAlign w:val="superscript"/>
        </w:rPr>
        <w:t>th</w:t>
      </w:r>
      <w:r w:rsidR="00D57453" w:rsidRPr="00935D75">
        <w:rPr>
          <w:rFonts w:ascii="Book Antiqua" w:hAnsi="Book Antiqua"/>
        </w:rPr>
        <w:t xml:space="preserve"> April 2016. </w:t>
      </w:r>
    </w:p>
    <w:p w:rsidR="00741549" w:rsidRPr="00935D75" w:rsidRDefault="00D57453"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t xml:space="preserve">For the Secretary of State, </w:t>
      </w:r>
      <w:r w:rsidR="00741549" w:rsidRPr="00935D75">
        <w:rPr>
          <w:rFonts w:ascii="Book Antiqua" w:hAnsi="Book Antiqua"/>
        </w:rPr>
        <w:t xml:space="preserve">Mr Wilding replied that the Country Guidelines </w:t>
      </w:r>
      <w:r w:rsidR="00935D75">
        <w:rPr>
          <w:rFonts w:ascii="Book Antiqua" w:hAnsi="Book Antiqua"/>
        </w:rPr>
        <w:t xml:space="preserve">set out in </w:t>
      </w:r>
      <w:r w:rsidR="00935D75">
        <w:rPr>
          <w:rFonts w:ascii="Book Antiqua" w:hAnsi="Book Antiqua"/>
          <w:i/>
        </w:rPr>
        <w:t xml:space="preserve">AS Afghanistan </w:t>
      </w:r>
      <w:r w:rsidR="00741549" w:rsidRPr="00935D75">
        <w:rPr>
          <w:rFonts w:ascii="Book Antiqua" w:hAnsi="Book Antiqua"/>
        </w:rPr>
        <w:t>decision w</w:t>
      </w:r>
      <w:r w:rsidR="00935D75">
        <w:rPr>
          <w:rFonts w:ascii="Book Antiqua" w:hAnsi="Book Antiqua"/>
        </w:rPr>
        <w:t>ere</w:t>
      </w:r>
      <w:r w:rsidR="00741549" w:rsidRPr="00935D75">
        <w:rPr>
          <w:rFonts w:ascii="Book Antiqua" w:hAnsi="Book Antiqua"/>
        </w:rPr>
        <w:t xml:space="preserve"> determinative</w:t>
      </w:r>
      <w:r w:rsidR="00935D75">
        <w:rPr>
          <w:rFonts w:ascii="Book Antiqua" w:hAnsi="Book Antiqua"/>
        </w:rPr>
        <w:t xml:space="preserve"> of, and fatal to, the Appellant's appeal</w:t>
      </w:r>
      <w:r w:rsidR="00741549" w:rsidRPr="00935D75">
        <w:rPr>
          <w:rFonts w:ascii="Book Antiqua" w:hAnsi="Book Antiqua"/>
        </w:rPr>
        <w:t xml:space="preserve">. </w:t>
      </w:r>
    </w:p>
    <w:p w:rsidR="00741549" w:rsidRPr="00935D75" w:rsidRDefault="00741549" w:rsidP="00001A99">
      <w:pPr>
        <w:spacing w:before="160"/>
        <w:rPr>
          <w:rFonts w:ascii="Book Antiqua" w:hAnsi="Book Antiqua"/>
          <w:b/>
        </w:rPr>
      </w:pPr>
      <w:r w:rsidRPr="00935D75">
        <w:rPr>
          <w:rFonts w:ascii="Book Antiqua" w:hAnsi="Book Antiqua"/>
          <w:b/>
        </w:rPr>
        <w:t xml:space="preserve">Findings and reasons </w:t>
      </w:r>
    </w:p>
    <w:p w:rsidR="00AA03A8" w:rsidRPr="00935D75" w:rsidRDefault="00741549"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t xml:space="preserve">These extracts from the headnote to </w:t>
      </w:r>
      <w:r w:rsidR="00AA03A8" w:rsidRPr="00935D75">
        <w:rPr>
          <w:rFonts w:ascii="Book Antiqua" w:hAnsi="Book Antiqua"/>
          <w:i/>
          <w:color w:val="000000"/>
        </w:rPr>
        <w:t>AS Afghanistan</w:t>
      </w:r>
      <w:r w:rsidR="00AA03A8" w:rsidRPr="00935D75">
        <w:rPr>
          <w:rFonts w:ascii="Book Antiqua" w:hAnsi="Book Antiqua"/>
        </w:rPr>
        <w:t xml:space="preserve"> are of particular interest:</w:t>
      </w:r>
    </w:p>
    <w:p w:rsidR="00D57453" w:rsidRPr="00515F1B" w:rsidRDefault="00D57453" w:rsidP="00515F1B">
      <w:pPr>
        <w:spacing w:before="120"/>
        <w:ind w:left="1134" w:right="567"/>
        <w:jc w:val="both"/>
        <w:rPr>
          <w:rFonts w:ascii="Book Antiqua" w:hAnsi="Book Antiqua"/>
          <w:i/>
          <w:sz w:val="22"/>
        </w:rPr>
      </w:pPr>
      <w:r w:rsidRPr="00515F1B">
        <w:rPr>
          <w:rFonts w:ascii="Book Antiqua" w:hAnsi="Book Antiqua"/>
          <w:sz w:val="22"/>
        </w:rPr>
        <w:t>“</w:t>
      </w:r>
      <w:r w:rsidRPr="00515F1B">
        <w:rPr>
          <w:rFonts w:ascii="Book Antiqua" w:hAnsi="Book Antiqua"/>
          <w:i/>
          <w:sz w:val="22"/>
        </w:rPr>
        <w:t>Internal relocation to Kabul</w:t>
      </w:r>
    </w:p>
    <w:p w:rsidR="00D57453" w:rsidRPr="00515F1B" w:rsidRDefault="00D57453" w:rsidP="00515F1B">
      <w:pPr>
        <w:tabs>
          <w:tab w:val="left" w:pos="1701"/>
        </w:tabs>
        <w:spacing w:before="120"/>
        <w:ind w:left="1134" w:right="567"/>
        <w:jc w:val="both"/>
        <w:rPr>
          <w:rFonts w:ascii="Book Antiqua" w:hAnsi="Book Antiqua"/>
          <w:sz w:val="22"/>
        </w:rPr>
      </w:pPr>
      <w:r w:rsidRPr="00515F1B">
        <w:rPr>
          <w:rFonts w:ascii="Book Antiqua" w:hAnsi="Book Antiqua"/>
          <w:sz w:val="22"/>
        </w:rPr>
        <w:t>(ii)</w:t>
      </w:r>
      <w:r w:rsidR="00515F1B">
        <w:rPr>
          <w:rFonts w:ascii="Book Antiqua" w:hAnsi="Book Antiqua"/>
          <w:sz w:val="22"/>
        </w:rPr>
        <w:tab/>
      </w:r>
      <w:r w:rsidRPr="00515F1B">
        <w:rPr>
          <w:rFonts w:ascii="Book Antiqua" w:hAnsi="Book Antiqua"/>
          <w:sz w:val="22"/>
        </w:rPr>
        <w:t>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connections or support network in Kabul.</w:t>
      </w:r>
    </w:p>
    <w:p w:rsidR="00D57453" w:rsidRPr="00515F1B" w:rsidRDefault="00D57453" w:rsidP="00515F1B">
      <w:pPr>
        <w:tabs>
          <w:tab w:val="left" w:pos="1701"/>
        </w:tabs>
        <w:spacing w:before="120"/>
        <w:ind w:left="1134" w:right="567"/>
        <w:jc w:val="both"/>
        <w:rPr>
          <w:rFonts w:ascii="Book Antiqua" w:hAnsi="Book Antiqua"/>
          <w:sz w:val="22"/>
        </w:rPr>
      </w:pPr>
      <w:r w:rsidRPr="00515F1B">
        <w:rPr>
          <w:rFonts w:ascii="Book Antiqua" w:hAnsi="Book Antiqua"/>
          <w:sz w:val="22"/>
        </w:rPr>
        <w:t>(iii)</w:t>
      </w:r>
      <w:r w:rsidR="00515F1B">
        <w:rPr>
          <w:rFonts w:ascii="Book Antiqua" w:hAnsi="Book Antiqua"/>
          <w:sz w:val="22"/>
        </w:rPr>
        <w:tab/>
      </w:r>
      <w:r w:rsidRPr="00515F1B">
        <w:rPr>
          <w:rFonts w:ascii="Book Antiqua" w:hAnsi="Book Antiqua"/>
          <w:sz w:val="22"/>
        </w:rPr>
        <w:t>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p>
    <w:p w:rsidR="00D57453" w:rsidRPr="00515F1B" w:rsidRDefault="00D57453" w:rsidP="00515F1B">
      <w:pPr>
        <w:tabs>
          <w:tab w:val="left" w:pos="1701"/>
        </w:tabs>
        <w:spacing w:before="120"/>
        <w:ind w:left="1134" w:right="567"/>
        <w:jc w:val="both"/>
        <w:rPr>
          <w:rFonts w:ascii="Book Antiqua" w:hAnsi="Book Antiqua"/>
          <w:sz w:val="22"/>
        </w:rPr>
      </w:pPr>
      <w:r w:rsidRPr="00515F1B">
        <w:rPr>
          <w:rFonts w:ascii="Book Antiqua" w:hAnsi="Book Antiqua"/>
          <w:sz w:val="22"/>
        </w:rPr>
        <w:t>(iv)</w:t>
      </w:r>
      <w:r w:rsidR="00515F1B">
        <w:rPr>
          <w:rFonts w:ascii="Book Antiqua" w:hAnsi="Book Antiqua"/>
          <w:sz w:val="22"/>
        </w:rPr>
        <w:tab/>
      </w:r>
      <w:r w:rsidRPr="00515F1B">
        <w:rPr>
          <w:rFonts w:ascii="Book Antiqua" w:hAnsi="Book Antiqua"/>
          <w:sz w:val="22"/>
        </w:rPr>
        <w:t>A person with a support network or specific connections in Kabul is likely to be in a more advantageous position on return, which may counter a particular vulnerability of an individual on return.</w:t>
      </w:r>
    </w:p>
    <w:p w:rsidR="00D57453" w:rsidRPr="00515F1B" w:rsidRDefault="00D57453" w:rsidP="00515F1B">
      <w:pPr>
        <w:tabs>
          <w:tab w:val="left" w:pos="1701"/>
        </w:tabs>
        <w:spacing w:before="120"/>
        <w:ind w:left="1134" w:right="567"/>
        <w:jc w:val="both"/>
        <w:rPr>
          <w:rFonts w:ascii="Book Antiqua" w:hAnsi="Book Antiqua"/>
          <w:sz w:val="22"/>
        </w:rPr>
      </w:pPr>
      <w:r w:rsidRPr="00515F1B">
        <w:rPr>
          <w:rFonts w:ascii="Book Antiqua" w:hAnsi="Book Antiqua"/>
          <w:sz w:val="22"/>
        </w:rPr>
        <w:t>(v)</w:t>
      </w:r>
      <w:r w:rsidR="00515F1B">
        <w:rPr>
          <w:rFonts w:ascii="Book Antiqua" w:hAnsi="Book Antiqua"/>
          <w:sz w:val="22"/>
        </w:rPr>
        <w:tab/>
      </w:r>
      <w:r w:rsidRPr="00515F1B">
        <w:rPr>
          <w:rFonts w:ascii="Book Antiqua" w:hAnsi="Book Antiqua"/>
          <w:sz w:val="22"/>
        </w:rPr>
        <w:t xml:space="preserve">Although Kabul suffered the highest number of civilian casualties (in the latest UNAMA figures from 2017) and the number of security incidents is increasing, the proportion of the population directly affected by the security </w:t>
      </w:r>
      <w:r w:rsidRPr="00515F1B">
        <w:rPr>
          <w:rFonts w:ascii="Book Antiqua" w:hAnsi="Book Antiqua"/>
          <w:sz w:val="22"/>
        </w:rPr>
        <w:lastRenderedPageBreak/>
        <w:t>situation is tiny.  The current security situation in Kabul is not at such a level as to render internal relocation unreasonable or unduly harsh.”</w:t>
      </w:r>
    </w:p>
    <w:p w:rsidR="00D57453" w:rsidRPr="00935D75" w:rsidRDefault="00D57453"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t xml:space="preserve">The material cited by Mr Eaton undoubtedly raises humanitarian concerns about the advisability of returning asylum seekers to Afghanistan. For example, the Home Office Guidance cites country evidence to this effect:  </w:t>
      </w:r>
    </w:p>
    <w:p w:rsidR="00741549" w:rsidRPr="00935D75" w:rsidRDefault="00D57453" w:rsidP="00001A99">
      <w:pPr>
        <w:spacing w:before="120"/>
        <w:ind w:left="1134"/>
        <w:jc w:val="both"/>
        <w:rPr>
          <w:rFonts w:ascii="Book Antiqua" w:hAnsi="Book Antiqua"/>
        </w:rPr>
      </w:pPr>
      <w:r w:rsidRPr="00935D75">
        <w:rPr>
          <w:rFonts w:ascii="Book Antiqua" w:hAnsi="Book Antiqua"/>
        </w:rPr>
        <w:t>“</w:t>
      </w:r>
      <w:r w:rsidR="00741549" w:rsidRPr="00935D75">
        <w:rPr>
          <w:rFonts w:ascii="Book Antiqua" w:hAnsi="Book Antiqua"/>
          <w:b/>
        </w:rPr>
        <w:t>2.3.14</w:t>
      </w:r>
      <w:r w:rsidR="00741549" w:rsidRPr="00935D75">
        <w:rPr>
          <w:rFonts w:ascii="Book Antiqua" w:hAnsi="Book Antiqua"/>
        </w:rPr>
        <w:t xml:space="preserve"> Since the promulgation of </w:t>
      </w:r>
      <w:r w:rsidR="00741549" w:rsidRPr="00935D75">
        <w:rPr>
          <w:rFonts w:ascii="Book Antiqua" w:hAnsi="Book Antiqua"/>
          <w:i/>
        </w:rPr>
        <w:t>AK</w:t>
      </w:r>
      <w:r w:rsidR="00741549" w:rsidRPr="00935D75">
        <w:rPr>
          <w:rFonts w:ascii="Book Antiqua" w:hAnsi="Book Antiqua"/>
        </w:rPr>
        <w:t xml:space="preserve"> in May 2012 the overall number of civilian deaths and injuries in Afghanistan documented by UNAMA has increased. The number of civilian casualties in 2016 (11,418 – 3,498 deaths and 7,920 injured) has increased by 32% compared to 2011 (7,842) – the highest since recording began in 2009; and a 3% increase in total civilian casualties compared to 2015</w:t>
      </w:r>
      <w:r w:rsidRPr="00935D75">
        <w:rPr>
          <w:rFonts w:ascii="Book Antiqua" w:hAnsi="Book Antiqua"/>
        </w:rPr>
        <w:t>.”</w:t>
      </w:r>
    </w:p>
    <w:p w:rsidR="00935D75" w:rsidRDefault="00AA03A8"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t xml:space="preserve">However, the reality is that </w:t>
      </w:r>
      <w:r w:rsidR="00D57453" w:rsidRPr="00935D75">
        <w:rPr>
          <w:rFonts w:ascii="Book Antiqua" w:hAnsi="Book Antiqua"/>
        </w:rPr>
        <w:t xml:space="preserve">all the </w:t>
      </w:r>
      <w:r w:rsidRPr="00935D75">
        <w:rPr>
          <w:rFonts w:ascii="Book Antiqua" w:hAnsi="Book Antiqua"/>
        </w:rPr>
        <w:t xml:space="preserve">materials </w:t>
      </w:r>
      <w:r w:rsidR="00D57453" w:rsidRPr="00935D75">
        <w:rPr>
          <w:rFonts w:ascii="Book Antiqua" w:hAnsi="Book Antiqua"/>
        </w:rPr>
        <w:t xml:space="preserve">cited to me </w:t>
      </w:r>
      <w:r w:rsidRPr="00935D75">
        <w:rPr>
          <w:rFonts w:ascii="Book Antiqua" w:hAnsi="Book Antiqua"/>
        </w:rPr>
        <w:t xml:space="preserve">are amongst those listed in the exhaustive catalogue of relevant country materials listed in the Annex to </w:t>
      </w:r>
      <w:r w:rsidRPr="00935D75">
        <w:rPr>
          <w:rFonts w:ascii="Book Antiqua" w:hAnsi="Book Antiqua"/>
          <w:i/>
        </w:rPr>
        <w:t xml:space="preserve">AS Afghanistan </w:t>
      </w:r>
      <w:r w:rsidRPr="00935D75">
        <w:rPr>
          <w:rFonts w:ascii="Book Antiqua" w:hAnsi="Book Antiqua"/>
        </w:rPr>
        <w:t xml:space="preserve">itself. The situation for civilians in Kabul, particularly those who have not lived there in recent years, is clearly not all that it might be. Doubtless there are challenges for returnees in making a new life for themselves. </w:t>
      </w:r>
      <w:r w:rsidR="00D57453" w:rsidRPr="00935D75">
        <w:rPr>
          <w:rFonts w:ascii="Book Antiqua" w:hAnsi="Book Antiqua"/>
        </w:rPr>
        <w:t xml:space="preserve">There may very well be humanitarian objections to the return of asylum seekers; but there are only legal barriers if the individual in question is owed the recognition of some </w:t>
      </w:r>
      <w:r w:rsidR="00935D75">
        <w:rPr>
          <w:rFonts w:ascii="Book Antiqua" w:hAnsi="Book Antiqua"/>
        </w:rPr>
        <w:t>status</w:t>
      </w:r>
      <w:r w:rsidR="00D57453" w:rsidRPr="00935D75">
        <w:rPr>
          <w:rFonts w:ascii="Book Antiqua" w:hAnsi="Book Antiqua"/>
        </w:rPr>
        <w:t xml:space="preserve"> in domestic or European Union law. </w:t>
      </w:r>
      <w:r w:rsidR="00D57453" w:rsidRPr="00935D75">
        <w:rPr>
          <w:rFonts w:ascii="Book Antiqua" w:hAnsi="Book Antiqua"/>
          <w:i/>
        </w:rPr>
        <w:t xml:space="preserve">AS Afghanistan </w:t>
      </w:r>
      <w:r w:rsidR="00D57453" w:rsidRPr="00935D75">
        <w:rPr>
          <w:rFonts w:ascii="Book Antiqua" w:hAnsi="Book Antiqua"/>
        </w:rPr>
        <w:t xml:space="preserve">has answered that question in the negative for the average returnee unable to distinguish themselves from the general run of healthy young men who would face no dangers from any particular source of persecution in Kabul. </w:t>
      </w:r>
    </w:p>
    <w:p w:rsidR="00AA03A8" w:rsidRPr="00935D75" w:rsidRDefault="00D57453" w:rsidP="00001A99">
      <w:pPr>
        <w:numPr>
          <w:ilvl w:val="0"/>
          <w:numId w:val="1"/>
        </w:numPr>
        <w:tabs>
          <w:tab w:val="clear" w:pos="927"/>
          <w:tab w:val="num" w:pos="567"/>
        </w:tabs>
        <w:spacing w:before="160"/>
        <w:ind w:left="567" w:hanging="567"/>
        <w:jc w:val="both"/>
        <w:rPr>
          <w:rFonts w:ascii="Book Antiqua" w:hAnsi="Book Antiqua"/>
        </w:rPr>
      </w:pPr>
      <w:r w:rsidRPr="00935D75">
        <w:rPr>
          <w:rFonts w:ascii="Book Antiqua" w:hAnsi="Book Antiqua"/>
        </w:rPr>
        <w:t>T</w:t>
      </w:r>
      <w:r w:rsidR="00AA03A8" w:rsidRPr="00935D75">
        <w:rPr>
          <w:rFonts w:ascii="Book Antiqua" w:hAnsi="Book Antiqua"/>
        </w:rPr>
        <w:t>he reality of the Appellant's case</w:t>
      </w:r>
      <w:r w:rsidRPr="00935D75">
        <w:rPr>
          <w:rFonts w:ascii="Book Antiqua" w:hAnsi="Book Antiqua"/>
        </w:rPr>
        <w:t>, in so far as any facts were accepted by the Tribunal below,</w:t>
      </w:r>
      <w:r w:rsidR="00AA03A8" w:rsidRPr="00935D75">
        <w:rPr>
          <w:rFonts w:ascii="Book Antiqua" w:hAnsi="Book Antiqua"/>
        </w:rPr>
        <w:t xml:space="preserve"> is that he is a healthy single adult male who can, applying the Country Guidelines, be reasonably expected to return there to make a life for himself. </w:t>
      </w:r>
      <w:r w:rsidR="00935D75">
        <w:rPr>
          <w:rFonts w:ascii="Book Antiqua" w:hAnsi="Book Antiqua"/>
        </w:rPr>
        <w:t xml:space="preserve">This is the case whether or not he has any support network or specific connections there. </w:t>
      </w:r>
      <w:r w:rsidR="00935D75" w:rsidRPr="00935D75">
        <w:rPr>
          <w:rFonts w:ascii="Book Antiqua" w:hAnsi="Book Antiqua"/>
        </w:rPr>
        <w:t xml:space="preserve">As the Tribunal stated in </w:t>
      </w:r>
      <w:r w:rsidR="00935D75" w:rsidRPr="00935D75">
        <w:rPr>
          <w:rFonts w:ascii="Book Antiqua" w:hAnsi="Book Antiqua"/>
          <w:i/>
        </w:rPr>
        <w:t>KH Iraq</w:t>
      </w:r>
      <w:r w:rsidR="00935D75" w:rsidRPr="00935D75">
        <w:rPr>
          <w:rFonts w:ascii="Book Antiqua" w:hAnsi="Book Antiqua"/>
        </w:rPr>
        <w:t xml:space="preserve"> CG [2008] UKAIT 00023</w:t>
      </w:r>
      <w:r w:rsidR="00935D75">
        <w:rPr>
          <w:rFonts w:ascii="Book Antiqua" w:hAnsi="Book Antiqua"/>
        </w:rPr>
        <w:t>: “</w:t>
      </w:r>
      <w:r w:rsidR="00935D75" w:rsidRPr="00935D75">
        <w:rPr>
          <w:rFonts w:ascii="Book Antiqua" w:hAnsi="Book Antiqua"/>
        </w:rPr>
        <w:t>The plight of persons who flee armed conflicts affronts our common humanity</w:t>
      </w:r>
      <w:r w:rsidR="00935D75">
        <w:rPr>
          <w:rFonts w:ascii="Book Antiqua" w:hAnsi="Book Antiqua"/>
        </w:rPr>
        <w:t xml:space="preserve">” </w:t>
      </w:r>
      <w:r w:rsidR="00AA03A8" w:rsidRPr="00935D75">
        <w:rPr>
          <w:rFonts w:ascii="Book Antiqua" w:hAnsi="Book Antiqua"/>
        </w:rPr>
        <w:t xml:space="preserve">Whilst the level of violence </w:t>
      </w:r>
      <w:r w:rsidR="00935D75">
        <w:rPr>
          <w:rFonts w:ascii="Book Antiqua" w:hAnsi="Book Antiqua"/>
        </w:rPr>
        <w:t xml:space="preserve">which afflicts Afghanistan </w:t>
      </w:r>
      <w:r w:rsidR="00AA03A8" w:rsidRPr="00935D75">
        <w:rPr>
          <w:rFonts w:ascii="Book Antiqua" w:hAnsi="Book Antiqua"/>
        </w:rPr>
        <w:t xml:space="preserve">is higher than anyone </w:t>
      </w:r>
      <w:r w:rsidR="00935D75" w:rsidRPr="00935D75">
        <w:rPr>
          <w:rFonts w:ascii="Book Antiqua" w:hAnsi="Book Antiqua"/>
        </w:rPr>
        <w:t xml:space="preserve">would ideally </w:t>
      </w:r>
      <w:r w:rsidR="00AA03A8" w:rsidRPr="00935D75">
        <w:rPr>
          <w:rFonts w:ascii="Book Antiqua" w:hAnsi="Book Antiqua"/>
        </w:rPr>
        <w:t xml:space="preserve">be expected to face, we live in an imperfect world, and the </w:t>
      </w:r>
      <w:r w:rsidR="00AA03A8" w:rsidRPr="00935D75">
        <w:rPr>
          <w:rFonts w:ascii="Book Antiqua" w:hAnsi="Book Antiqua"/>
          <w:i/>
        </w:rPr>
        <w:t xml:space="preserve">AS </w:t>
      </w:r>
      <w:r w:rsidR="00AA03A8" w:rsidRPr="00935D75">
        <w:rPr>
          <w:rFonts w:ascii="Book Antiqua" w:hAnsi="Book Antiqua"/>
        </w:rPr>
        <w:t xml:space="preserve">Tribunal has recently found that the security situation there is not such as to engage the UK’s international (or European Union) obligations. </w:t>
      </w:r>
    </w:p>
    <w:p w:rsidR="00AA03A8" w:rsidRPr="00935D75" w:rsidRDefault="00AA03A8" w:rsidP="00001A99">
      <w:pPr>
        <w:tabs>
          <w:tab w:val="left" w:pos="567"/>
        </w:tabs>
        <w:spacing w:before="160"/>
        <w:ind w:left="567"/>
        <w:jc w:val="both"/>
        <w:rPr>
          <w:rFonts w:ascii="Book Antiqua" w:hAnsi="Book Antiqua" w:cs="Arial"/>
          <w:u w:val="single"/>
        </w:rPr>
      </w:pPr>
      <w:r w:rsidRPr="00935D75">
        <w:rPr>
          <w:rFonts w:ascii="Book Antiqua" w:hAnsi="Book Antiqua" w:cs="Arial"/>
          <w:u w:val="single"/>
        </w:rPr>
        <w:t>Decision:</w:t>
      </w:r>
    </w:p>
    <w:p w:rsidR="00AA03A8" w:rsidRPr="00935D75" w:rsidRDefault="00AA03A8" w:rsidP="00001A99">
      <w:pPr>
        <w:tabs>
          <w:tab w:val="left" w:pos="567"/>
        </w:tabs>
        <w:spacing w:before="160"/>
        <w:ind w:left="567"/>
        <w:jc w:val="both"/>
        <w:rPr>
          <w:rFonts w:ascii="Book Antiqua" w:hAnsi="Book Antiqua" w:cs="Arial"/>
        </w:rPr>
      </w:pPr>
      <w:r w:rsidRPr="00935D75">
        <w:rPr>
          <w:rFonts w:ascii="Book Antiqua" w:hAnsi="Book Antiqua" w:cs="Arial"/>
        </w:rPr>
        <w:t xml:space="preserve">The decision of the First-tier Tribunal does not contain a material error of law. </w:t>
      </w:r>
    </w:p>
    <w:p w:rsidR="00AA03A8" w:rsidRPr="00935D75" w:rsidRDefault="00AA03A8" w:rsidP="00001A99">
      <w:pPr>
        <w:tabs>
          <w:tab w:val="left" w:pos="567"/>
        </w:tabs>
        <w:spacing w:before="160"/>
        <w:ind w:left="567"/>
        <w:jc w:val="both"/>
        <w:rPr>
          <w:rFonts w:ascii="Book Antiqua" w:hAnsi="Book Antiqua" w:cs="Arial"/>
        </w:rPr>
      </w:pPr>
      <w:r w:rsidRPr="00935D75">
        <w:rPr>
          <w:rFonts w:ascii="Book Antiqua" w:hAnsi="Book Antiqua" w:cs="Arial"/>
        </w:rPr>
        <w:t xml:space="preserve">The appeal is dismissed. </w:t>
      </w:r>
    </w:p>
    <w:p w:rsidR="00515F1B" w:rsidRDefault="00515F1B" w:rsidP="00AA03A8">
      <w:pPr>
        <w:tabs>
          <w:tab w:val="left" w:pos="567"/>
        </w:tabs>
        <w:jc w:val="both"/>
        <w:rPr>
          <w:rFonts w:ascii="Book Antiqua" w:hAnsi="Book Antiqua" w:cs="Arial"/>
        </w:rPr>
      </w:pPr>
    </w:p>
    <w:p w:rsidR="00AA03A8" w:rsidRPr="00935D75" w:rsidRDefault="00AA03A8" w:rsidP="00AA03A8">
      <w:pPr>
        <w:tabs>
          <w:tab w:val="left" w:pos="567"/>
        </w:tabs>
        <w:jc w:val="both"/>
        <w:rPr>
          <w:rFonts w:ascii="Book Antiqua" w:hAnsi="Book Antiqua" w:cs="Arial"/>
        </w:rPr>
      </w:pPr>
      <w:r w:rsidRPr="00935D75">
        <w:rPr>
          <w:rFonts w:ascii="Book Antiqua" w:hAnsi="Book Antiqua" w:cs="Arial"/>
          <w:noProof/>
        </w:rPr>
        <w:drawing>
          <wp:inline distT="0" distB="0" distL="0" distR="0" wp14:anchorId="0A9FC76D" wp14:editId="2EB264C9">
            <wp:extent cx="2352675" cy="104775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047750"/>
                    </a:xfrm>
                    <a:prstGeom prst="rect">
                      <a:avLst/>
                    </a:prstGeom>
                    <a:noFill/>
                    <a:ln>
                      <a:noFill/>
                    </a:ln>
                  </pic:spPr>
                </pic:pic>
              </a:graphicData>
            </a:graphic>
          </wp:inline>
        </w:drawing>
      </w:r>
    </w:p>
    <w:p w:rsidR="00AA03A8" w:rsidRPr="00935D75" w:rsidRDefault="00AA03A8" w:rsidP="00AA03A8">
      <w:pPr>
        <w:tabs>
          <w:tab w:val="left" w:pos="567"/>
        </w:tabs>
        <w:jc w:val="both"/>
        <w:rPr>
          <w:rFonts w:ascii="Book Antiqua" w:hAnsi="Book Antiqua" w:cs="Arial"/>
        </w:rPr>
      </w:pPr>
      <w:r w:rsidRPr="00935D75">
        <w:rPr>
          <w:rFonts w:ascii="Book Antiqua" w:hAnsi="Book Antiqua" w:cs="Arial"/>
        </w:rPr>
        <w:t xml:space="preserve">Signed: </w:t>
      </w:r>
      <w:r w:rsidRPr="00935D75">
        <w:rPr>
          <w:rFonts w:ascii="Book Antiqua" w:hAnsi="Book Antiqua" w:cs="Arial"/>
        </w:rPr>
        <w:tab/>
      </w:r>
      <w:r w:rsidRPr="00935D75">
        <w:rPr>
          <w:rFonts w:ascii="Book Antiqua" w:hAnsi="Book Antiqua" w:cs="Arial"/>
        </w:rPr>
        <w:tab/>
      </w:r>
      <w:r w:rsidRPr="00935D75">
        <w:rPr>
          <w:rFonts w:ascii="Book Antiqua" w:hAnsi="Book Antiqua" w:cs="Arial"/>
        </w:rPr>
        <w:tab/>
      </w:r>
      <w:r w:rsidRPr="00935D75">
        <w:rPr>
          <w:rFonts w:ascii="Book Antiqua" w:hAnsi="Book Antiqua" w:cs="Arial"/>
        </w:rPr>
        <w:tab/>
      </w:r>
      <w:r w:rsidRPr="00935D75">
        <w:rPr>
          <w:rFonts w:ascii="Book Antiqua" w:hAnsi="Book Antiqua" w:cs="Arial"/>
        </w:rPr>
        <w:tab/>
      </w:r>
      <w:r w:rsidRPr="00935D75">
        <w:rPr>
          <w:rFonts w:ascii="Book Antiqua" w:hAnsi="Book Antiqua" w:cs="Arial"/>
        </w:rPr>
        <w:tab/>
      </w:r>
      <w:r w:rsidRPr="00935D75">
        <w:rPr>
          <w:rFonts w:ascii="Book Antiqua" w:hAnsi="Book Antiqua" w:cs="Arial"/>
        </w:rPr>
        <w:tab/>
      </w:r>
      <w:r w:rsidRPr="00935D75">
        <w:rPr>
          <w:rFonts w:ascii="Book Antiqua" w:hAnsi="Book Antiqua" w:cs="Arial"/>
        </w:rPr>
        <w:tab/>
        <w:t>Date: 20 July 2018</w:t>
      </w:r>
    </w:p>
    <w:p w:rsidR="004D0558" w:rsidRPr="00935D75" w:rsidRDefault="00AA03A8" w:rsidP="00D57453">
      <w:pPr>
        <w:tabs>
          <w:tab w:val="left" w:pos="567"/>
        </w:tabs>
        <w:jc w:val="both"/>
        <w:rPr>
          <w:rFonts w:ascii="Book Antiqua" w:hAnsi="Book Antiqua"/>
        </w:rPr>
      </w:pPr>
      <w:r w:rsidRPr="00935D75">
        <w:rPr>
          <w:rFonts w:ascii="Book Antiqua" w:hAnsi="Book Antiqua" w:cs="Arial"/>
        </w:rPr>
        <w:t>Deputy Upper Tribunal Judge Symes</w:t>
      </w:r>
    </w:p>
    <w:sectPr w:rsidR="004D0558" w:rsidRPr="00935D75"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01B" w:rsidRDefault="00935D75">
      <w:r>
        <w:separator/>
      </w:r>
    </w:p>
  </w:endnote>
  <w:endnote w:type="continuationSeparator" w:id="0">
    <w:p w:rsidR="00F0701B" w:rsidRDefault="0093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D57453"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355FD">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D57453" w:rsidP="00614E94">
    <w:pPr>
      <w:jc w:val="center"/>
      <w:rPr>
        <w:rFonts w:ascii="Arial" w:hAnsi="Arial" w:cs="Arial"/>
        <w:b/>
      </w:rPr>
    </w:pPr>
    <w:r w:rsidRPr="00090CF9">
      <w:rPr>
        <w:rFonts w:ascii="Arial" w:hAnsi="Arial" w:cs="Arial"/>
        <w:b/>
        <w:spacing w:val="-6"/>
      </w:rPr>
      <w:t>©</w:t>
    </w:r>
    <w:r w:rsidR="003C792E">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01B" w:rsidRDefault="00935D75">
      <w:r>
        <w:separator/>
      </w:r>
    </w:p>
  </w:footnote>
  <w:footnote w:type="continuationSeparator" w:id="0">
    <w:p w:rsidR="00F0701B" w:rsidRDefault="00935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D57453" w:rsidP="00614E94">
    <w:pPr>
      <w:pStyle w:val="Header"/>
      <w:jc w:val="right"/>
      <w:rPr>
        <w:rFonts w:ascii="Arial" w:hAnsi="Arial" w:cs="Arial"/>
        <w:sz w:val="16"/>
        <w:szCs w:val="16"/>
      </w:rPr>
    </w:pPr>
    <w:r>
      <w:rPr>
        <w:rFonts w:ascii="Arial" w:hAnsi="Arial" w:cs="Arial"/>
        <w:sz w:val="16"/>
        <w:szCs w:val="16"/>
      </w:rPr>
      <w:t xml:space="preserve">Appeal Number: </w:t>
    </w:r>
    <w:r w:rsidRPr="00D9352A">
      <w:rPr>
        <w:sz w:val="18"/>
        <w:szCs w:val="18"/>
      </w:rPr>
      <w:t>PA/05649/2016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77D2161F"/>
    <w:multiLevelType w:val="hybridMultilevel"/>
    <w:tmpl w:val="5AC499DC"/>
    <w:lvl w:ilvl="0" w:tplc="3E34D0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3A8"/>
    <w:rsid w:val="00001A99"/>
    <w:rsid w:val="0005145F"/>
    <w:rsid w:val="001C4A88"/>
    <w:rsid w:val="00265F19"/>
    <w:rsid w:val="00372446"/>
    <w:rsid w:val="003C792E"/>
    <w:rsid w:val="004D0558"/>
    <w:rsid w:val="00515F1B"/>
    <w:rsid w:val="005321D9"/>
    <w:rsid w:val="00741549"/>
    <w:rsid w:val="0076132D"/>
    <w:rsid w:val="008355FD"/>
    <w:rsid w:val="00935D75"/>
    <w:rsid w:val="00AA03A8"/>
    <w:rsid w:val="00D57453"/>
    <w:rsid w:val="00F0701B"/>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C29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3A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03A8"/>
    <w:pPr>
      <w:tabs>
        <w:tab w:val="center" w:pos="4153"/>
        <w:tab w:val="right" w:pos="8306"/>
      </w:tabs>
    </w:pPr>
  </w:style>
  <w:style w:type="character" w:customStyle="1" w:styleId="HeaderChar">
    <w:name w:val="Header Char"/>
    <w:basedOn w:val="DefaultParagraphFont"/>
    <w:link w:val="Header"/>
    <w:uiPriority w:val="99"/>
    <w:rsid w:val="00AA03A8"/>
    <w:rPr>
      <w:rFonts w:ascii="Times New Roman" w:eastAsia="Times New Roman" w:hAnsi="Times New Roman" w:cs="Times New Roman"/>
      <w:sz w:val="24"/>
      <w:szCs w:val="24"/>
      <w:lang w:eastAsia="en-GB"/>
    </w:rPr>
  </w:style>
  <w:style w:type="paragraph" w:styleId="Footer">
    <w:name w:val="footer"/>
    <w:basedOn w:val="Normal"/>
    <w:link w:val="FooterChar"/>
    <w:rsid w:val="00AA03A8"/>
    <w:pPr>
      <w:tabs>
        <w:tab w:val="center" w:pos="4153"/>
        <w:tab w:val="right" w:pos="8306"/>
      </w:tabs>
    </w:pPr>
  </w:style>
  <w:style w:type="character" w:customStyle="1" w:styleId="FooterChar">
    <w:name w:val="Footer Char"/>
    <w:basedOn w:val="DefaultParagraphFont"/>
    <w:link w:val="Footer"/>
    <w:rsid w:val="00AA03A8"/>
    <w:rPr>
      <w:rFonts w:ascii="Times New Roman" w:eastAsia="Times New Roman" w:hAnsi="Times New Roman" w:cs="Times New Roman"/>
      <w:sz w:val="24"/>
      <w:szCs w:val="24"/>
      <w:lang w:eastAsia="en-GB"/>
    </w:rPr>
  </w:style>
  <w:style w:type="character" w:styleId="PageNumber">
    <w:name w:val="page number"/>
    <w:basedOn w:val="DefaultParagraphFont"/>
    <w:rsid w:val="00AA03A8"/>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AA03A8"/>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AA03A8"/>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A0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5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2018-08-21T11:18:00Z</dcterms:created>
  <dcterms:modified xsi:type="dcterms:W3CDTF">2018-08-21T11:18:00Z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