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021C" w14:textId="77777777" w:rsidR="00933B65" w:rsidRDefault="00FE0046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0A5C9EA2" wp14:editId="1E3E60A1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13B4" w14:textId="77777777" w:rsidR="008464A9" w:rsidRPr="00F97703" w:rsidRDefault="008464A9" w:rsidP="008464A9">
      <w:pPr>
        <w:rPr>
          <w:rFonts w:ascii="Book Antiqua" w:hAnsi="Book Antiqua" w:cs="Arial"/>
          <w:color w:val="000000"/>
          <w:sz w:val="16"/>
          <w:szCs w:val="16"/>
        </w:rPr>
      </w:pPr>
    </w:p>
    <w:p w14:paraId="423BC257" w14:textId="77777777"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099B591A" w14:textId="77777777" w:rsidR="00933B65" w:rsidRPr="00F97703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bookmarkStart w:id="0" w:name="_Hlk521591876"/>
      <w:r w:rsidRPr="00F97703">
        <w:rPr>
          <w:rFonts w:ascii="Book Antiqua" w:hAnsi="Book Antiqua" w:cs="Arial"/>
          <w:color w:val="000000"/>
        </w:rPr>
        <w:t xml:space="preserve">Appeal Number: </w:t>
      </w:r>
      <w:r w:rsidR="00751D57">
        <w:rPr>
          <w:rFonts w:ascii="Book Antiqua" w:hAnsi="Book Antiqua" w:cs="Arial"/>
          <w:caps/>
          <w:color w:val="000000"/>
        </w:rPr>
        <w:t>PA/05711/2017</w:t>
      </w:r>
      <w:bookmarkEnd w:id="0"/>
    </w:p>
    <w:p w14:paraId="27B5F797" w14:textId="77777777"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14:paraId="1CB4C020" w14:textId="77777777" w:rsidR="008464A9" w:rsidRDefault="008464A9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14:paraId="0AE817BA" w14:textId="178A81C3"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37A0CF76" w14:textId="77777777" w:rsidR="008464A9" w:rsidRPr="00F97703" w:rsidRDefault="008464A9" w:rsidP="00933B65">
      <w:pPr>
        <w:jc w:val="center"/>
        <w:rPr>
          <w:rFonts w:ascii="Book Antiqua" w:hAnsi="Book Antiqua" w:cs="Arial"/>
          <w:b/>
          <w:u w:val="single"/>
        </w:rPr>
      </w:pPr>
    </w:p>
    <w:p w14:paraId="04E2F312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786" w:type="dxa"/>
        <w:tblLook w:val="01E0" w:firstRow="1" w:lastRow="1" w:firstColumn="1" w:lastColumn="1" w:noHBand="0" w:noVBand="0"/>
      </w:tblPr>
      <w:tblGrid>
        <w:gridCol w:w="6574"/>
        <w:gridCol w:w="4212"/>
      </w:tblGrid>
      <w:tr w:rsidR="00933B65" w:rsidRPr="002154EF" w14:paraId="59723F6B" w14:textId="77777777" w:rsidTr="006B35CC">
        <w:trPr>
          <w:trHeight w:val="280"/>
        </w:trPr>
        <w:tc>
          <w:tcPr>
            <w:tcW w:w="6574" w:type="dxa"/>
            <w:shd w:val="clear" w:color="auto" w:fill="auto"/>
          </w:tcPr>
          <w:p w14:paraId="1193AB5F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4212" w:type="dxa"/>
            <w:shd w:val="clear" w:color="auto" w:fill="auto"/>
          </w:tcPr>
          <w:p w14:paraId="692206F8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2154EF">
              <w:rPr>
                <w:rFonts w:ascii="Book Antiqua" w:hAnsi="Book Antiqua" w:cs="Arial"/>
                <w:b/>
                <w:color w:val="000000"/>
              </w:rPr>
              <w:t>De</w:t>
            </w:r>
            <w:r w:rsidR="00D566D2">
              <w:rPr>
                <w:rFonts w:ascii="Book Antiqua" w:hAnsi="Book Antiqua" w:cs="Arial"/>
                <w:b/>
                <w:color w:val="000000"/>
              </w:rPr>
              <w:t>cision</w:t>
            </w:r>
            <w:r w:rsidRPr="002154EF"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321C6F" w:rsidRPr="002154EF">
              <w:rPr>
                <w:rFonts w:ascii="Book Antiqua" w:hAnsi="Book Antiqua" w:cs="Arial"/>
                <w:b/>
                <w:color w:val="000000"/>
              </w:rPr>
              <w:t>issu</w:t>
            </w:r>
            <w:r w:rsidRPr="002154EF">
              <w:rPr>
                <w:rFonts w:ascii="Book Antiqua" w:hAnsi="Book Antiqua" w:cs="Arial"/>
                <w:b/>
                <w:color w:val="000000"/>
              </w:rPr>
              <w:t>ed</w:t>
            </w:r>
          </w:p>
        </w:tc>
      </w:tr>
      <w:tr w:rsidR="00933B65" w:rsidRPr="002154EF" w14:paraId="7A1051C3" w14:textId="77777777" w:rsidTr="006B35CC">
        <w:trPr>
          <w:trHeight w:val="264"/>
        </w:trPr>
        <w:tc>
          <w:tcPr>
            <w:tcW w:w="6574" w:type="dxa"/>
            <w:shd w:val="clear" w:color="auto" w:fill="auto"/>
          </w:tcPr>
          <w:p w14:paraId="0EF7D839" w14:textId="77777777" w:rsidR="00933B65" w:rsidRPr="002154EF" w:rsidRDefault="006B35CC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751D57">
              <w:rPr>
                <w:rFonts w:ascii="Book Antiqua" w:hAnsi="Book Antiqua" w:cs="Arial"/>
                <w:b/>
              </w:rPr>
              <w:t xml:space="preserve">28 June </w:t>
            </w:r>
            <w:r w:rsidR="00511AEF">
              <w:rPr>
                <w:rFonts w:ascii="Book Antiqua" w:hAnsi="Book Antiqua" w:cs="Arial"/>
                <w:b/>
              </w:rPr>
              <w:t xml:space="preserve">and 2 August </w:t>
            </w:r>
            <w:r w:rsidR="00751D57">
              <w:rPr>
                <w:rFonts w:ascii="Book Antiqua" w:hAnsi="Book Antiqua" w:cs="Arial"/>
                <w:b/>
              </w:rPr>
              <w:t>2018</w:t>
            </w:r>
          </w:p>
        </w:tc>
        <w:tc>
          <w:tcPr>
            <w:tcW w:w="4212" w:type="dxa"/>
            <w:shd w:val="clear" w:color="auto" w:fill="auto"/>
          </w:tcPr>
          <w:p w14:paraId="552EA8D8" w14:textId="77777777" w:rsidR="00933B65" w:rsidRPr="002154EF" w:rsidRDefault="006B35CC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10 August 2018</w:t>
            </w:r>
          </w:p>
        </w:tc>
      </w:tr>
      <w:tr w:rsidR="00933B65" w:rsidRPr="002154EF" w14:paraId="20511443" w14:textId="77777777" w:rsidTr="006B35CC">
        <w:trPr>
          <w:trHeight w:val="296"/>
        </w:trPr>
        <w:tc>
          <w:tcPr>
            <w:tcW w:w="6574" w:type="dxa"/>
            <w:shd w:val="clear" w:color="auto" w:fill="auto"/>
          </w:tcPr>
          <w:p w14:paraId="5F1DAA3D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212" w:type="dxa"/>
            <w:shd w:val="clear" w:color="auto" w:fill="auto"/>
          </w:tcPr>
          <w:p w14:paraId="1018BE81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4DD30DD2" w14:textId="77777777" w:rsidR="008464A9" w:rsidRDefault="008464A9" w:rsidP="00933B65">
      <w:pPr>
        <w:jc w:val="center"/>
        <w:rPr>
          <w:rFonts w:ascii="Book Antiqua" w:hAnsi="Book Antiqua" w:cs="Arial"/>
          <w:b/>
        </w:rPr>
      </w:pPr>
    </w:p>
    <w:p w14:paraId="6183070F" w14:textId="07DD3F53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7AB2B78B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35383B52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14:paraId="49487AF3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20416CAB" w14:textId="77777777" w:rsidR="008464A9" w:rsidRDefault="008464A9" w:rsidP="00933B65">
      <w:pPr>
        <w:jc w:val="center"/>
        <w:rPr>
          <w:rFonts w:ascii="Book Antiqua" w:hAnsi="Book Antiqua" w:cs="Arial"/>
          <w:b/>
        </w:rPr>
      </w:pPr>
    </w:p>
    <w:p w14:paraId="7CA1A506" w14:textId="6B5E6B25"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6044D4D5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</w:p>
    <w:p w14:paraId="4BA5E0BF" w14:textId="75D167B8" w:rsidR="00933B65" w:rsidRPr="00F97703" w:rsidRDefault="00614E94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</w:t>
      </w:r>
      <w:r w:rsidR="00751D57">
        <w:rPr>
          <w:rFonts w:ascii="Book Antiqua" w:hAnsi="Book Antiqua" w:cs="Arial"/>
          <w:b/>
        </w:rPr>
        <w:t xml:space="preserve">LAN </w:t>
      </w:r>
      <w:r w:rsidR="00B13E46">
        <w:rPr>
          <w:rFonts w:ascii="Book Antiqua" w:hAnsi="Book Antiqua" w:cs="Arial"/>
          <w:b/>
        </w:rPr>
        <w:t>[</w:t>
      </w:r>
      <w:r w:rsidR="00751D57">
        <w:rPr>
          <w:rFonts w:ascii="Book Antiqua" w:hAnsi="Book Antiqua" w:cs="Arial"/>
          <w:b/>
        </w:rPr>
        <w:t>A</w:t>
      </w:r>
      <w:r w:rsidR="00B13E46">
        <w:rPr>
          <w:rFonts w:ascii="Book Antiqua" w:hAnsi="Book Antiqua" w:cs="Arial"/>
          <w:b/>
        </w:rPr>
        <w:t>]</w:t>
      </w:r>
      <w:bookmarkStart w:id="1" w:name="_GoBack"/>
      <w:bookmarkEnd w:id="1"/>
    </w:p>
    <w:p w14:paraId="35ABD269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14:paraId="1BB3C383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5A60495C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3AEB4748" w14:textId="77777777"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2"/>
    </w:p>
    <w:p w14:paraId="5CDC10ED" w14:textId="77777777"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01824D09" w14:textId="0B77483D" w:rsidR="00933B65" w:rsidRDefault="00933B65" w:rsidP="00933B65">
      <w:pPr>
        <w:rPr>
          <w:rFonts w:ascii="Book Antiqua" w:hAnsi="Book Antiqua" w:cs="Arial"/>
        </w:rPr>
      </w:pPr>
    </w:p>
    <w:p w14:paraId="7A1AF13F" w14:textId="080D2F2C" w:rsidR="008464A9" w:rsidRDefault="008464A9" w:rsidP="00933B65">
      <w:pPr>
        <w:rPr>
          <w:rFonts w:ascii="Book Antiqua" w:hAnsi="Book Antiqua" w:cs="Arial"/>
        </w:rPr>
      </w:pPr>
    </w:p>
    <w:p w14:paraId="7CD75072" w14:textId="2AE1F887" w:rsidR="008464A9" w:rsidRPr="008464A9" w:rsidRDefault="008464A9" w:rsidP="00933B65">
      <w:pPr>
        <w:rPr>
          <w:rFonts w:ascii="Book Antiqua" w:hAnsi="Book Antiqua" w:cs="Arial"/>
          <w:u w:val="single"/>
        </w:rPr>
      </w:pPr>
      <w:r w:rsidRPr="008464A9">
        <w:rPr>
          <w:rFonts w:ascii="Book Antiqua" w:hAnsi="Book Antiqua" w:cs="Arial"/>
          <w:u w:val="single"/>
        </w:rPr>
        <w:t>Representation:</w:t>
      </w:r>
    </w:p>
    <w:p w14:paraId="7ED20C30" w14:textId="60540C06" w:rsidR="00933B65" w:rsidRPr="008464A9" w:rsidRDefault="00933B65" w:rsidP="008464A9">
      <w:pPr>
        <w:tabs>
          <w:tab w:val="left" w:pos="2552"/>
        </w:tabs>
        <w:rPr>
          <w:rFonts w:ascii="Book Antiqua" w:hAnsi="Book Antiqua" w:cs="Arial"/>
          <w:i/>
        </w:rPr>
      </w:pPr>
      <w:r w:rsidRPr="008464A9">
        <w:rPr>
          <w:rFonts w:ascii="Book Antiqua" w:hAnsi="Book Antiqua" w:cs="Arial"/>
          <w:i/>
        </w:rPr>
        <w:t>For the Appellant:</w:t>
      </w:r>
      <w:r w:rsidR="008464A9">
        <w:rPr>
          <w:rFonts w:ascii="Book Antiqua" w:hAnsi="Book Antiqua" w:cs="Arial"/>
          <w:i/>
        </w:rPr>
        <w:tab/>
      </w:r>
      <w:r w:rsidR="00751D57" w:rsidRPr="008464A9">
        <w:rPr>
          <w:rFonts w:ascii="Book Antiqua" w:hAnsi="Book Antiqua" w:cs="Arial"/>
          <w:i/>
        </w:rPr>
        <w:t xml:space="preserve">Mr S Winter, </w:t>
      </w:r>
      <w:r w:rsidR="00EA1328" w:rsidRPr="008464A9">
        <w:rPr>
          <w:rFonts w:ascii="Book Antiqua" w:hAnsi="Book Antiqua" w:cs="Arial"/>
          <w:i/>
        </w:rPr>
        <w:t xml:space="preserve">Advocate, instructed by </w:t>
      </w:r>
      <w:proofErr w:type="spellStart"/>
      <w:r w:rsidR="00786DE4" w:rsidRPr="008464A9">
        <w:rPr>
          <w:rFonts w:ascii="Book Antiqua" w:hAnsi="Book Antiqua" w:cs="Arial"/>
          <w:i/>
        </w:rPr>
        <w:t>Gray</w:t>
      </w:r>
      <w:proofErr w:type="spellEnd"/>
      <w:r w:rsidR="00786DE4" w:rsidRPr="008464A9">
        <w:rPr>
          <w:rFonts w:ascii="Book Antiqua" w:hAnsi="Book Antiqua" w:cs="Arial"/>
          <w:i/>
        </w:rPr>
        <w:t xml:space="preserve"> &amp; Co, </w:t>
      </w:r>
      <w:r w:rsidR="003D7D3D" w:rsidRPr="008464A9">
        <w:rPr>
          <w:rFonts w:ascii="Book Antiqua" w:hAnsi="Book Antiqua" w:cs="Arial"/>
          <w:i/>
        </w:rPr>
        <w:t>Solicitors</w:t>
      </w:r>
    </w:p>
    <w:p w14:paraId="5B2A76F0" w14:textId="300A780B" w:rsidR="00933B65" w:rsidRPr="008464A9" w:rsidRDefault="00933B65" w:rsidP="008464A9">
      <w:pPr>
        <w:ind w:left="2552" w:hanging="2552"/>
        <w:rPr>
          <w:rFonts w:ascii="Book Antiqua" w:hAnsi="Book Antiqua" w:cs="Arial"/>
          <w:i/>
        </w:rPr>
      </w:pPr>
      <w:r w:rsidRPr="008464A9">
        <w:rPr>
          <w:rFonts w:ascii="Book Antiqua" w:hAnsi="Book Antiqua" w:cs="Arial"/>
          <w:i/>
        </w:rPr>
        <w:t>For the Respondent:</w:t>
      </w:r>
      <w:r w:rsidR="008464A9">
        <w:rPr>
          <w:rFonts w:ascii="Book Antiqua" w:hAnsi="Book Antiqua" w:cs="Arial"/>
          <w:i/>
        </w:rPr>
        <w:tab/>
      </w:r>
      <w:r w:rsidR="00511AEF" w:rsidRPr="008464A9">
        <w:rPr>
          <w:rFonts w:ascii="Book Antiqua" w:hAnsi="Book Antiqua" w:cs="Arial"/>
          <w:i/>
        </w:rPr>
        <w:t>on 28 June</w:t>
      </w:r>
      <w:r w:rsidR="00796309" w:rsidRPr="008464A9">
        <w:rPr>
          <w:rFonts w:ascii="Book Antiqua" w:hAnsi="Book Antiqua" w:cs="Arial"/>
          <w:i/>
        </w:rPr>
        <w:t xml:space="preserve">, </w:t>
      </w:r>
      <w:r w:rsidR="00786DE4" w:rsidRPr="008464A9">
        <w:rPr>
          <w:rFonts w:ascii="Book Antiqua" w:hAnsi="Book Antiqua" w:cs="Arial"/>
          <w:i/>
        </w:rPr>
        <w:t xml:space="preserve">Mr A Govan, </w:t>
      </w:r>
      <w:r w:rsidR="00796309" w:rsidRPr="008464A9">
        <w:rPr>
          <w:rFonts w:ascii="Book Antiqua" w:hAnsi="Book Antiqua" w:cs="Arial"/>
          <w:i/>
        </w:rPr>
        <w:t xml:space="preserve">and on 2 August, Mrs M O’Brien, </w:t>
      </w:r>
      <w:r w:rsidR="003D7D3D" w:rsidRPr="008464A9">
        <w:rPr>
          <w:rFonts w:ascii="Book Antiqua" w:hAnsi="Book Antiqua" w:cs="Arial"/>
          <w:i/>
        </w:rPr>
        <w:t>Senior</w:t>
      </w:r>
      <w:r w:rsidRPr="008464A9">
        <w:rPr>
          <w:rFonts w:ascii="Book Antiqua" w:hAnsi="Book Antiqua" w:cs="Arial"/>
          <w:i/>
        </w:rPr>
        <w:t xml:space="preserve"> Home Office</w:t>
      </w:r>
      <w:r w:rsidR="00CA1980" w:rsidRPr="008464A9">
        <w:rPr>
          <w:rFonts w:ascii="Book Antiqua" w:hAnsi="Book Antiqua" w:cs="Arial"/>
          <w:i/>
        </w:rPr>
        <w:t xml:space="preserve"> </w:t>
      </w:r>
      <w:r w:rsidRPr="008464A9">
        <w:rPr>
          <w:rFonts w:ascii="Book Antiqua" w:hAnsi="Book Antiqua" w:cs="Arial"/>
          <w:i/>
        </w:rPr>
        <w:t>Presenting Officer</w:t>
      </w:r>
      <w:r w:rsidR="00796309" w:rsidRPr="008464A9">
        <w:rPr>
          <w:rFonts w:ascii="Book Antiqua" w:hAnsi="Book Antiqua" w:cs="Arial"/>
          <w:i/>
        </w:rPr>
        <w:t>s</w:t>
      </w:r>
    </w:p>
    <w:p w14:paraId="0721B0FA" w14:textId="20E38087"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52C66FA4" w14:textId="77777777" w:rsidR="008464A9" w:rsidRPr="00F97703" w:rsidRDefault="008464A9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328F2DDA" w14:textId="77777777"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</w:t>
      </w:r>
      <w:r w:rsidR="00D16D44">
        <w:rPr>
          <w:rFonts w:ascii="Book Antiqua" w:hAnsi="Book Antiqua" w:cs="Arial"/>
          <w:b/>
          <w:u w:val="single"/>
        </w:rPr>
        <w:t>ETERMINATION</w:t>
      </w:r>
    </w:p>
    <w:p w14:paraId="39DEE587" w14:textId="77777777" w:rsidR="001B24D9" w:rsidRDefault="00007BA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</w:t>
      </w:r>
      <w:r w:rsidR="006C50B6">
        <w:rPr>
          <w:rFonts w:ascii="Book Antiqua" w:hAnsi="Book Antiqua" w:cs="Arial"/>
        </w:rPr>
        <w:t>e appellant appeals against the</w:t>
      </w:r>
      <w:r w:rsidR="00D31D54">
        <w:rPr>
          <w:rFonts w:ascii="Book Antiqua" w:hAnsi="Book Antiqua" w:cs="Arial"/>
        </w:rPr>
        <w:t xml:space="preserve"> decision </w:t>
      </w:r>
      <w:r w:rsidR="006C50B6">
        <w:rPr>
          <w:rFonts w:ascii="Book Antiqua" w:hAnsi="Book Antiqua" w:cs="Arial"/>
        </w:rPr>
        <w:t>of FtT Judge David C Clapham SSC, promulgated o</w:t>
      </w:r>
      <w:r w:rsidR="001F7139">
        <w:rPr>
          <w:rFonts w:ascii="Book Antiqua" w:hAnsi="Book Antiqua" w:cs="Arial"/>
        </w:rPr>
        <w:t>n</w:t>
      </w:r>
      <w:r w:rsidR="006C50B6">
        <w:rPr>
          <w:rFonts w:ascii="Book Antiqua" w:hAnsi="Book Antiqua" w:cs="Arial"/>
        </w:rPr>
        <w:t xml:space="preserve"> 9 August 2017</w:t>
      </w:r>
      <w:r w:rsidR="001B24D9">
        <w:rPr>
          <w:rFonts w:ascii="Book Antiqua" w:hAnsi="Book Antiqua" w:cs="Arial"/>
        </w:rPr>
        <w:t>.</w:t>
      </w:r>
    </w:p>
    <w:p w14:paraId="37184402" w14:textId="77777777" w:rsidR="005043C7" w:rsidRDefault="00AF203E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0DC7AB" wp14:editId="5DB1DA63">
                <wp:simplePos x="0" y="0"/>
                <wp:positionH relativeFrom="column">
                  <wp:posOffset>6969318</wp:posOffset>
                </wp:positionH>
                <wp:positionV relativeFrom="paragraph">
                  <wp:posOffset>31615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2106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8.05pt;margin-top:1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GNFvHzbAAAACQEAAA8AAABkcnMvZG93bnJldi54bWxMj8FOwzAQRO9I/IO1SNyoHRBpEuJUFQLu&#10;tD306MZLHBHbwXbT5O/ZnuA42qfZN/VmtgObMMTeOwnZSgBD13rdu07CYf/+UACLSTmtBu9QwoIR&#10;Ns3tTa0q7S/uE6dd6hiVuFgpCSalseI8tgatiis/oqPblw9WJYqh4zqoC5XbgT8KkXOrekcfjBrx&#10;1WD7vTtbCeFtX5jJfmwz84PdsVgvscsWKe/v5u0LsIRz+oPhqk/q0JDTyZ+djmygLMo8I1bCUw7s&#10;CoiypHUnCfkz8Kbm/xc0vwAAAP//AwBQSwMEFAAGAAgAAAAhACyCMrS4AQAAXQQAABAAAABkcnMv&#10;aW5rL2luazEueG1stJNRT+sgFMffb+J3IPi8Ftq5zcbOJ5eYaGKu3uT6WFtciQUWoOv27T2ljNU4&#10;fdIXAgfOn3N+/Lm63okGbZk2XMkc04hgxGSpKi7XOf73tJosMDK2kFXRKMlyvGcGXy/P/lxx+Saa&#10;DEYECtL0M9HkuLZ2k8Vx13VRl0ZKr+OEkDS+lW/3d3jpsyr2yiW3cKU5hEolLdvZXizjVY5LuyPh&#10;PGg/qlaXLGz3EV0eT1hdlGyltChsUKwLKVmDZCGg7v8Y2f0GJhzuWTONkeDQ8CSJ6HQ+XdxcQqDY&#10;5Xi0bqFEA5UIHJ/WfP4FzdVnzb6sNJnP5hj5kiq27WuKHfPs694ftNowbTk7Yh6g+I09Koe14zOA&#10;0syopu3fBqNt0bSAjBICtvB30/gEkM96wOZH9YDLl3rj4j6i8e2NOXhowVKHp7VcMDC62ASPWQPC&#10;ffjRavcdEkIXEzKbJIsnmmaUZFMSzZJ09BTexQfNF92aOui96KNf3U6gNnTW8crWATqJyEWAPkZ+&#10;KrVmfF3b73J92y45OOfEP3RmQr6Pv+w1x+fuKyKXOQRcIxRR5Fz5wYZBGvgu3wEAAP//AwBQSwEC&#10;LQAUAAYACAAAACEAmzMnNwwBAAAtAgAAEwAAAAAAAAAAAAAAAAAAAAAAW0NvbnRlbnRfVHlwZXNd&#10;LnhtbFBLAQItABQABgAIAAAAIQA4/SH/1gAAAJQBAAALAAAAAAAAAAAAAAAAAD0BAABfcmVscy8u&#10;cmVsc1BLAQItABQABgAIAAAAIQB0EyCVewEAACYDAAAOAAAAAAAAAAAAAAAAADwCAABkcnMvZTJv&#10;RG9jLnhtbFBLAQItABQABgAIAAAAIQB5GLydvwAAACEBAAAZAAAAAAAAAAAAAAAAAOMDAABkcnMv&#10;X3JlbHMvZTJvRG9jLnhtbC5yZWxzUEsBAi0AFAAGAAgAAAAhAGNFvHzbAAAACQEAAA8AAAAAAAAA&#10;AAAAAAAA2QQAAGRycy9kb3ducmV2LnhtbFBLAQItABQABgAIAAAAIQAsgjK0uAEAAF0EAAAQAAAA&#10;AAAAAAAAAAAAAOEFAABkcnMvaW5rL2luazEueG1sUEsFBgAAAAAGAAYAeAEAAMcHAAAAAA==&#10;">
                <v:imagedata r:id="rId10" o:title=""/>
              </v:shape>
            </w:pict>
          </mc:Fallback>
        </mc:AlternateContent>
      </w:r>
      <w:r w:rsidR="00B3399C" w:rsidRPr="001A38E3">
        <w:rPr>
          <w:rFonts w:ascii="Book Antiqua" w:hAnsi="Book Antiqua" w:cs="Arial"/>
        </w:rPr>
        <w:t>The hearing in the FtT was fixed for 19</w:t>
      </w:r>
      <w:r w:rsidR="00D27401" w:rsidRPr="001A38E3">
        <w:rPr>
          <w:rFonts w:ascii="Book Antiqua" w:hAnsi="Book Antiqua" w:cs="Arial"/>
        </w:rPr>
        <w:t xml:space="preserve"> July 2017</w:t>
      </w:r>
      <w:r w:rsidR="00B3399C" w:rsidRPr="001A38E3">
        <w:rPr>
          <w:rFonts w:ascii="Book Antiqua" w:hAnsi="Book Antiqua" w:cs="Arial"/>
        </w:rPr>
        <w:t xml:space="preserve">.  On 18 July, </w:t>
      </w:r>
      <w:r w:rsidR="00D27401" w:rsidRPr="001A38E3">
        <w:rPr>
          <w:rFonts w:ascii="Book Antiqua" w:hAnsi="Book Antiqua" w:cs="Arial"/>
        </w:rPr>
        <w:t>the appellant’s representatives faxed a letter to the FtT</w:t>
      </w:r>
      <w:r w:rsidR="0078498E" w:rsidRPr="001A38E3">
        <w:rPr>
          <w:rFonts w:ascii="Book Antiqua" w:hAnsi="Book Antiqua" w:cs="Arial"/>
        </w:rPr>
        <w:t xml:space="preserve"> seeking an adjournment</w:t>
      </w:r>
      <w:r w:rsidR="0092258F" w:rsidRPr="001A38E3">
        <w:rPr>
          <w:rFonts w:ascii="Book Antiqua" w:hAnsi="Book Antiqua" w:cs="Arial"/>
        </w:rPr>
        <w:t>.  They explained that</w:t>
      </w:r>
      <w:r w:rsidR="002C0552" w:rsidRPr="001A38E3">
        <w:rPr>
          <w:rFonts w:ascii="Book Antiqua" w:hAnsi="Book Antiqua" w:cs="Arial"/>
        </w:rPr>
        <w:t xml:space="preserve"> the appellant </w:t>
      </w:r>
      <w:r w:rsidR="00472F78" w:rsidRPr="001A38E3">
        <w:rPr>
          <w:rFonts w:ascii="Book Antiqua" w:hAnsi="Book Antiqua" w:cs="Arial"/>
        </w:rPr>
        <w:t>had</w:t>
      </w:r>
      <w:r w:rsidR="002C0552" w:rsidRPr="001A38E3">
        <w:rPr>
          <w:rFonts w:ascii="Book Antiqua" w:hAnsi="Book Antiqua" w:cs="Arial"/>
        </w:rPr>
        <w:t xml:space="preserve"> </w:t>
      </w:r>
      <w:r w:rsidR="003614AA" w:rsidRPr="001A38E3">
        <w:rPr>
          <w:rFonts w:ascii="Book Antiqua" w:hAnsi="Book Antiqua" w:cs="Arial"/>
        </w:rPr>
        <w:t xml:space="preserve">called at their offices that day with a package of documents received from Iran, said to be his </w:t>
      </w:r>
      <w:r w:rsidR="003614AA" w:rsidRPr="001A38E3">
        <w:rPr>
          <w:rFonts w:ascii="Book Antiqua" w:hAnsi="Book Antiqua" w:cs="Arial"/>
          <w:i/>
        </w:rPr>
        <w:t>s</w:t>
      </w:r>
      <w:r w:rsidR="00472F78" w:rsidRPr="001A38E3">
        <w:rPr>
          <w:rFonts w:ascii="Book Antiqua" w:hAnsi="Book Antiqua" w:cs="Arial"/>
          <w:i/>
        </w:rPr>
        <w:t>henaznama</w:t>
      </w:r>
      <w:r w:rsidR="009C328B" w:rsidRPr="001A38E3">
        <w:rPr>
          <w:rFonts w:ascii="Book Antiqua" w:hAnsi="Book Antiqua" w:cs="Arial"/>
        </w:rPr>
        <w:t xml:space="preserve"> (</w:t>
      </w:r>
      <w:r w:rsidR="00F117EB" w:rsidRPr="001A38E3">
        <w:rPr>
          <w:rFonts w:ascii="Book Antiqua" w:hAnsi="Book Antiqua" w:cs="Arial"/>
        </w:rPr>
        <w:t xml:space="preserve">an </w:t>
      </w:r>
      <w:r w:rsidR="009C328B" w:rsidRPr="001A38E3">
        <w:rPr>
          <w:rFonts w:ascii="Book Antiqua" w:hAnsi="Book Antiqua" w:cs="Arial"/>
        </w:rPr>
        <w:t>identity document)</w:t>
      </w:r>
      <w:r w:rsidR="004654BB" w:rsidRPr="001A38E3">
        <w:rPr>
          <w:rFonts w:ascii="Book Antiqua" w:hAnsi="Book Antiqua" w:cs="Arial"/>
        </w:rPr>
        <w:t xml:space="preserve">, two court documents and </w:t>
      </w:r>
      <w:r w:rsidR="004654BB" w:rsidRPr="001A38E3">
        <w:rPr>
          <w:rFonts w:ascii="Book Antiqua" w:hAnsi="Book Antiqua" w:cs="Arial"/>
        </w:rPr>
        <w:lastRenderedPageBreak/>
        <w:t>a letter from his uncle</w:t>
      </w:r>
      <w:r w:rsidR="005043C7">
        <w:rPr>
          <w:rFonts w:ascii="Book Antiqua" w:hAnsi="Book Antiqua" w:cs="Arial"/>
        </w:rPr>
        <w:t>; and that c</w:t>
      </w:r>
      <w:r w:rsidR="0092258F" w:rsidRPr="001A38E3">
        <w:rPr>
          <w:rFonts w:ascii="Book Antiqua" w:hAnsi="Book Antiqua" w:cs="Arial"/>
        </w:rPr>
        <w:t xml:space="preserve">ounsel had advised that an </w:t>
      </w:r>
      <w:r w:rsidR="000168B7" w:rsidRPr="001A38E3">
        <w:rPr>
          <w:rFonts w:ascii="Book Antiqua" w:hAnsi="Book Antiqua" w:cs="Arial"/>
        </w:rPr>
        <w:t>adjournment</w:t>
      </w:r>
      <w:r w:rsidR="0092258F" w:rsidRPr="001A38E3">
        <w:rPr>
          <w:rFonts w:ascii="Book Antiqua" w:hAnsi="Book Antiqua" w:cs="Arial"/>
        </w:rPr>
        <w:t xml:space="preserve"> should be </w:t>
      </w:r>
      <w:r w:rsidR="000168B7" w:rsidRPr="001A38E3">
        <w:rPr>
          <w:rFonts w:ascii="Book Antiqua" w:hAnsi="Book Antiqua" w:cs="Arial"/>
        </w:rPr>
        <w:t>sought</w:t>
      </w:r>
      <w:r w:rsidR="00230932">
        <w:rPr>
          <w:rFonts w:ascii="Book Antiqua" w:hAnsi="Book Antiqua" w:cs="Arial"/>
        </w:rPr>
        <w:t>,</w:t>
      </w:r>
      <w:r w:rsidR="0092258F" w:rsidRPr="001A38E3">
        <w:rPr>
          <w:rFonts w:ascii="Book Antiqua" w:hAnsi="Book Antiqua" w:cs="Arial"/>
        </w:rPr>
        <w:t xml:space="preserve"> </w:t>
      </w:r>
      <w:r w:rsidR="00F117EB" w:rsidRPr="001A38E3">
        <w:rPr>
          <w:rFonts w:ascii="Book Antiqua" w:hAnsi="Book Antiqua" w:cs="Arial"/>
        </w:rPr>
        <w:t>to</w:t>
      </w:r>
      <w:r w:rsidR="0092258F" w:rsidRPr="001A38E3">
        <w:rPr>
          <w:rFonts w:ascii="Book Antiqua" w:hAnsi="Book Antiqua" w:cs="Arial"/>
        </w:rPr>
        <w:t xml:space="preserve"> have the documents </w:t>
      </w:r>
      <w:r w:rsidR="000168B7" w:rsidRPr="001A38E3">
        <w:rPr>
          <w:rFonts w:ascii="Book Antiqua" w:hAnsi="Book Antiqua" w:cs="Arial"/>
        </w:rPr>
        <w:t>translated and authenticated.</w:t>
      </w:r>
    </w:p>
    <w:p w14:paraId="38F5E402" w14:textId="77777777" w:rsidR="00D27401" w:rsidRPr="001A38E3" w:rsidRDefault="00DC114B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1A38E3">
        <w:rPr>
          <w:rFonts w:ascii="Book Antiqua" w:hAnsi="Book Antiqua" w:cs="Arial"/>
        </w:rPr>
        <w:t>On the same day, t</w:t>
      </w:r>
      <w:r w:rsidR="00AF203E" w:rsidRPr="001A38E3">
        <w:rPr>
          <w:rFonts w:ascii="Book Antiqua" w:hAnsi="Book Antiqua" w:cs="Arial"/>
        </w:rPr>
        <w:t>he FtT issued</w:t>
      </w:r>
      <w:r w:rsidRPr="001A38E3">
        <w:rPr>
          <w:rFonts w:ascii="Book Antiqua" w:hAnsi="Book Antiqua" w:cs="Arial"/>
        </w:rPr>
        <w:t xml:space="preserve"> a refusal of the application, stating</w:t>
      </w:r>
      <w:r w:rsidR="0047048D" w:rsidRPr="001A38E3">
        <w:rPr>
          <w:rFonts w:ascii="Book Antiqua" w:hAnsi="Book Antiqua" w:cs="Arial"/>
        </w:rPr>
        <w:t>, “There has been adequate time to ensure preparation of this case”.</w:t>
      </w:r>
      <w:r w:rsidR="00472F78" w:rsidRPr="001A38E3">
        <w:rPr>
          <w:rFonts w:ascii="Book Antiqua" w:hAnsi="Book Antiqua" w:cs="Arial"/>
        </w:rPr>
        <w:t xml:space="preserve"> </w:t>
      </w:r>
      <w:r w:rsidR="002C0552" w:rsidRPr="001A38E3">
        <w:rPr>
          <w:rFonts w:ascii="Book Antiqua" w:hAnsi="Book Antiqua" w:cs="Arial"/>
        </w:rPr>
        <w:t xml:space="preserve"> </w:t>
      </w:r>
      <w:r w:rsidR="0078498E" w:rsidRPr="001A38E3">
        <w:rPr>
          <w:rFonts w:ascii="Book Antiqua" w:hAnsi="Book Antiqua" w:cs="Arial"/>
        </w:rPr>
        <w:t xml:space="preserve"> </w:t>
      </w:r>
    </w:p>
    <w:p w14:paraId="4C38EE0D" w14:textId="77777777" w:rsidR="00B775E7" w:rsidRDefault="001F7139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At the outset of the hearing </w:t>
      </w:r>
      <w:r w:rsidR="0047048D">
        <w:rPr>
          <w:rFonts w:ascii="Book Antiqua" w:hAnsi="Book Antiqua" w:cs="Arial"/>
        </w:rPr>
        <w:t>the next day</w:t>
      </w:r>
      <w:r w:rsidR="00863247">
        <w:rPr>
          <w:rFonts w:ascii="Book Antiqua" w:hAnsi="Book Antiqua" w:cs="Arial"/>
        </w:rPr>
        <w:t xml:space="preserve">, Mr Winter renewed the application.  </w:t>
      </w:r>
      <w:r w:rsidR="00E01A58">
        <w:rPr>
          <w:rFonts w:ascii="Book Antiqua" w:hAnsi="Book Antiqua" w:cs="Arial"/>
        </w:rPr>
        <w:t xml:space="preserve">He founded upon the potential importance of the </w:t>
      </w:r>
      <w:r w:rsidR="00D57C56">
        <w:rPr>
          <w:rFonts w:ascii="Book Antiqua" w:hAnsi="Book Antiqua" w:cs="Arial"/>
        </w:rPr>
        <w:t>documents and</w:t>
      </w:r>
      <w:r w:rsidR="00E01A58">
        <w:rPr>
          <w:rFonts w:ascii="Book Antiqua" w:hAnsi="Book Antiqua" w:cs="Arial"/>
        </w:rPr>
        <w:t xml:space="preserve"> advised that legal aid </w:t>
      </w:r>
      <w:r w:rsidR="00B775E7">
        <w:rPr>
          <w:rFonts w:ascii="Book Antiqua" w:hAnsi="Book Antiqua" w:cs="Arial"/>
        </w:rPr>
        <w:t xml:space="preserve">had been obtained for </w:t>
      </w:r>
      <w:r w:rsidR="00791CEE">
        <w:rPr>
          <w:rFonts w:ascii="Book Antiqua" w:hAnsi="Book Antiqua" w:cs="Arial"/>
        </w:rPr>
        <w:t>the appellant’s further purposes</w:t>
      </w:r>
      <w:r w:rsidR="00B775E7">
        <w:rPr>
          <w:rFonts w:ascii="Book Antiqua" w:hAnsi="Book Antiqua" w:cs="Arial"/>
        </w:rPr>
        <w:t>.</w:t>
      </w:r>
    </w:p>
    <w:p w14:paraId="3F1153F2" w14:textId="77777777" w:rsidR="001B24D9" w:rsidRDefault="00863247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</w:t>
      </w:r>
      <w:r w:rsidR="001B24D9">
        <w:rPr>
          <w:rFonts w:ascii="Book Antiqua" w:hAnsi="Book Antiqua" w:cs="Arial"/>
        </w:rPr>
        <w:t xml:space="preserve">t </w:t>
      </w:r>
      <w:r w:rsidR="007052DD">
        <w:rPr>
          <w:rFonts w:ascii="Book Antiqua" w:hAnsi="Book Antiqua" w:cs="Arial"/>
        </w:rPr>
        <w:t xml:space="preserve">paragraph 11 the judge </w:t>
      </w:r>
      <w:r w:rsidR="00A35181">
        <w:rPr>
          <w:rFonts w:ascii="Book Antiqua" w:hAnsi="Book Antiqua" w:cs="Arial"/>
        </w:rPr>
        <w:t>say</w:t>
      </w:r>
      <w:r w:rsidR="007052DD">
        <w:rPr>
          <w:rFonts w:ascii="Book Antiqua" w:hAnsi="Book Antiqua" w:cs="Arial"/>
        </w:rPr>
        <w:t>s that</w:t>
      </w:r>
      <w:r w:rsidR="007B70E5">
        <w:rPr>
          <w:rFonts w:ascii="Book Antiqua" w:hAnsi="Book Antiqua" w:cs="Arial"/>
        </w:rPr>
        <w:t xml:space="preserve"> he</w:t>
      </w:r>
      <w:r w:rsidR="007052DD">
        <w:rPr>
          <w:rFonts w:ascii="Book Antiqua" w:hAnsi="Book Antiqua" w:cs="Arial"/>
        </w:rPr>
        <w:t xml:space="preserve"> </w:t>
      </w:r>
      <w:r w:rsidR="00656BC8">
        <w:rPr>
          <w:rFonts w:ascii="Book Antiqua" w:hAnsi="Book Antiqua" w:cs="Arial"/>
        </w:rPr>
        <w:t>“could not be an appeal court from the senior judge</w:t>
      </w:r>
      <w:r w:rsidR="00C25AF7">
        <w:rPr>
          <w:rFonts w:ascii="Book Antiqua" w:hAnsi="Book Antiqua" w:cs="Arial"/>
        </w:rPr>
        <w:t>” and that his “discretion was fettered”.</w:t>
      </w:r>
      <w:r w:rsidR="00A8478F">
        <w:rPr>
          <w:rFonts w:ascii="Book Antiqua" w:hAnsi="Book Antiqua" w:cs="Arial"/>
        </w:rPr>
        <w:t xml:space="preserve">  As the grounds had been considered by the senior judge not to justify any </w:t>
      </w:r>
      <w:r w:rsidR="00A64F9E">
        <w:rPr>
          <w:rFonts w:ascii="Book Antiqua" w:hAnsi="Book Antiqua" w:cs="Arial"/>
        </w:rPr>
        <w:t>adjournment, he refused the application.</w:t>
      </w:r>
    </w:p>
    <w:p w14:paraId="16CE41FC" w14:textId="77777777" w:rsidR="009E202C" w:rsidRDefault="00B55D7D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D454D3">
        <w:rPr>
          <w:rFonts w:ascii="Book Antiqua" w:hAnsi="Book Antiqua" w:cs="Arial"/>
        </w:rPr>
        <w:t xml:space="preserve">An adjournment which has been refused will generally </w:t>
      </w:r>
      <w:r w:rsidR="00C4626F" w:rsidRPr="00D454D3">
        <w:rPr>
          <w:rFonts w:ascii="Book Antiqua" w:hAnsi="Book Antiqua" w:cs="Arial"/>
        </w:rPr>
        <w:t>not be granted on a renewed application</w:t>
      </w:r>
      <w:r w:rsidR="001516EA">
        <w:rPr>
          <w:rFonts w:ascii="Book Antiqua" w:hAnsi="Book Antiqua" w:cs="Arial"/>
        </w:rPr>
        <w:t>,</w:t>
      </w:r>
      <w:r w:rsidR="00C4626F" w:rsidRPr="00D454D3">
        <w:rPr>
          <w:rFonts w:ascii="Book Antiqua" w:hAnsi="Book Antiqua" w:cs="Arial"/>
        </w:rPr>
        <w:t xml:space="preserve"> </w:t>
      </w:r>
      <w:r w:rsidR="00B8695A" w:rsidRPr="00D454D3">
        <w:rPr>
          <w:rFonts w:ascii="Book Antiqua" w:hAnsi="Book Antiqua" w:cs="Arial"/>
        </w:rPr>
        <w:t>absent</w:t>
      </w:r>
      <w:r w:rsidR="00C4626F" w:rsidRPr="00D454D3">
        <w:rPr>
          <w:rFonts w:ascii="Book Antiqua" w:hAnsi="Book Antiqua" w:cs="Arial"/>
        </w:rPr>
        <w:t xml:space="preserve"> any change of circumstances</w:t>
      </w:r>
      <w:r w:rsidR="00B8695A" w:rsidRPr="00D454D3">
        <w:rPr>
          <w:rFonts w:ascii="Book Antiqua" w:hAnsi="Book Antiqua" w:cs="Arial"/>
        </w:rPr>
        <w:t>,</w:t>
      </w:r>
      <w:r w:rsidR="001E1C90" w:rsidRPr="00D454D3">
        <w:rPr>
          <w:rFonts w:ascii="Book Antiqua" w:hAnsi="Book Antiqua" w:cs="Arial"/>
        </w:rPr>
        <w:t xml:space="preserve"> and tribunals will not waste much time in disposing of </w:t>
      </w:r>
      <w:r w:rsidR="00FB16FC">
        <w:rPr>
          <w:rFonts w:ascii="Book Antiqua" w:hAnsi="Book Antiqua" w:cs="Arial"/>
        </w:rPr>
        <w:t xml:space="preserve">such </w:t>
      </w:r>
      <w:r w:rsidR="001E1C90" w:rsidRPr="00D454D3">
        <w:rPr>
          <w:rFonts w:ascii="Book Antiqua" w:hAnsi="Book Antiqua" w:cs="Arial"/>
        </w:rPr>
        <w:t>applications</w:t>
      </w:r>
      <w:r w:rsidR="00C4626F" w:rsidRPr="00D454D3">
        <w:rPr>
          <w:rFonts w:ascii="Book Antiqua" w:hAnsi="Book Antiqua" w:cs="Arial"/>
        </w:rPr>
        <w:t xml:space="preserve">.  However, </w:t>
      </w:r>
      <w:r w:rsidR="00B8695A" w:rsidRPr="00D454D3">
        <w:rPr>
          <w:rFonts w:ascii="Book Antiqua" w:hAnsi="Book Antiqua" w:cs="Arial"/>
        </w:rPr>
        <w:t>applications are to be considered on their own merits and not on the basis that the exercise of discretion has been fettered.</w:t>
      </w:r>
    </w:p>
    <w:p w14:paraId="01C61693" w14:textId="77777777" w:rsidR="001A63BB" w:rsidRPr="00EF2CBB" w:rsidRDefault="00AD072D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EF2CBB">
        <w:rPr>
          <w:rFonts w:ascii="Book Antiqua" w:hAnsi="Book Antiqua" w:cs="Arial"/>
        </w:rPr>
        <w:t xml:space="preserve">The grounds of application were </w:t>
      </w:r>
      <w:r w:rsidR="00F514DD" w:rsidRPr="00EF2CBB">
        <w:rPr>
          <w:rFonts w:ascii="Book Antiqua" w:hAnsi="Book Antiqua" w:cs="Arial"/>
        </w:rPr>
        <w:t xml:space="preserve">advanced </w:t>
      </w:r>
      <w:r w:rsidR="00527296" w:rsidRPr="00EF2CBB">
        <w:rPr>
          <w:rFonts w:ascii="Book Antiqua" w:hAnsi="Book Antiqua" w:cs="Arial"/>
        </w:rPr>
        <w:t xml:space="preserve">at the hearing </w:t>
      </w:r>
      <w:r w:rsidR="00F514DD" w:rsidRPr="00EF2CBB">
        <w:rPr>
          <w:rFonts w:ascii="Book Antiqua" w:hAnsi="Book Antiqua" w:cs="Arial"/>
        </w:rPr>
        <w:t>in greater detail and placed in the context of the lengthy case history.</w:t>
      </w:r>
      <w:r w:rsidR="00EF2CBB">
        <w:rPr>
          <w:rFonts w:ascii="Book Antiqua" w:hAnsi="Book Antiqua" w:cs="Arial"/>
        </w:rPr>
        <w:t xml:space="preserve">  </w:t>
      </w:r>
      <w:r w:rsidR="00F514DD" w:rsidRPr="00EF2CBB">
        <w:rPr>
          <w:rFonts w:ascii="Book Antiqua" w:hAnsi="Book Antiqua" w:cs="Arial"/>
        </w:rPr>
        <w:t>The documents went to long-standing issues.</w:t>
      </w:r>
    </w:p>
    <w:p w14:paraId="275CB775" w14:textId="77777777" w:rsidR="00D5303A" w:rsidRDefault="00F514DD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D454D3">
        <w:rPr>
          <w:rFonts w:ascii="Book Antiqua" w:hAnsi="Book Antiqua" w:cs="Arial"/>
        </w:rPr>
        <w:t>Parties obviously may often expect a sceptical attitude to be taken to last-minute productions</w:t>
      </w:r>
      <w:r w:rsidR="00D5303A">
        <w:rPr>
          <w:rFonts w:ascii="Book Antiqua" w:hAnsi="Book Antiqua" w:cs="Arial"/>
        </w:rPr>
        <w:t>; but while</w:t>
      </w:r>
      <w:r w:rsidR="00887432" w:rsidRPr="00D454D3">
        <w:rPr>
          <w:rFonts w:ascii="Book Antiqua" w:hAnsi="Book Antiqua" w:cs="Arial"/>
        </w:rPr>
        <w:t xml:space="preserve"> this does not excuse lateness, </w:t>
      </w:r>
      <w:r w:rsidR="00D5303A">
        <w:rPr>
          <w:rFonts w:ascii="Book Antiqua" w:hAnsi="Book Antiqua" w:cs="Arial"/>
        </w:rPr>
        <w:t xml:space="preserve">or justify adjournment, </w:t>
      </w:r>
      <w:r w:rsidR="00887432" w:rsidRPr="00D454D3">
        <w:rPr>
          <w:rFonts w:ascii="Book Antiqua" w:hAnsi="Book Antiqua" w:cs="Arial"/>
        </w:rPr>
        <w:t xml:space="preserve">any failure to take advantage of time to prepare was the responsibility of the appellant not </w:t>
      </w:r>
      <w:r w:rsidR="009B7E19">
        <w:rPr>
          <w:rFonts w:ascii="Book Antiqua" w:hAnsi="Book Antiqua" w:cs="Arial"/>
        </w:rPr>
        <w:t xml:space="preserve">of </w:t>
      </w:r>
      <w:r w:rsidR="008C2DC6" w:rsidRPr="00D454D3">
        <w:rPr>
          <w:rFonts w:ascii="Book Antiqua" w:hAnsi="Book Antiqua" w:cs="Arial"/>
        </w:rPr>
        <w:t>representatives</w:t>
      </w:r>
      <w:r w:rsidR="000D6720">
        <w:rPr>
          <w:rFonts w:ascii="Book Antiqua" w:hAnsi="Book Antiqua" w:cs="Arial"/>
        </w:rPr>
        <w:t xml:space="preserve">.  </w:t>
      </w:r>
      <w:r w:rsidR="00203738">
        <w:rPr>
          <w:rFonts w:ascii="Book Antiqua" w:hAnsi="Book Antiqua" w:cs="Arial"/>
        </w:rPr>
        <w:t xml:space="preserve"> (</w:t>
      </w:r>
      <w:r w:rsidR="000D6720">
        <w:rPr>
          <w:rFonts w:ascii="Book Antiqua" w:hAnsi="Book Antiqua" w:cs="Arial"/>
        </w:rPr>
        <w:t>The appellant</w:t>
      </w:r>
      <w:r w:rsidR="00D5303A">
        <w:rPr>
          <w:rFonts w:ascii="Book Antiqua" w:hAnsi="Book Antiqua" w:cs="Arial"/>
        </w:rPr>
        <w:t xml:space="preserve"> advanced his explanation in oral evidence</w:t>
      </w:r>
      <w:r w:rsidR="00203738">
        <w:rPr>
          <w:rFonts w:ascii="Book Antiqua" w:hAnsi="Book Antiqua" w:cs="Arial"/>
        </w:rPr>
        <w:t xml:space="preserve"> when the hearing proceeded.)</w:t>
      </w:r>
    </w:p>
    <w:p w14:paraId="2AF6C3DF" w14:textId="77777777" w:rsidR="009803E4" w:rsidRDefault="008C2DC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D454D3">
        <w:rPr>
          <w:rFonts w:ascii="Book Antiqua" w:hAnsi="Book Antiqua" w:cs="Arial"/>
        </w:rPr>
        <w:t xml:space="preserve">Judge Clapham </w:t>
      </w:r>
      <w:r w:rsidR="00D454D3">
        <w:rPr>
          <w:rFonts w:ascii="Book Antiqua" w:hAnsi="Book Antiqua" w:cs="Arial"/>
        </w:rPr>
        <w:t xml:space="preserve">took </w:t>
      </w:r>
      <w:r w:rsidR="00D20B8C">
        <w:rPr>
          <w:rFonts w:ascii="Book Antiqua" w:hAnsi="Book Antiqua" w:cs="Arial"/>
        </w:rPr>
        <w:t>too</w:t>
      </w:r>
      <w:r w:rsidRPr="00D454D3">
        <w:rPr>
          <w:rFonts w:ascii="Book Antiqua" w:hAnsi="Book Antiqua" w:cs="Arial"/>
        </w:rPr>
        <w:t xml:space="preserve"> narrow </w:t>
      </w:r>
      <w:r w:rsidR="00D20B8C">
        <w:rPr>
          <w:rFonts w:ascii="Book Antiqua" w:hAnsi="Book Antiqua" w:cs="Arial"/>
        </w:rPr>
        <w:t xml:space="preserve">a </w:t>
      </w:r>
      <w:r w:rsidRPr="00D454D3">
        <w:rPr>
          <w:rFonts w:ascii="Book Antiqua" w:hAnsi="Book Antiqua" w:cs="Arial"/>
        </w:rPr>
        <w:t>view</w:t>
      </w:r>
      <w:r w:rsidR="009067C1">
        <w:rPr>
          <w:rFonts w:ascii="Book Antiqua" w:hAnsi="Book Antiqua" w:cs="Arial"/>
        </w:rPr>
        <w:t>.  The</w:t>
      </w:r>
      <w:r w:rsidR="00F8575A" w:rsidRPr="00D454D3">
        <w:rPr>
          <w:rFonts w:ascii="Book Antiqua" w:hAnsi="Book Antiqua" w:cs="Arial"/>
        </w:rPr>
        <w:t xml:space="preserve"> decision of the previous day </w:t>
      </w:r>
      <w:r w:rsidR="00CA6393">
        <w:rPr>
          <w:rFonts w:ascii="Book Antiqua" w:hAnsi="Book Antiqua" w:cs="Arial"/>
        </w:rPr>
        <w:t>should have carried significant weight</w:t>
      </w:r>
      <w:r w:rsidR="002F4D20">
        <w:rPr>
          <w:rFonts w:ascii="Book Antiqua" w:hAnsi="Book Antiqua" w:cs="Arial"/>
        </w:rPr>
        <w:t xml:space="preserve">, but </w:t>
      </w:r>
      <w:r w:rsidR="009067C1">
        <w:rPr>
          <w:rFonts w:ascii="Book Antiqua" w:hAnsi="Book Antiqua" w:cs="Arial"/>
        </w:rPr>
        <w:t>it should not have been treated as binding</w:t>
      </w:r>
      <w:r w:rsidR="002F4D20">
        <w:rPr>
          <w:rFonts w:ascii="Book Antiqua" w:hAnsi="Book Antiqua" w:cs="Arial"/>
        </w:rPr>
        <w:t>.</w:t>
      </w:r>
    </w:p>
    <w:p w14:paraId="57C50D9D" w14:textId="77777777" w:rsidR="00700966" w:rsidRDefault="00F70D3E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After the oral evidence had been </w:t>
      </w:r>
      <w:r w:rsidR="00814EA4">
        <w:rPr>
          <w:rFonts w:ascii="Book Antiqua" w:hAnsi="Book Antiqua" w:cs="Arial"/>
        </w:rPr>
        <w:t>le</w:t>
      </w:r>
      <w:r>
        <w:rPr>
          <w:rFonts w:ascii="Book Antiqua" w:hAnsi="Book Antiqua" w:cs="Arial"/>
        </w:rPr>
        <w:t>d</w:t>
      </w:r>
      <w:r w:rsidR="008B4D64">
        <w:rPr>
          <w:rFonts w:ascii="Book Antiqua" w:hAnsi="Book Antiqua" w:cs="Arial"/>
        </w:rPr>
        <w:t xml:space="preserve">, in course of submissions, Mr Winter </w:t>
      </w:r>
      <w:r w:rsidR="00250E1E">
        <w:rPr>
          <w:rFonts w:ascii="Book Antiqua" w:hAnsi="Book Antiqua" w:cs="Arial"/>
        </w:rPr>
        <w:t>sought</w:t>
      </w:r>
      <w:r w:rsidR="008B4D64">
        <w:rPr>
          <w:rFonts w:ascii="Book Antiqua" w:hAnsi="Book Antiqua" w:cs="Arial"/>
        </w:rPr>
        <w:t xml:space="preserve"> an </w:t>
      </w:r>
      <w:r w:rsidR="00250E1E">
        <w:rPr>
          <w:rFonts w:ascii="Book Antiqua" w:hAnsi="Book Antiqua" w:cs="Arial"/>
        </w:rPr>
        <w:t>adjournment</w:t>
      </w:r>
      <w:r w:rsidR="008B4D64">
        <w:rPr>
          <w:rFonts w:ascii="Book Antiqua" w:hAnsi="Book Antiqua" w:cs="Arial"/>
        </w:rPr>
        <w:t xml:space="preserve"> on a “part heard</w:t>
      </w:r>
      <w:r w:rsidR="00250E1E">
        <w:rPr>
          <w:rFonts w:ascii="Book Antiqua" w:hAnsi="Book Antiqua" w:cs="Arial"/>
        </w:rPr>
        <w:t>” basis</w:t>
      </w:r>
      <w:r w:rsidR="00814EA4">
        <w:rPr>
          <w:rFonts w:ascii="Book Antiqua" w:hAnsi="Book Antiqua" w:cs="Arial"/>
        </w:rPr>
        <w:t xml:space="preserve"> for </w:t>
      </w:r>
      <w:r w:rsidR="004C5D7D">
        <w:rPr>
          <w:rFonts w:ascii="Book Antiqua" w:hAnsi="Book Antiqua" w:cs="Arial"/>
        </w:rPr>
        <w:t>translation and authentication</w:t>
      </w:r>
      <w:r w:rsidR="00207D9A">
        <w:rPr>
          <w:rFonts w:ascii="Book Antiqua" w:hAnsi="Book Antiqua" w:cs="Arial"/>
        </w:rPr>
        <w:t xml:space="preserve"> of the documents</w:t>
      </w:r>
      <w:r w:rsidR="00187797">
        <w:rPr>
          <w:rFonts w:ascii="Book Antiqua" w:hAnsi="Book Antiqua" w:cs="Arial"/>
        </w:rPr>
        <w:t>.  Th</w:t>
      </w:r>
      <w:r w:rsidR="005D3D6B">
        <w:rPr>
          <w:rFonts w:ascii="Book Antiqua" w:hAnsi="Book Antiqua" w:cs="Arial"/>
        </w:rPr>
        <w:t>ere is no record in the decision of th</w:t>
      </w:r>
      <w:r w:rsidR="00187797">
        <w:rPr>
          <w:rFonts w:ascii="Book Antiqua" w:hAnsi="Book Antiqua" w:cs="Arial"/>
        </w:rPr>
        <w:t xml:space="preserve">at application </w:t>
      </w:r>
      <w:r w:rsidR="005D3D6B">
        <w:rPr>
          <w:rFonts w:ascii="Book Antiqua" w:hAnsi="Book Antiqua" w:cs="Arial"/>
        </w:rPr>
        <w:t>and no explanation of</w:t>
      </w:r>
      <w:r w:rsidR="00E32C7D">
        <w:rPr>
          <w:rFonts w:ascii="Book Antiqua" w:hAnsi="Book Antiqua" w:cs="Arial"/>
        </w:rPr>
        <w:t xml:space="preserve"> why that course was not adopted</w:t>
      </w:r>
      <w:r w:rsidR="00187797">
        <w:rPr>
          <w:rFonts w:ascii="Book Antiqua" w:hAnsi="Book Antiqua" w:cs="Arial"/>
        </w:rPr>
        <w:t>.</w:t>
      </w:r>
    </w:p>
    <w:p w14:paraId="3DA82471" w14:textId="77777777" w:rsidR="00261676" w:rsidRDefault="0070096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respondent was not represented in the FtT.  Mr Govan acknowledged that if there had been a presenting officer, </w:t>
      </w:r>
      <w:r w:rsidR="005D710B">
        <w:rPr>
          <w:rFonts w:ascii="Book Antiqua" w:hAnsi="Book Antiqua" w:cs="Arial"/>
        </w:rPr>
        <w:t>the</w:t>
      </w:r>
      <w:r w:rsidR="00827417">
        <w:rPr>
          <w:rFonts w:ascii="Book Antiqua" w:hAnsi="Book Antiqua" w:cs="Arial"/>
        </w:rPr>
        <w:t xml:space="preserve"> respondent might </w:t>
      </w:r>
      <w:r w:rsidR="00C92E96">
        <w:rPr>
          <w:rFonts w:ascii="Book Antiqua" w:hAnsi="Book Antiqua" w:cs="Arial"/>
        </w:rPr>
        <w:t xml:space="preserve">reasonably </w:t>
      </w:r>
      <w:r w:rsidR="00827417">
        <w:rPr>
          <w:rFonts w:ascii="Book Antiqua" w:hAnsi="Book Antiqua" w:cs="Arial"/>
        </w:rPr>
        <w:t>have acquiesced</w:t>
      </w:r>
      <w:r w:rsidR="00973C47">
        <w:rPr>
          <w:rFonts w:ascii="Book Antiqua" w:hAnsi="Book Antiqua" w:cs="Arial"/>
        </w:rPr>
        <w:t xml:space="preserve"> in postponing the final resolution.</w:t>
      </w:r>
    </w:p>
    <w:p w14:paraId="768AC5CF" w14:textId="77777777" w:rsidR="00321C6F" w:rsidRPr="0025250C" w:rsidRDefault="00F51180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I</w:t>
      </w:r>
      <w:r w:rsidR="00954866" w:rsidRPr="00954866">
        <w:rPr>
          <w:rFonts w:ascii="Book Antiqua" w:hAnsi="Book Antiqua" w:cs="Arial"/>
        </w:rPr>
        <w:t>t</w:t>
      </w:r>
      <w:r w:rsidR="00261676" w:rsidRPr="00954866">
        <w:rPr>
          <w:rFonts w:ascii="Book Antiqua" w:hAnsi="Book Antiqua" w:cs="Arial"/>
        </w:rPr>
        <w:t xml:space="preserve"> </w:t>
      </w:r>
      <w:r w:rsidR="00EE14C2">
        <w:rPr>
          <w:rFonts w:ascii="Book Antiqua" w:hAnsi="Book Antiqua" w:cs="Arial"/>
        </w:rPr>
        <w:t>was</w:t>
      </w:r>
      <w:r w:rsidR="00261676" w:rsidRPr="00954866">
        <w:rPr>
          <w:rFonts w:ascii="Book Antiqua" w:hAnsi="Book Antiqua" w:cs="Arial"/>
        </w:rPr>
        <w:t xml:space="preserve"> an error of law to </w:t>
      </w:r>
      <w:r w:rsidR="00954866" w:rsidRPr="00954866">
        <w:rPr>
          <w:rFonts w:ascii="Book Antiqua" w:hAnsi="Book Antiqua" w:cs="Arial"/>
        </w:rPr>
        <w:t>reach a final disposal</w:t>
      </w:r>
      <w:r w:rsidR="00056CE3" w:rsidRPr="00954866">
        <w:rPr>
          <w:rFonts w:ascii="Book Antiqua" w:hAnsi="Book Antiqua" w:cs="Arial"/>
        </w:rPr>
        <w:t xml:space="preserve"> without giving </w:t>
      </w:r>
      <w:r w:rsidR="009D4B48">
        <w:rPr>
          <w:rFonts w:ascii="Book Antiqua" w:hAnsi="Book Antiqua" w:cs="Arial"/>
        </w:rPr>
        <w:t xml:space="preserve">both </w:t>
      </w:r>
      <w:r w:rsidR="00056CE3" w:rsidRPr="00954866">
        <w:rPr>
          <w:rFonts w:ascii="Book Antiqua" w:hAnsi="Book Antiqua" w:cs="Arial"/>
        </w:rPr>
        <w:t xml:space="preserve">parties the opportunity to translate </w:t>
      </w:r>
      <w:r w:rsidR="00C93DDD" w:rsidRPr="00954866">
        <w:rPr>
          <w:rFonts w:ascii="Book Antiqua" w:hAnsi="Book Antiqua" w:cs="Arial"/>
        </w:rPr>
        <w:t xml:space="preserve">the documents </w:t>
      </w:r>
      <w:r w:rsidR="00056CE3" w:rsidRPr="00954866">
        <w:rPr>
          <w:rFonts w:ascii="Book Antiqua" w:hAnsi="Book Antiqua" w:cs="Arial"/>
        </w:rPr>
        <w:t xml:space="preserve">and </w:t>
      </w:r>
      <w:r w:rsidR="00C93DDD" w:rsidRPr="00954866">
        <w:rPr>
          <w:rFonts w:ascii="Book Antiqua" w:hAnsi="Book Antiqua" w:cs="Arial"/>
        </w:rPr>
        <w:t xml:space="preserve">(so far as that </w:t>
      </w:r>
      <w:r w:rsidR="00706F27">
        <w:rPr>
          <w:rFonts w:ascii="Book Antiqua" w:hAnsi="Book Antiqua" w:cs="Arial"/>
        </w:rPr>
        <w:t>m</w:t>
      </w:r>
      <w:r w:rsidR="009D4B48">
        <w:rPr>
          <w:rFonts w:ascii="Book Antiqua" w:hAnsi="Book Antiqua" w:cs="Arial"/>
        </w:rPr>
        <w:t>ight</w:t>
      </w:r>
      <w:r w:rsidR="00706F27">
        <w:rPr>
          <w:rFonts w:ascii="Book Antiqua" w:hAnsi="Book Antiqua" w:cs="Arial"/>
        </w:rPr>
        <w:t xml:space="preserve"> be </w:t>
      </w:r>
      <w:r w:rsidR="00C93DDD" w:rsidRPr="00954866">
        <w:rPr>
          <w:rFonts w:ascii="Book Antiqua" w:hAnsi="Book Antiqua" w:cs="Arial"/>
        </w:rPr>
        <w:t>possible for either party) to authenticate them</w:t>
      </w:r>
      <w:r w:rsidR="00C447B6" w:rsidRPr="00954866">
        <w:rPr>
          <w:rFonts w:ascii="Book Antiqua" w:hAnsi="Book Antiqua" w:cs="Arial"/>
        </w:rPr>
        <w:t>.</w:t>
      </w:r>
      <w:r w:rsidR="0025250C">
        <w:rPr>
          <w:rFonts w:ascii="Book Antiqua" w:hAnsi="Book Antiqua" w:cs="Arial"/>
        </w:rPr>
        <w:t xml:space="preserve">  </w:t>
      </w:r>
    </w:p>
    <w:p w14:paraId="44D39055" w14:textId="77777777" w:rsidR="00706F27" w:rsidRDefault="00927E6D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original documents, as received by the appellant’s solicitors</w:t>
      </w:r>
      <w:r w:rsidR="001F2493">
        <w:rPr>
          <w:rFonts w:ascii="Book Antiqua" w:hAnsi="Book Antiqua"/>
        </w:rPr>
        <w:t xml:space="preserve">, were passed at the hearing </w:t>
      </w:r>
      <w:r w:rsidR="009D4B48">
        <w:rPr>
          <w:rFonts w:ascii="Book Antiqua" w:hAnsi="Book Antiqua"/>
        </w:rPr>
        <w:t xml:space="preserve">on </w:t>
      </w:r>
      <w:r w:rsidR="00D4513A">
        <w:rPr>
          <w:rFonts w:ascii="Book Antiqua" w:hAnsi="Book Antiqua"/>
        </w:rPr>
        <w:t xml:space="preserve">28 June 2018 </w:t>
      </w:r>
      <w:r w:rsidR="001F2493">
        <w:rPr>
          <w:rFonts w:ascii="Book Antiqua" w:hAnsi="Book Antiqua"/>
        </w:rPr>
        <w:t xml:space="preserve">to </w:t>
      </w:r>
      <w:r w:rsidR="00F53DC1">
        <w:rPr>
          <w:rFonts w:ascii="Book Antiqua" w:hAnsi="Book Antiqua"/>
        </w:rPr>
        <w:t>the respondent.</w:t>
      </w:r>
    </w:p>
    <w:p w14:paraId="0354E9B8" w14:textId="77777777" w:rsidR="0025250C" w:rsidRDefault="00F53DC1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Copies of the documents and </w:t>
      </w:r>
      <w:r w:rsidR="00706F27">
        <w:rPr>
          <w:rFonts w:ascii="Book Antiqua" w:hAnsi="Book Antiqua"/>
        </w:rPr>
        <w:t xml:space="preserve">of </w:t>
      </w:r>
      <w:r>
        <w:rPr>
          <w:rFonts w:ascii="Book Antiqua" w:hAnsi="Book Antiqua"/>
        </w:rPr>
        <w:t>the translations obtained</w:t>
      </w:r>
      <w:r w:rsidR="007A468A">
        <w:rPr>
          <w:rFonts w:ascii="Book Antiqua" w:hAnsi="Book Antiqua"/>
        </w:rPr>
        <w:t xml:space="preserve"> by the appellant are in the inventory thereof filed with the UT, items 1 – 4.</w:t>
      </w:r>
    </w:p>
    <w:p w14:paraId="6B96ED57" w14:textId="77777777" w:rsidR="00C64017" w:rsidRDefault="00C64017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There is now also on the file</w:t>
      </w:r>
      <w:r w:rsidR="00F30FAB">
        <w:rPr>
          <w:rFonts w:ascii="Book Antiqua" w:hAnsi="Book Antiqua"/>
        </w:rPr>
        <w:t xml:space="preserve"> the respondent’s “document verification report”, under cover </w:t>
      </w:r>
      <w:r w:rsidR="00761B4A">
        <w:rPr>
          <w:rFonts w:ascii="Book Antiqua" w:hAnsi="Book Antiqua"/>
        </w:rPr>
        <w:t xml:space="preserve">of a fax from the respondent </w:t>
      </w:r>
      <w:r w:rsidR="00960585">
        <w:rPr>
          <w:rFonts w:ascii="Book Antiqua" w:hAnsi="Book Antiqua"/>
        </w:rPr>
        <w:t>transmitted on 20 July 2018.</w:t>
      </w:r>
    </w:p>
    <w:p w14:paraId="181C16F9" w14:textId="77777777" w:rsidR="00EF1D7A" w:rsidRDefault="00EF1D7A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unfortunate that a case with such a history </w:t>
      </w:r>
      <w:r w:rsidR="00D57C56">
        <w:rPr>
          <w:rFonts w:ascii="Book Antiqua" w:hAnsi="Book Antiqua"/>
        </w:rPr>
        <w:t>must</w:t>
      </w:r>
      <w:r w:rsidR="00515173">
        <w:rPr>
          <w:rFonts w:ascii="Book Antiqua" w:hAnsi="Book Antiqua"/>
        </w:rPr>
        <w:t xml:space="preserve"> be remitted again</w:t>
      </w:r>
      <w:r w:rsidR="00402981">
        <w:rPr>
          <w:rFonts w:ascii="Book Antiqua" w:hAnsi="Book Antiqua"/>
        </w:rPr>
        <w:t xml:space="preserve"> for a fresh hearing</w:t>
      </w:r>
      <w:r w:rsidR="00515173">
        <w:rPr>
          <w:rFonts w:ascii="Book Antiqua" w:hAnsi="Book Antiqua"/>
        </w:rPr>
        <w:t xml:space="preserve">, </w:t>
      </w:r>
      <w:r w:rsidR="00240789">
        <w:rPr>
          <w:rFonts w:ascii="Book Antiqua" w:hAnsi="Book Antiqua"/>
        </w:rPr>
        <w:t>but as agreed by parties at the resumed hearing on 2 August 2018, under section 12 of the 2002 Act and Practice Statement 7.2</w:t>
      </w:r>
      <w:r w:rsidR="00247C4E">
        <w:rPr>
          <w:rFonts w:ascii="Book Antiqua" w:hAnsi="Book Antiqua"/>
        </w:rPr>
        <w:t>, t</w:t>
      </w:r>
      <w:r w:rsidR="00402981">
        <w:rPr>
          <w:rFonts w:ascii="Book Antiqua" w:hAnsi="Book Antiqua"/>
        </w:rPr>
        <w:t>h</w:t>
      </w:r>
      <w:r w:rsidR="00247C4E">
        <w:rPr>
          <w:rFonts w:ascii="Book Antiqua" w:hAnsi="Book Antiqua"/>
        </w:rPr>
        <w:t>at is the appropriate course</w:t>
      </w:r>
      <w:r w:rsidR="00E46E43">
        <w:rPr>
          <w:rFonts w:ascii="Book Antiqua" w:hAnsi="Book Antiqua"/>
        </w:rPr>
        <w:t>.</w:t>
      </w:r>
      <w:r w:rsidR="00240789">
        <w:rPr>
          <w:rFonts w:ascii="Book Antiqua" w:hAnsi="Book Antiqua"/>
        </w:rPr>
        <w:t xml:space="preserve">  </w:t>
      </w:r>
    </w:p>
    <w:p w14:paraId="08AA1C50" w14:textId="77777777" w:rsidR="00612060" w:rsidRDefault="00612060" w:rsidP="00612060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FtT is </w:t>
      </w:r>
      <w:r w:rsidRPr="0023596F">
        <w:rPr>
          <w:rFonts w:ascii="Book Antiqua" w:hAnsi="Book Antiqua" w:cs="Arial"/>
          <w:b/>
        </w:rPr>
        <w:t>set aside</w:t>
      </w:r>
      <w:r>
        <w:rPr>
          <w:rFonts w:ascii="Book Antiqua" w:hAnsi="Book Antiqua" w:cs="Arial"/>
        </w:rPr>
        <w:t>. It stands only as a record of what was said at the hearing.</w:t>
      </w:r>
    </w:p>
    <w:p w14:paraId="010CD1FA" w14:textId="77777777" w:rsidR="00612060" w:rsidRPr="00321C6F" w:rsidRDefault="00612060" w:rsidP="00612060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member(s) of the FtT chosen to consider the case are not to include </w:t>
      </w:r>
      <w:r w:rsidR="00056AD7">
        <w:rPr>
          <w:rFonts w:ascii="Book Antiqua" w:hAnsi="Book Antiqua" w:cs="Arial"/>
        </w:rPr>
        <w:t xml:space="preserve">any </w:t>
      </w:r>
      <w:r>
        <w:rPr>
          <w:rFonts w:ascii="Book Antiqua" w:hAnsi="Book Antiqua" w:cs="Arial"/>
        </w:rPr>
        <w:t>Judge</w:t>
      </w:r>
      <w:r w:rsidR="00056AD7">
        <w:rPr>
          <w:rFonts w:ascii="Book Antiqua" w:hAnsi="Book Antiqua" w:cs="Arial"/>
        </w:rPr>
        <w:t xml:space="preserve"> who has previously been involved in these proceedings (which includes Judge Wood, Judge Montgomery, and Judge Clapham).</w:t>
      </w:r>
    </w:p>
    <w:p w14:paraId="63E01E0A" w14:textId="77777777" w:rsidR="00321C6F" w:rsidRPr="00A56832" w:rsidRDefault="00321C6F" w:rsidP="00E6769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No</w:t>
      </w:r>
      <w:r>
        <w:rPr>
          <w:rFonts w:ascii="Book Antiqua" w:hAnsi="Book Antiqua"/>
        </w:rPr>
        <w:t xml:space="preserve"> anonymity direction has been requested or made.  </w:t>
      </w:r>
    </w:p>
    <w:p w14:paraId="27ED44A5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546F392B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0B13FE0E" wp14:editId="19061CC1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0E8C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3FC7E83A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7324CAF7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E6769F">
        <w:rPr>
          <w:rFonts w:ascii="Book Antiqua" w:hAnsi="Book Antiqua" w:cs="Arial"/>
        </w:rPr>
        <w:t>2</w:t>
      </w:r>
      <w:r w:rsidR="008D1EDC">
        <w:rPr>
          <w:rFonts w:ascii="Book Antiqua" w:hAnsi="Book Antiqua" w:cs="Arial"/>
        </w:rPr>
        <w:t xml:space="preserve"> August</w:t>
      </w:r>
      <w:r w:rsidR="00E6769F">
        <w:rPr>
          <w:rFonts w:ascii="Book Antiqua" w:hAnsi="Book Antiqua" w:cs="Arial"/>
        </w:rPr>
        <w:t xml:space="preserve">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14:paraId="658B5406" w14:textId="77777777"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14:paraId="2D235268" w14:textId="77777777"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14:paraId="3F1D2CA8" w14:textId="77777777" w:rsidR="00266FFE" w:rsidRDefault="00266FFE"/>
    <w:p w14:paraId="5D4710CE" w14:textId="77777777" w:rsidR="006D2D9A" w:rsidRDefault="006D2D9A"/>
    <w:sectPr w:rsidR="006D2D9A" w:rsidSect="00614E94">
      <w:headerReference w:type="default" r:id="rId12"/>
      <w:footerReference w:type="default" r:id="rId13"/>
      <w:footerReference w:type="first" r:id="rId14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3455F" w14:textId="77777777" w:rsidR="00FA62D5" w:rsidRDefault="00FA62D5">
      <w:r>
        <w:separator/>
      </w:r>
    </w:p>
  </w:endnote>
  <w:endnote w:type="continuationSeparator" w:id="0">
    <w:p w14:paraId="50A915C3" w14:textId="77777777" w:rsidR="00FA62D5" w:rsidRDefault="00FA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B8503" w14:textId="26BEAD02"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C40D7A">
      <w:rPr>
        <w:rStyle w:val="PageNumber"/>
        <w:rFonts w:ascii="Arial" w:hAnsi="Arial" w:cs="Arial"/>
        <w:noProof/>
        <w:sz w:val="16"/>
        <w:szCs w:val="16"/>
      </w:rPr>
      <w:t>3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45D7" w14:textId="77777777"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3703B9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ECF34" w14:textId="77777777" w:rsidR="00FA62D5" w:rsidRDefault="00FA62D5">
      <w:r>
        <w:separator/>
      </w:r>
    </w:p>
  </w:footnote>
  <w:footnote w:type="continuationSeparator" w:id="0">
    <w:p w14:paraId="5CEBDFED" w14:textId="77777777" w:rsidR="00FA62D5" w:rsidRDefault="00FA6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101AB" w14:textId="77777777" w:rsidR="008D4782" w:rsidRPr="003703B9" w:rsidRDefault="003703B9" w:rsidP="00614E94">
    <w:pPr>
      <w:pStyle w:val="Header"/>
      <w:jc w:val="right"/>
      <w:rPr>
        <w:rFonts w:ascii="Arial" w:hAnsi="Arial" w:cs="Arial"/>
        <w:sz w:val="16"/>
        <w:szCs w:val="16"/>
      </w:rPr>
    </w:pPr>
    <w:r w:rsidRPr="003703B9">
      <w:rPr>
        <w:rFonts w:ascii="Book Antiqua" w:hAnsi="Book Antiqua" w:cs="Arial"/>
        <w:color w:val="000000"/>
        <w:sz w:val="16"/>
        <w:szCs w:val="16"/>
      </w:rPr>
      <w:t xml:space="preserve">Appeal Number: </w:t>
    </w:r>
    <w:r w:rsidRPr="003703B9">
      <w:rPr>
        <w:rFonts w:ascii="Book Antiqua" w:hAnsi="Book Antiqua" w:cs="Arial"/>
        <w:caps/>
        <w:color w:val="000000"/>
        <w:sz w:val="16"/>
        <w:szCs w:val="16"/>
      </w:rPr>
      <w:t>PA/05711/2017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BAA4D2A-C319-41DE-BC2F-6E1149FFB2E7}"/>
    <w:docVar w:name="dgnword-eventsink" w:val="242408496"/>
  </w:docVars>
  <w:rsids>
    <w:rsidRoot w:val="00933B65"/>
    <w:rsid w:val="00005159"/>
    <w:rsid w:val="00007BAC"/>
    <w:rsid w:val="000168B7"/>
    <w:rsid w:val="00050F40"/>
    <w:rsid w:val="00056AD7"/>
    <w:rsid w:val="00056CE3"/>
    <w:rsid w:val="000777B7"/>
    <w:rsid w:val="00087C41"/>
    <w:rsid w:val="000B442A"/>
    <w:rsid w:val="000D6720"/>
    <w:rsid w:val="001103E2"/>
    <w:rsid w:val="00117089"/>
    <w:rsid w:val="0012095F"/>
    <w:rsid w:val="001516EA"/>
    <w:rsid w:val="00172233"/>
    <w:rsid w:val="00184269"/>
    <w:rsid w:val="00187797"/>
    <w:rsid w:val="001A38E3"/>
    <w:rsid w:val="001A63BB"/>
    <w:rsid w:val="001B24D9"/>
    <w:rsid w:val="001D6343"/>
    <w:rsid w:val="001E0145"/>
    <w:rsid w:val="001E1C90"/>
    <w:rsid w:val="001F1FE4"/>
    <w:rsid w:val="001F2493"/>
    <w:rsid w:val="001F3A81"/>
    <w:rsid w:val="001F7139"/>
    <w:rsid w:val="00203738"/>
    <w:rsid w:val="002065B8"/>
    <w:rsid w:val="00207D9A"/>
    <w:rsid w:val="0021079B"/>
    <w:rsid w:val="002135A6"/>
    <w:rsid w:val="002154EF"/>
    <w:rsid w:val="00224440"/>
    <w:rsid w:val="00230932"/>
    <w:rsid w:val="00240789"/>
    <w:rsid w:val="00247C4E"/>
    <w:rsid w:val="00250E1E"/>
    <w:rsid w:val="0025250C"/>
    <w:rsid w:val="00261676"/>
    <w:rsid w:val="00266C4C"/>
    <w:rsid w:val="00266FFE"/>
    <w:rsid w:val="00274F92"/>
    <w:rsid w:val="002A033F"/>
    <w:rsid w:val="002C0552"/>
    <w:rsid w:val="002C683E"/>
    <w:rsid w:val="002F4D20"/>
    <w:rsid w:val="00321C6F"/>
    <w:rsid w:val="003614AA"/>
    <w:rsid w:val="003703B9"/>
    <w:rsid w:val="003812EE"/>
    <w:rsid w:val="003C1934"/>
    <w:rsid w:val="003D7D3D"/>
    <w:rsid w:val="003D7F34"/>
    <w:rsid w:val="003E6445"/>
    <w:rsid w:val="003F6500"/>
    <w:rsid w:val="00402981"/>
    <w:rsid w:val="00406501"/>
    <w:rsid w:val="004171D0"/>
    <w:rsid w:val="00441640"/>
    <w:rsid w:val="004541E5"/>
    <w:rsid w:val="0046122D"/>
    <w:rsid w:val="004654BB"/>
    <w:rsid w:val="0047048D"/>
    <w:rsid w:val="00470675"/>
    <w:rsid w:val="00472F78"/>
    <w:rsid w:val="004813D0"/>
    <w:rsid w:val="00483E6A"/>
    <w:rsid w:val="004A012D"/>
    <w:rsid w:val="004C5D7D"/>
    <w:rsid w:val="005043C7"/>
    <w:rsid w:val="00511AEF"/>
    <w:rsid w:val="00513527"/>
    <w:rsid w:val="00515173"/>
    <w:rsid w:val="00527296"/>
    <w:rsid w:val="0057020B"/>
    <w:rsid w:val="00590CEE"/>
    <w:rsid w:val="00594030"/>
    <w:rsid w:val="00594CA2"/>
    <w:rsid w:val="00595C55"/>
    <w:rsid w:val="005A1712"/>
    <w:rsid w:val="005D3D6B"/>
    <w:rsid w:val="005D710B"/>
    <w:rsid w:val="005F6D40"/>
    <w:rsid w:val="00612060"/>
    <w:rsid w:val="00614020"/>
    <w:rsid w:val="00614E94"/>
    <w:rsid w:val="0063091E"/>
    <w:rsid w:val="0065091A"/>
    <w:rsid w:val="00656BC8"/>
    <w:rsid w:val="00657E4A"/>
    <w:rsid w:val="006953B4"/>
    <w:rsid w:val="006B35CC"/>
    <w:rsid w:val="006C50B6"/>
    <w:rsid w:val="006D2D9A"/>
    <w:rsid w:val="006D7C16"/>
    <w:rsid w:val="006E3DE1"/>
    <w:rsid w:val="00700966"/>
    <w:rsid w:val="007052DD"/>
    <w:rsid w:val="0070652E"/>
    <w:rsid w:val="00706F27"/>
    <w:rsid w:val="00734D2D"/>
    <w:rsid w:val="007412E0"/>
    <w:rsid w:val="00751D57"/>
    <w:rsid w:val="00761B4A"/>
    <w:rsid w:val="00774C7C"/>
    <w:rsid w:val="0078498E"/>
    <w:rsid w:val="00786DE4"/>
    <w:rsid w:val="00791CEE"/>
    <w:rsid w:val="00796309"/>
    <w:rsid w:val="007A468A"/>
    <w:rsid w:val="007B70E5"/>
    <w:rsid w:val="007F7538"/>
    <w:rsid w:val="0080239D"/>
    <w:rsid w:val="00810338"/>
    <w:rsid w:val="00814EA4"/>
    <w:rsid w:val="00827417"/>
    <w:rsid w:val="0084433E"/>
    <w:rsid w:val="008464A9"/>
    <w:rsid w:val="00861DE2"/>
    <w:rsid w:val="00863247"/>
    <w:rsid w:val="00871408"/>
    <w:rsid w:val="008832E8"/>
    <w:rsid w:val="00887432"/>
    <w:rsid w:val="008A64A7"/>
    <w:rsid w:val="008B4D64"/>
    <w:rsid w:val="008B5B9B"/>
    <w:rsid w:val="008C2761"/>
    <w:rsid w:val="008C2DC6"/>
    <w:rsid w:val="008D1EDC"/>
    <w:rsid w:val="008D4782"/>
    <w:rsid w:val="008F2CE1"/>
    <w:rsid w:val="009067C1"/>
    <w:rsid w:val="0092258F"/>
    <w:rsid w:val="00923BA9"/>
    <w:rsid w:val="00926DE2"/>
    <w:rsid w:val="00927E6D"/>
    <w:rsid w:val="00933B65"/>
    <w:rsid w:val="00954866"/>
    <w:rsid w:val="00960585"/>
    <w:rsid w:val="009701EB"/>
    <w:rsid w:val="00973C47"/>
    <w:rsid w:val="00973E8E"/>
    <w:rsid w:val="009803E4"/>
    <w:rsid w:val="009B7E19"/>
    <w:rsid w:val="009C328B"/>
    <w:rsid w:val="009D4B48"/>
    <w:rsid w:val="009E202C"/>
    <w:rsid w:val="009E3D21"/>
    <w:rsid w:val="009F361B"/>
    <w:rsid w:val="00A35181"/>
    <w:rsid w:val="00A46075"/>
    <w:rsid w:val="00A64F9E"/>
    <w:rsid w:val="00A810D2"/>
    <w:rsid w:val="00A8478F"/>
    <w:rsid w:val="00A86A8D"/>
    <w:rsid w:val="00AA199C"/>
    <w:rsid w:val="00AA25A1"/>
    <w:rsid w:val="00AA5502"/>
    <w:rsid w:val="00AD072D"/>
    <w:rsid w:val="00AD3ECB"/>
    <w:rsid w:val="00AF203E"/>
    <w:rsid w:val="00B11A6F"/>
    <w:rsid w:val="00B13E46"/>
    <w:rsid w:val="00B170ED"/>
    <w:rsid w:val="00B3399C"/>
    <w:rsid w:val="00B52844"/>
    <w:rsid w:val="00B55D7D"/>
    <w:rsid w:val="00B775E7"/>
    <w:rsid w:val="00B8695A"/>
    <w:rsid w:val="00B97300"/>
    <w:rsid w:val="00BB2B34"/>
    <w:rsid w:val="00BB470C"/>
    <w:rsid w:val="00BB69F4"/>
    <w:rsid w:val="00BC0611"/>
    <w:rsid w:val="00BC220A"/>
    <w:rsid w:val="00BE34CF"/>
    <w:rsid w:val="00C00438"/>
    <w:rsid w:val="00C01F6A"/>
    <w:rsid w:val="00C15A7E"/>
    <w:rsid w:val="00C25AF7"/>
    <w:rsid w:val="00C40D7A"/>
    <w:rsid w:val="00C447B6"/>
    <w:rsid w:val="00C4626F"/>
    <w:rsid w:val="00C51B29"/>
    <w:rsid w:val="00C628F1"/>
    <w:rsid w:val="00C64017"/>
    <w:rsid w:val="00C8499E"/>
    <w:rsid w:val="00C92E96"/>
    <w:rsid w:val="00C93DDD"/>
    <w:rsid w:val="00CA1980"/>
    <w:rsid w:val="00CA6393"/>
    <w:rsid w:val="00CD5AEE"/>
    <w:rsid w:val="00CF0FE6"/>
    <w:rsid w:val="00D16D44"/>
    <w:rsid w:val="00D20B8C"/>
    <w:rsid w:val="00D27401"/>
    <w:rsid w:val="00D31D54"/>
    <w:rsid w:val="00D44C2B"/>
    <w:rsid w:val="00D4513A"/>
    <w:rsid w:val="00D454D3"/>
    <w:rsid w:val="00D50600"/>
    <w:rsid w:val="00D5303A"/>
    <w:rsid w:val="00D566D2"/>
    <w:rsid w:val="00D57C56"/>
    <w:rsid w:val="00DA3D04"/>
    <w:rsid w:val="00DC114B"/>
    <w:rsid w:val="00DC699D"/>
    <w:rsid w:val="00DE3540"/>
    <w:rsid w:val="00E01A58"/>
    <w:rsid w:val="00E32C7D"/>
    <w:rsid w:val="00E46E43"/>
    <w:rsid w:val="00E56C8C"/>
    <w:rsid w:val="00E6769F"/>
    <w:rsid w:val="00EA1328"/>
    <w:rsid w:val="00EA1D3E"/>
    <w:rsid w:val="00EA3D98"/>
    <w:rsid w:val="00EE14C2"/>
    <w:rsid w:val="00EE6CE7"/>
    <w:rsid w:val="00EF1D7A"/>
    <w:rsid w:val="00EF1DB7"/>
    <w:rsid w:val="00EF2CBB"/>
    <w:rsid w:val="00F117EB"/>
    <w:rsid w:val="00F125AD"/>
    <w:rsid w:val="00F30FAB"/>
    <w:rsid w:val="00F40619"/>
    <w:rsid w:val="00F47052"/>
    <w:rsid w:val="00F51180"/>
    <w:rsid w:val="00F514DD"/>
    <w:rsid w:val="00F53DC1"/>
    <w:rsid w:val="00F57AC0"/>
    <w:rsid w:val="00F648C0"/>
    <w:rsid w:val="00F70D3E"/>
    <w:rsid w:val="00F8575A"/>
    <w:rsid w:val="00F85C8A"/>
    <w:rsid w:val="00FA0A2E"/>
    <w:rsid w:val="00FA2A43"/>
    <w:rsid w:val="00FA62D5"/>
    <w:rsid w:val="00FA7FC0"/>
    <w:rsid w:val="00FB0516"/>
    <w:rsid w:val="00FB16FC"/>
    <w:rsid w:val="00FB6DC2"/>
    <w:rsid w:val="00FE0046"/>
    <w:rsid w:val="00FE7378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5A18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A460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4607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28T13:10:40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1 1 32767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BDB51-71DA-4F4A-B259-173D3F42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3798</Characters>
  <Application>Microsoft Office Word</Application>
  <DocSecurity>0</DocSecurity>
  <Lines>31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2018-08-24T14:57:00Z</dcterms:created>
  <dcterms:modified xsi:type="dcterms:W3CDTF">2018-08-24T14:57:00Z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