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5155" w14:textId="076A1DDD" w:rsidR="00F97703" w:rsidRPr="00E47EE9" w:rsidRDefault="00AD01F0" w:rsidP="00F97703">
      <w:pPr>
        <w:jc w:val="center"/>
        <w:rPr>
          <w:rFonts w:ascii="Book Antiqua" w:hAnsi="Book Antiqua" w:cs="Arial"/>
          <w:color w:val="000000"/>
          <w:sz w:val="16"/>
          <w:szCs w:val="16"/>
        </w:rPr>
      </w:pPr>
      <w:r w:rsidRPr="00E47EE9">
        <w:rPr>
          <w:noProof/>
          <w:sz w:val="16"/>
          <w:szCs w:val="16"/>
        </w:rPr>
        <w:drawing>
          <wp:inline distT="0" distB="0" distL="0" distR="0" wp14:anchorId="52CE6A01" wp14:editId="24B679C4">
            <wp:extent cx="1276350" cy="89535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inline>
        </w:drawing>
      </w:r>
    </w:p>
    <w:p w14:paraId="5FB103CB" w14:textId="77777777" w:rsidR="00DC30AB" w:rsidRPr="00E47EE9" w:rsidRDefault="00DC30AB" w:rsidP="000652CE">
      <w:pPr>
        <w:tabs>
          <w:tab w:val="right" w:pos="9720"/>
        </w:tabs>
        <w:ind w:right="-82"/>
        <w:outlineLvl w:val="0"/>
        <w:rPr>
          <w:rFonts w:ascii="Book Antiqua" w:hAnsi="Book Antiqua" w:cs="Arial"/>
          <w:b/>
          <w:color w:val="000000"/>
          <w:sz w:val="16"/>
          <w:szCs w:val="16"/>
        </w:rPr>
      </w:pPr>
    </w:p>
    <w:p w14:paraId="24EB5B63" w14:textId="77777777"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14:paraId="741DBA3B" w14:textId="77777777" w:rsidR="00E60B0D" w:rsidRDefault="00F97703" w:rsidP="00780F86">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073E95">
        <w:rPr>
          <w:rFonts w:ascii="Book Antiqua" w:hAnsi="Book Antiqua" w:cs="Arial"/>
          <w:caps/>
          <w:color w:val="000000"/>
        </w:rPr>
        <w:t>PA/</w:t>
      </w:r>
      <w:r w:rsidR="00EF4825">
        <w:rPr>
          <w:rFonts w:ascii="Book Antiqua" w:hAnsi="Book Antiqua" w:cs="Arial"/>
          <w:caps/>
          <w:color w:val="000000"/>
        </w:rPr>
        <w:t>05777</w:t>
      </w:r>
      <w:r w:rsidR="00743BA7">
        <w:rPr>
          <w:rFonts w:ascii="Book Antiqua" w:hAnsi="Book Antiqua" w:cs="Arial"/>
          <w:caps/>
          <w:color w:val="000000"/>
        </w:rPr>
        <w:t>/2017</w:t>
      </w:r>
      <w:bookmarkEnd w:id="0"/>
    </w:p>
    <w:p w14:paraId="337E5E66" w14:textId="77777777" w:rsidR="00ED0704" w:rsidRPr="00F97703" w:rsidRDefault="005E0500" w:rsidP="008A6A1D">
      <w:pPr>
        <w:tabs>
          <w:tab w:val="right" w:pos="9720"/>
        </w:tabs>
        <w:ind w:right="-82"/>
        <w:rPr>
          <w:rFonts w:ascii="Book Antiqua" w:hAnsi="Book Antiqua" w:cs="Arial"/>
          <w:color w:val="000000"/>
        </w:rPr>
      </w:pPr>
      <w:r>
        <w:rPr>
          <w:rFonts w:ascii="Book Antiqua" w:hAnsi="Book Antiqua" w:cs="Arial"/>
          <w:caps/>
          <w:color w:val="000000"/>
        </w:rPr>
        <w:tab/>
      </w:r>
    </w:p>
    <w:p w14:paraId="11F8375D" w14:textId="77777777" w:rsidR="00842D0E" w:rsidRPr="00F97703" w:rsidRDefault="00842D0E" w:rsidP="00C345E1">
      <w:pPr>
        <w:jc w:val="center"/>
        <w:rPr>
          <w:rFonts w:ascii="Book Antiqua" w:hAnsi="Book Antiqua" w:cs="Arial"/>
          <w:color w:val="000000"/>
        </w:rPr>
      </w:pPr>
    </w:p>
    <w:p w14:paraId="7A70A91F" w14:textId="791EFA5F" w:rsidR="00C345E1" w:rsidRDefault="00C345E1" w:rsidP="000652C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3477FA09" w14:textId="77777777" w:rsidR="00E47EE9" w:rsidRPr="00F97703" w:rsidRDefault="00E47EE9" w:rsidP="000652CE">
      <w:pPr>
        <w:jc w:val="center"/>
        <w:outlineLvl w:val="0"/>
        <w:rPr>
          <w:rFonts w:ascii="Book Antiqua" w:hAnsi="Book Antiqua" w:cs="Arial"/>
          <w:b/>
          <w:color w:val="000000"/>
          <w:u w:val="single"/>
        </w:rPr>
      </w:pPr>
    </w:p>
    <w:p w14:paraId="4F150F42" w14:textId="77777777" w:rsidR="00ED0704" w:rsidRDefault="00ED0704" w:rsidP="008A6A1D">
      <w:pPr>
        <w:rPr>
          <w:rFonts w:ascii="Book Antiqua" w:hAnsi="Book Antiqua" w:cs="Arial"/>
          <w:b/>
          <w:u w:val="single"/>
        </w:rPr>
      </w:pPr>
    </w:p>
    <w:p w14:paraId="75F740B3" w14:textId="77777777" w:rsidR="00E66841" w:rsidRDefault="00E66841" w:rsidP="00E66841">
      <w:pPr>
        <w:rPr>
          <w:rFonts w:ascii="Book Antiqua" w:hAnsi="Book Antiqua" w:cs="Arial"/>
          <w:b/>
        </w:rPr>
      </w:pPr>
      <w:r w:rsidRPr="001B6FFC">
        <w:rPr>
          <w:rFonts w:ascii="Book Antiqua" w:hAnsi="Book Antiqua" w:cs="Arial"/>
          <w:b/>
        </w:rPr>
        <w:t xml:space="preserve">Heard </w:t>
      </w:r>
      <w:r>
        <w:rPr>
          <w:rFonts w:ascii="Book Antiqua" w:hAnsi="Book Antiqua" w:cs="Arial"/>
          <w:b/>
        </w:rPr>
        <w:t>at</w:t>
      </w:r>
      <w:r w:rsidRPr="005C2ED7">
        <w:rPr>
          <w:rFonts w:ascii="Book Antiqua" w:hAnsi="Book Antiqua" w:cs="Arial"/>
          <w:b/>
        </w:rPr>
        <w:t xml:space="preserve">: </w:t>
      </w:r>
      <w:r>
        <w:rPr>
          <w:rFonts w:ascii="Book Antiqua" w:hAnsi="Book Antiqua" w:cs="Arial"/>
          <w:b/>
        </w:rPr>
        <w:t>UT(I</w:t>
      </w:r>
      <w:r w:rsidRPr="005C2ED7">
        <w:rPr>
          <w:rFonts w:ascii="Book Antiqua" w:hAnsi="Book Antiqua" w:cs="Arial"/>
          <w:b/>
        </w:rPr>
        <w:t>AC</w:t>
      </w:r>
      <w:r>
        <w:rPr>
          <w:rFonts w:ascii="Book Antiqua" w:hAnsi="Book Antiqua" w:cs="Arial"/>
          <w:b/>
        </w:rPr>
        <w:t>)</w:t>
      </w:r>
      <w:r w:rsidRPr="005C2ED7">
        <w:rPr>
          <w:rFonts w:ascii="Book Antiqua" w:hAnsi="Book Antiqua" w:cs="Arial"/>
          <w:b/>
        </w:rPr>
        <w:t xml:space="preserve"> Birmingham</w:t>
      </w:r>
      <w:r w:rsidRPr="001B6FFC">
        <w:rPr>
          <w:rFonts w:ascii="Book Antiqua" w:hAnsi="Book Antiqua" w:cs="Arial"/>
          <w:b/>
        </w:rPr>
        <w:t xml:space="preserve">           </w:t>
      </w:r>
      <w:r>
        <w:rPr>
          <w:rFonts w:ascii="Book Antiqua" w:hAnsi="Book Antiqua" w:cs="Arial"/>
          <w:b/>
        </w:rPr>
        <w:tab/>
      </w:r>
      <w:r>
        <w:rPr>
          <w:rFonts w:ascii="Book Antiqua" w:hAnsi="Book Antiqua" w:cs="Arial"/>
          <w:b/>
        </w:rPr>
        <w:tab/>
      </w:r>
      <w:r>
        <w:rPr>
          <w:rFonts w:ascii="Book Antiqua" w:hAnsi="Book Antiqua" w:cs="Arial"/>
          <w:b/>
        </w:rPr>
        <w:tab/>
        <w:t xml:space="preserve">      </w:t>
      </w:r>
      <w:r w:rsidRPr="001B6FFC">
        <w:rPr>
          <w:rFonts w:ascii="Book Antiqua" w:hAnsi="Book Antiqua" w:cs="Arial"/>
          <w:b/>
        </w:rPr>
        <w:t xml:space="preserve">Decision &amp; Reasons Promulgated   </w:t>
      </w:r>
    </w:p>
    <w:p w14:paraId="2979F82F" w14:textId="77777777" w:rsidR="00E66841" w:rsidRDefault="00E66841" w:rsidP="00E66841">
      <w:pPr>
        <w:rPr>
          <w:rFonts w:ascii="Book Antiqua" w:hAnsi="Book Antiqua" w:cs="Arial"/>
          <w:b/>
          <w:u w:val="single"/>
        </w:rPr>
      </w:pPr>
      <w:r>
        <w:rPr>
          <w:rFonts w:ascii="Book Antiqua" w:hAnsi="Book Antiqua" w:cs="Arial"/>
          <w:b/>
        </w:rPr>
        <w:t>On</w:t>
      </w:r>
      <w:r w:rsidRPr="005C2ED7">
        <w:rPr>
          <w:rFonts w:ascii="Book Antiqua" w:hAnsi="Book Antiqua" w:cs="Arial"/>
          <w:b/>
        </w:rPr>
        <w:t xml:space="preserve">: </w:t>
      </w:r>
      <w:r>
        <w:rPr>
          <w:rFonts w:ascii="Book Antiqua" w:hAnsi="Book Antiqua" w:cs="Arial"/>
          <w:b/>
        </w:rPr>
        <w:t>03 September 2018</w:t>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On</w:t>
      </w:r>
      <w:r w:rsidRPr="005C2ED7">
        <w:rPr>
          <w:rFonts w:ascii="Book Antiqua" w:hAnsi="Book Antiqua" w:cs="Arial"/>
          <w:b/>
        </w:rPr>
        <w:t xml:space="preserve">: </w:t>
      </w:r>
      <w:r>
        <w:rPr>
          <w:rFonts w:ascii="Book Antiqua" w:hAnsi="Book Antiqua" w:cs="Arial"/>
          <w:b/>
        </w:rPr>
        <w:t>10 September 2018</w:t>
      </w:r>
    </w:p>
    <w:p w14:paraId="4732DEF1" w14:textId="77777777" w:rsidR="00A15234" w:rsidRPr="00F97703" w:rsidRDefault="00A15234" w:rsidP="00E66841">
      <w:pPr>
        <w:rPr>
          <w:rFonts w:ascii="Book Antiqua" w:hAnsi="Book Antiqua" w:cs="Arial"/>
        </w:rPr>
      </w:pPr>
    </w:p>
    <w:p w14:paraId="059FA26A" w14:textId="77777777" w:rsidR="00A15234" w:rsidRPr="00F97703" w:rsidRDefault="00A15234" w:rsidP="00A15234">
      <w:pPr>
        <w:jc w:val="center"/>
        <w:rPr>
          <w:rFonts w:ascii="Book Antiqua" w:hAnsi="Book Antiqua" w:cs="Arial"/>
        </w:rPr>
      </w:pPr>
    </w:p>
    <w:p w14:paraId="58266E55" w14:textId="77777777"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5563AB10" w14:textId="77777777" w:rsidR="00A15234" w:rsidRDefault="00A15234" w:rsidP="00A15234">
      <w:pPr>
        <w:jc w:val="center"/>
        <w:rPr>
          <w:rFonts w:ascii="Book Antiqua" w:hAnsi="Book Antiqua" w:cs="Arial"/>
          <w:b/>
        </w:rPr>
      </w:pPr>
    </w:p>
    <w:p w14:paraId="6A8F670F" w14:textId="77777777" w:rsidR="001B186A" w:rsidRPr="00F97703" w:rsidRDefault="00667698" w:rsidP="008A6A1D">
      <w:pPr>
        <w:jc w:val="center"/>
        <w:outlineLvl w:val="0"/>
        <w:rPr>
          <w:rFonts w:ascii="Book Antiqua" w:hAnsi="Book Antiqua" w:cs="Arial"/>
          <w:b/>
          <w:color w:val="000000"/>
        </w:rPr>
      </w:pPr>
      <w:r>
        <w:rPr>
          <w:rFonts w:ascii="Book Antiqua" w:hAnsi="Book Antiqua" w:cs="Arial"/>
          <w:b/>
          <w:color w:val="000000"/>
        </w:rPr>
        <w:t>UPPER TRIBUNAL JUDGE KEBEDE</w:t>
      </w:r>
    </w:p>
    <w:p w14:paraId="1A719D77" w14:textId="77777777" w:rsidR="0053164F" w:rsidRDefault="0053164F" w:rsidP="00E177AA">
      <w:pPr>
        <w:rPr>
          <w:rFonts w:ascii="Book Antiqua" w:hAnsi="Book Antiqua" w:cs="Arial"/>
          <w:b/>
        </w:rPr>
      </w:pPr>
    </w:p>
    <w:p w14:paraId="13B2B11B" w14:textId="77777777" w:rsidR="008A6A1D" w:rsidRPr="00F97703" w:rsidRDefault="008A6A1D" w:rsidP="00E177AA">
      <w:pPr>
        <w:rPr>
          <w:rFonts w:ascii="Book Antiqua" w:hAnsi="Book Antiqua" w:cs="Arial"/>
          <w:b/>
        </w:rPr>
      </w:pPr>
    </w:p>
    <w:p w14:paraId="4941083D" w14:textId="77777777" w:rsidR="00A845DC" w:rsidRDefault="00A845DC" w:rsidP="000652CE">
      <w:pPr>
        <w:jc w:val="center"/>
        <w:outlineLvl w:val="0"/>
        <w:rPr>
          <w:rFonts w:ascii="Book Antiqua" w:hAnsi="Book Antiqua" w:cs="Arial"/>
          <w:b/>
        </w:rPr>
      </w:pPr>
      <w:r w:rsidRPr="00F97703">
        <w:rPr>
          <w:rFonts w:ascii="Book Antiqua" w:hAnsi="Book Antiqua" w:cs="Arial"/>
          <w:b/>
        </w:rPr>
        <w:t>Between</w:t>
      </w:r>
    </w:p>
    <w:p w14:paraId="5EE5E52C" w14:textId="77777777" w:rsidR="00521533" w:rsidRPr="00F97703" w:rsidRDefault="00521533" w:rsidP="000652CE">
      <w:pPr>
        <w:jc w:val="center"/>
        <w:outlineLvl w:val="0"/>
        <w:rPr>
          <w:rFonts w:ascii="Book Antiqua" w:hAnsi="Book Antiqua" w:cs="Arial"/>
          <w:b/>
        </w:rPr>
      </w:pPr>
    </w:p>
    <w:p w14:paraId="3495C118" w14:textId="77777777" w:rsidR="006B1946" w:rsidRDefault="00EF4825" w:rsidP="004B1F6E">
      <w:pPr>
        <w:jc w:val="center"/>
        <w:outlineLvl w:val="0"/>
        <w:rPr>
          <w:rFonts w:ascii="Book Antiqua" w:hAnsi="Book Antiqua" w:cs="Arial"/>
          <w:b/>
          <w:caps/>
        </w:rPr>
      </w:pPr>
      <w:r>
        <w:rPr>
          <w:rFonts w:ascii="Book Antiqua" w:hAnsi="Book Antiqua" w:cs="Arial"/>
          <w:b/>
          <w:caps/>
        </w:rPr>
        <w:t>EM</w:t>
      </w:r>
    </w:p>
    <w:p w14:paraId="701D9613" w14:textId="77777777" w:rsidR="00EF4825" w:rsidRDefault="00EF4825" w:rsidP="004B1F6E">
      <w:pPr>
        <w:jc w:val="center"/>
        <w:outlineLvl w:val="0"/>
        <w:rPr>
          <w:rFonts w:ascii="Book Antiqua" w:hAnsi="Book Antiqua" w:cs="Arial"/>
          <w:b/>
          <w:caps/>
        </w:rPr>
      </w:pPr>
      <w:r>
        <w:rPr>
          <w:rFonts w:ascii="Book Antiqua" w:hAnsi="Book Antiqua" w:cs="Arial"/>
          <w:b/>
          <w:caps/>
        </w:rPr>
        <w:t>(anonymity direction made)</w:t>
      </w:r>
    </w:p>
    <w:p w14:paraId="3A13475F" w14:textId="77777777" w:rsidR="00704B61" w:rsidRPr="00F97703" w:rsidRDefault="00704B61" w:rsidP="000652CE">
      <w:pPr>
        <w:jc w:val="right"/>
        <w:outlineLvl w:val="0"/>
        <w:rPr>
          <w:rFonts w:ascii="Book Antiqua" w:hAnsi="Book Antiqua" w:cs="Arial"/>
          <w:u w:val="single"/>
        </w:rPr>
      </w:pPr>
      <w:r w:rsidRPr="00F97703">
        <w:rPr>
          <w:rFonts w:ascii="Book Antiqua" w:hAnsi="Book Antiqua" w:cs="Arial"/>
          <w:u w:val="single"/>
        </w:rPr>
        <w:t>Appellant</w:t>
      </w:r>
    </w:p>
    <w:p w14:paraId="10A5D3B8" w14:textId="77777777" w:rsidR="00704B61" w:rsidRPr="00F97703" w:rsidRDefault="00DD5071" w:rsidP="00704B61">
      <w:pPr>
        <w:jc w:val="center"/>
        <w:rPr>
          <w:rFonts w:ascii="Book Antiqua" w:hAnsi="Book Antiqua" w:cs="Arial"/>
          <w:b/>
        </w:rPr>
      </w:pPr>
      <w:r w:rsidRPr="00F97703">
        <w:rPr>
          <w:rFonts w:ascii="Book Antiqua" w:hAnsi="Book Antiqua" w:cs="Arial"/>
          <w:b/>
        </w:rPr>
        <w:t>and</w:t>
      </w:r>
    </w:p>
    <w:p w14:paraId="44B7E2E8" w14:textId="77777777" w:rsidR="00AC5900" w:rsidRPr="00F97703" w:rsidRDefault="00AC5900" w:rsidP="00704B61">
      <w:pPr>
        <w:jc w:val="center"/>
        <w:rPr>
          <w:rFonts w:ascii="Book Antiqua" w:hAnsi="Book Antiqua" w:cs="Arial"/>
          <w:b/>
        </w:rPr>
      </w:pPr>
    </w:p>
    <w:p w14:paraId="5D88A670" w14:textId="77777777" w:rsidR="00667698" w:rsidRDefault="001D227D" w:rsidP="001D227D">
      <w:pPr>
        <w:jc w:val="center"/>
        <w:outlineLvl w:val="0"/>
        <w:rPr>
          <w:rFonts w:ascii="Book Antiqua" w:hAnsi="Book Antiqua" w:cs="Arial"/>
          <w:u w:val="single"/>
        </w:rPr>
      </w:pPr>
      <w:r>
        <w:rPr>
          <w:rFonts w:ascii="Book Antiqua" w:hAnsi="Book Antiqua" w:cs="Arial"/>
          <w:b/>
        </w:rPr>
        <w:t>SECRETARY OF STATE FOR THE HOME DEPARTMENT</w:t>
      </w:r>
    </w:p>
    <w:p w14:paraId="07536205" w14:textId="77777777" w:rsidR="00E230DB" w:rsidRPr="00842D0E" w:rsidRDefault="00DD5071" w:rsidP="00842D0E">
      <w:pPr>
        <w:jc w:val="right"/>
        <w:outlineLvl w:val="0"/>
        <w:rPr>
          <w:rFonts w:ascii="Book Antiqua" w:hAnsi="Book Antiqua" w:cs="Arial"/>
          <w:u w:val="single"/>
        </w:rPr>
      </w:pPr>
      <w:r w:rsidRPr="00F97703">
        <w:rPr>
          <w:rFonts w:ascii="Book Antiqua" w:hAnsi="Book Antiqua" w:cs="Arial"/>
          <w:u w:val="single"/>
        </w:rPr>
        <w:t>Respondent</w:t>
      </w:r>
    </w:p>
    <w:p w14:paraId="24E41C5B" w14:textId="207053D8" w:rsidR="00ED0704" w:rsidRDefault="00ED0704" w:rsidP="000652CE">
      <w:pPr>
        <w:outlineLvl w:val="0"/>
        <w:rPr>
          <w:rFonts w:ascii="Book Antiqua" w:hAnsi="Book Antiqua" w:cs="Arial"/>
          <w:b/>
          <w:u w:val="single"/>
        </w:rPr>
      </w:pPr>
    </w:p>
    <w:p w14:paraId="104D3F3E" w14:textId="77777777" w:rsidR="00E47EE9" w:rsidRDefault="00E47EE9" w:rsidP="000652CE">
      <w:pPr>
        <w:outlineLvl w:val="0"/>
        <w:rPr>
          <w:rFonts w:ascii="Book Antiqua" w:hAnsi="Book Antiqua" w:cs="Arial"/>
          <w:b/>
          <w:u w:val="single"/>
        </w:rPr>
      </w:pPr>
    </w:p>
    <w:p w14:paraId="5E208DEC" w14:textId="77777777" w:rsidR="00DD5071" w:rsidRPr="00F97703" w:rsidRDefault="00DE7DB7" w:rsidP="000652CE">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48C00ED2" w14:textId="77777777" w:rsidR="00B56079" w:rsidRPr="00F97703" w:rsidRDefault="00B56079" w:rsidP="00B56079">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21533">
        <w:rPr>
          <w:rFonts w:ascii="Book Antiqua" w:hAnsi="Book Antiqua" w:cs="Arial"/>
        </w:rPr>
        <w:t xml:space="preserve">Mr </w:t>
      </w:r>
      <w:r w:rsidR="00EF4825">
        <w:rPr>
          <w:rFonts w:ascii="Book Antiqua" w:hAnsi="Book Antiqua" w:cs="Arial"/>
        </w:rPr>
        <w:t xml:space="preserve">E </w:t>
      </w:r>
      <w:proofErr w:type="spellStart"/>
      <w:r w:rsidR="00EF4825">
        <w:rPr>
          <w:rFonts w:ascii="Book Antiqua" w:hAnsi="Book Antiqua" w:cs="Arial"/>
        </w:rPr>
        <w:t>Fripp</w:t>
      </w:r>
      <w:proofErr w:type="spellEnd"/>
      <w:r w:rsidR="006B1946">
        <w:rPr>
          <w:rFonts w:ascii="Book Antiqua" w:hAnsi="Book Antiqua" w:cs="Arial"/>
        </w:rPr>
        <w:t xml:space="preserve">, instructed </w:t>
      </w:r>
      <w:r w:rsidR="00DE3FC3">
        <w:rPr>
          <w:rFonts w:ascii="Book Antiqua" w:hAnsi="Book Antiqua" w:cs="Arial"/>
        </w:rPr>
        <w:t xml:space="preserve">by </w:t>
      </w:r>
      <w:r w:rsidR="00EF4825">
        <w:rPr>
          <w:rFonts w:ascii="Book Antiqua" w:hAnsi="Book Antiqua" w:cs="Arial"/>
        </w:rPr>
        <w:t>Cartwright King Solicitors</w:t>
      </w:r>
      <w:r w:rsidR="00DE3FC3">
        <w:rPr>
          <w:rFonts w:ascii="Book Antiqua" w:hAnsi="Book Antiqua" w:cs="Arial"/>
        </w:rPr>
        <w:t xml:space="preserve"> </w:t>
      </w:r>
    </w:p>
    <w:p w14:paraId="0B056F1A" w14:textId="77777777" w:rsidR="00B56079" w:rsidRPr="00F97703" w:rsidRDefault="00B56079" w:rsidP="00B5607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EF4825">
        <w:rPr>
          <w:rFonts w:ascii="Book Antiqua" w:hAnsi="Book Antiqua" w:cs="Arial"/>
        </w:rPr>
        <w:t xml:space="preserve">Mrs H </w:t>
      </w:r>
      <w:proofErr w:type="spellStart"/>
      <w:r w:rsidR="00EF4825">
        <w:rPr>
          <w:rFonts w:ascii="Book Antiqua" w:hAnsi="Book Antiqua" w:cs="Arial"/>
        </w:rPr>
        <w:t>Aboni</w:t>
      </w:r>
      <w:proofErr w:type="spellEnd"/>
      <w:r>
        <w:rPr>
          <w:rFonts w:ascii="Book Antiqua" w:hAnsi="Book Antiqua" w:cs="Arial"/>
        </w:rPr>
        <w:t>, Senior Home Office Presenting Officer</w:t>
      </w:r>
    </w:p>
    <w:p w14:paraId="6A83DFA1" w14:textId="77777777" w:rsidR="00DE7DB7" w:rsidRDefault="00DE7DB7" w:rsidP="00402B9E">
      <w:pPr>
        <w:tabs>
          <w:tab w:val="left" w:pos="2520"/>
        </w:tabs>
        <w:jc w:val="center"/>
        <w:rPr>
          <w:rFonts w:ascii="Book Antiqua" w:hAnsi="Book Antiqua" w:cs="Arial"/>
        </w:rPr>
      </w:pPr>
    </w:p>
    <w:p w14:paraId="6027239D" w14:textId="77777777" w:rsidR="00DC30AB" w:rsidRDefault="00DC30AB" w:rsidP="00402B9E">
      <w:pPr>
        <w:tabs>
          <w:tab w:val="left" w:pos="2520"/>
        </w:tabs>
        <w:jc w:val="center"/>
        <w:rPr>
          <w:rFonts w:ascii="Book Antiqua" w:hAnsi="Book Antiqua" w:cs="Arial"/>
        </w:rPr>
      </w:pPr>
    </w:p>
    <w:p w14:paraId="588E2F1A" w14:textId="77777777" w:rsidR="00BA580B" w:rsidRPr="00BA580B" w:rsidRDefault="00402B9E" w:rsidP="00BA580B">
      <w:pPr>
        <w:tabs>
          <w:tab w:val="left" w:pos="2520"/>
        </w:tabs>
        <w:jc w:val="center"/>
        <w:outlineLvl w:val="0"/>
        <w:rPr>
          <w:rFonts w:ascii="Book Antiqua" w:hAnsi="Book Antiqua" w:cs="Arial"/>
        </w:rPr>
      </w:pPr>
      <w:r w:rsidRPr="00F97703">
        <w:rPr>
          <w:rFonts w:ascii="Book Antiqua" w:hAnsi="Book Antiqua" w:cs="Arial"/>
          <w:b/>
          <w:u w:val="single"/>
        </w:rPr>
        <w:t>DE</w:t>
      </w:r>
      <w:r w:rsidR="00E33708">
        <w:rPr>
          <w:rFonts w:ascii="Book Antiqua" w:hAnsi="Book Antiqua" w:cs="Arial"/>
          <w:b/>
          <w:u w:val="single"/>
        </w:rPr>
        <w:t>CISI</w:t>
      </w:r>
      <w:r w:rsidRPr="00F97703">
        <w:rPr>
          <w:rFonts w:ascii="Book Antiqua" w:hAnsi="Book Antiqua" w:cs="Arial"/>
          <w:b/>
          <w:u w:val="single"/>
        </w:rPr>
        <w:t>ON AND REASONS</w:t>
      </w:r>
    </w:p>
    <w:p w14:paraId="61B1D5F4" w14:textId="77777777" w:rsidR="00BA580B" w:rsidRDefault="00BA580B" w:rsidP="00BA580B">
      <w:pPr>
        <w:tabs>
          <w:tab w:val="left" w:pos="360"/>
        </w:tabs>
        <w:overflowPunct w:val="0"/>
        <w:autoSpaceDE w:val="0"/>
        <w:autoSpaceDN w:val="0"/>
        <w:adjustRightInd w:val="0"/>
        <w:jc w:val="both"/>
        <w:textAlignment w:val="baseline"/>
        <w:rPr>
          <w:rFonts w:ascii="Book Antiqua" w:hAnsi="Book Antiqua"/>
        </w:rPr>
      </w:pPr>
    </w:p>
    <w:p w14:paraId="7E69E5DA" w14:textId="77777777" w:rsidR="00F966BD" w:rsidRDefault="00066AB9" w:rsidP="00F966BD">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The appellant</w:t>
      </w:r>
      <w:r w:rsidR="00F966BD">
        <w:rPr>
          <w:rFonts w:ascii="Book Antiqua" w:hAnsi="Book Antiqua"/>
        </w:rPr>
        <w:t xml:space="preserve"> is a</w:t>
      </w:r>
      <w:r>
        <w:rPr>
          <w:rFonts w:ascii="Book Antiqua" w:hAnsi="Book Antiqua"/>
        </w:rPr>
        <w:t xml:space="preserve"> citizen</w:t>
      </w:r>
      <w:r w:rsidRPr="00CD0A71">
        <w:rPr>
          <w:rFonts w:ascii="Book Antiqua" w:hAnsi="Book Antiqua"/>
        </w:rPr>
        <w:t xml:space="preserve"> of </w:t>
      </w:r>
      <w:r w:rsidR="00EF4825">
        <w:rPr>
          <w:rFonts w:ascii="Book Antiqua" w:hAnsi="Book Antiqua"/>
        </w:rPr>
        <w:t>the Philippines</w:t>
      </w:r>
      <w:r w:rsidR="00155B80">
        <w:rPr>
          <w:rFonts w:ascii="Book Antiqua" w:hAnsi="Book Antiqua"/>
        </w:rPr>
        <w:t xml:space="preserve"> born on </w:t>
      </w:r>
      <w:r w:rsidR="00EF4825">
        <w:rPr>
          <w:rFonts w:ascii="Book Antiqua" w:hAnsi="Book Antiqua"/>
        </w:rPr>
        <w:t>14 June 1961</w:t>
      </w:r>
      <w:r w:rsidRPr="00CD0A71">
        <w:rPr>
          <w:rFonts w:ascii="Book Antiqua" w:hAnsi="Book Antiqua"/>
        </w:rPr>
        <w:t xml:space="preserve">. </w:t>
      </w:r>
      <w:r w:rsidR="00EF4825">
        <w:rPr>
          <w:rFonts w:ascii="Book Antiqua" w:hAnsi="Book Antiqua"/>
        </w:rPr>
        <w:t>Sh</w:t>
      </w:r>
      <w:r w:rsidR="00E24E10">
        <w:rPr>
          <w:rFonts w:ascii="Book Antiqua" w:hAnsi="Book Antiqua"/>
        </w:rPr>
        <w:t>e</w:t>
      </w:r>
      <w:r w:rsidR="00F966BD">
        <w:rPr>
          <w:rFonts w:ascii="Book Antiqua" w:hAnsi="Book Antiqua"/>
        </w:rPr>
        <w:t xml:space="preserve"> has been given permission to appeal against the de</w:t>
      </w:r>
      <w:r w:rsidR="00D436C2">
        <w:rPr>
          <w:rFonts w:ascii="Book Antiqua" w:hAnsi="Book Antiqua"/>
        </w:rPr>
        <w:t>cis</w:t>
      </w:r>
      <w:r w:rsidR="00F966BD">
        <w:rPr>
          <w:rFonts w:ascii="Book Antiqua" w:hAnsi="Book Antiqua"/>
        </w:rPr>
        <w:t xml:space="preserve">ion of </w:t>
      </w:r>
      <w:r w:rsidR="00EF4825">
        <w:rPr>
          <w:rFonts w:ascii="Book Antiqua" w:hAnsi="Book Antiqua"/>
        </w:rPr>
        <w:t xml:space="preserve">the </w:t>
      </w:r>
      <w:r w:rsidR="00F966BD">
        <w:rPr>
          <w:rFonts w:ascii="Book Antiqua" w:hAnsi="Book Antiqua"/>
        </w:rPr>
        <w:t>First-tier Tribunal dismissing h</w:t>
      </w:r>
      <w:r w:rsidR="00EF4825">
        <w:rPr>
          <w:rFonts w:ascii="Book Antiqua" w:hAnsi="Book Antiqua"/>
        </w:rPr>
        <w:t>er</w:t>
      </w:r>
      <w:r w:rsidR="00F966BD">
        <w:rPr>
          <w:rFonts w:ascii="Book Antiqua" w:hAnsi="Book Antiqua"/>
        </w:rPr>
        <w:t xml:space="preserve"> appeal against the respondent’s decision </w:t>
      </w:r>
      <w:r w:rsidR="00AD241A">
        <w:rPr>
          <w:rFonts w:ascii="Book Antiqua" w:hAnsi="Book Antiqua"/>
        </w:rPr>
        <w:t xml:space="preserve">to </w:t>
      </w:r>
      <w:r w:rsidR="00943606">
        <w:rPr>
          <w:rFonts w:ascii="Book Antiqua" w:hAnsi="Book Antiqua"/>
        </w:rPr>
        <w:t xml:space="preserve">refuse </w:t>
      </w:r>
      <w:r w:rsidR="006B1946">
        <w:rPr>
          <w:rFonts w:ascii="Book Antiqua" w:hAnsi="Book Antiqua"/>
        </w:rPr>
        <w:t>h</w:t>
      </w:r>
      <w:r w:rsidR="00EF4825">
        <w:rPr>
          <w:rFonts w:ascii="Book Antiqua" w:hAnsi="Book Antiqua"/>
        </w:rPr>
        <w:t>er</w:t>
      </w:r>
      <w:r w:rsidR="00073E95">
        <w:rPr>
          <w:rFonts w:ascii="Book Antiqua" w:hAnsi="Book Antiqua"/>
        </w:rPr>
        <w:t xml:space="preserve"> </w:t>
      </w:r>
      <w:r w:rsidR="00743BA7">
        <w:rPr>
          <w:rFonts w:ascii="Book Antiqua" w:hAnsi="Book Antiqua"/>
        </w:rPr>
        <w:t>asylum</w:t>
      </w:r>
      <w:r w:rsidR="00073E95">
        <w:rPr>
          <w:rFonts w:ascii="Book Antiqua" w:hAnsi="Book Antiqua"/>
        </w:rPr>
        <w:t xml:space="preserve"> and</w:t>
      </w:r>
      <w:r w:rsidR="006B1946">
        <w:rPr>
          <w:rFonts w:ascii="Book Antiqua" w:hAnsi="Book Antiqua"/>
        </w:rPr>
        <w:t xml:space="preserve"> human rights claim</w:t>
      </w:r>
      <w:r w:rsidR="00E72F1C">
        <w:rPr>
          <w:rFonts w:ascii="Book Antiqua" w:hAnsi="Book Antiqua"/>
        </w:rPr>
        <w:t>.</w:t>
      </w:r>
    </w:p>
    <w:p w14:paraId="3FA3D1D5" w14:textId="77777777" w:rsidR="00E72F1C" w:rsidRDefault="00E72F1C" w:rsidP="00E72F1C">
      <w:pPr>
        <w:tabs>
          <w:tab w:val="left" w:pos="360"/>
        </w:tabs>
        <w:overflowPunct w:val="0"/>
        <w:autoSpaceDE w:val="0"/>
        <w:autoSpaceDN w:val="0"/>
        <w:adjustRightInd w:val="0"/>
        <w:jc w:val="both"/>
        <w:textAlignment w:val="baseline"/>
        <w:rPr>
          <w:rFonts w:ascii="Book Antiqua" w:hAnsi="Book Antiqua"/>
        </w:rPr>
      </w:pPr>
    </w:p>
    <w:p w14:paraId="0AB5B91D" w14:textId="77777777" w:rsidR="004512FA" w:rsidRDefault="00E72F1C" w:rsidP="0072782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EF4825">
        <w:rPr>
          <w:rFonts w:ascii="Book Antiqua" w:hAnsi="Book Antiqua"/>
        </w:rPr>
        <w:t xml:space="preserve">The </w:t>
      </w:r>
      <w:r w:rsidR="004C00E7" w:rsidRPr="00EF4825">
        <w:rPr>
          <w:rFonts w:ascii="Book Antiqua" w:hAnsi="Book Antiqua"/>
        </w:rPr>
        <w:t xml:space="preserve">appellant </w:t>
      </w:r>
      <w:r w:rsidRPr="00EF4825">
        <w:rPr>
          <w:rFonts w:ascii="Book Antiqua" w:hAnsi="Book Antiqua"/>
        </w:rPr>
        <w:t xml:space="preserve">entered the United Kingdom on </w:t>
      </w:r>
      <w:r w:rsidR="00EF4825" w:rsidRPr="00EF4825">
        <w:rPr>
          <w:rFonts w:ascii="Book Antiqua" w:hAnsi="Book Antiqua"/>
        </w:rPr>
        <w:t>8 November 2015</w:t>
      </w:r>
      <w:r w:rsidR="00FB0104">
        <w:rPr>
          <w:rFonts w:ascii="Book Antiqua" w:hAnsi="Book Antiqua"/>
        </w:rPr>
        <w:t xml:space="preserve"> as a visitor to attend her daughter’s wedding</w:t>
      </w:r>
      <w:r w:rsidR="00EF4825" w:rsidRPr="00EF4825">
        <w:rPr>
          <w:rFonts w:ascii="Book Antiqua" w:hAnsi="Book Antiqua"/>
        </w:rPr>
        <w:t xml:space="preserve">. She applied for leave to remain </w:t>
      </w:r>
      <w:r w:rsidR="00FB0104">
        <w:rPr>
          <w:rFonts w:ascii="Book Antiqua" w:hAnsi="Book Antiqua"/>
        </w:rPr>
        <w:t xml:space="preserve">before the expiry of her visa, </w:t>
      </w:r>
      <w:r w:rsidR="00EF4825" w:rsidRPr="00EF4825">
        <w:rPr>
          <w:rFonts w:ascii="Book Antiqua" w:hAnsi="Book Antiqua"/>
        </w:rPr>
        <w:t>on 26 April 2016</w:t>
      </w:r>
      <w:r w:rsidR="00FB0104">
        <w:rPr>
          <w:rFonts w:ascii="Book Antiqua" w:hAnsi="Book Antiqua"/>
        </w:rPr>
        <w:t>, as an adult dependent relative,</w:t>
      </w:r>
      <w:r w:rsidR="00EF4825" w:rsidRPr="00EF4825">
        <w:rPr>
          <w:rFonts w:ascii="Book Antiqua" w:hAnsi="Book Antiqua"/>
        </w:rPr>
        <w:t xml:space="preserve"> but her application was refused on 31 October 2016. On 13 December 2016 she claimed asylum and was served with </w:t>
      </w:r>
      <w:r w:rsidR="002D56A9" w:rsidRPr="00EF4825">
        <w:rPr>
          <w:rFonts w:ascii="Book Antiqua" w:hAnsi="Book Antiqua"/>
        </w:rPr>
        <w:t>papers as an overstayer. H</w:t>
      </w:r>
      <w:r w:rsidR="00EF4825" w:rsidRPr="00EF4825">
        <w:rPr>
          <w:rFonts w:ascii="Book Antiqua" w:hAnsi="Book Antiqua"/>
        </w:rPr>
        <w:t>er</w:t>
      </w:r>
      <w:r w:rsidR="002D56A9" w:rsidRPr="00EF4825">
        <w:rPr>
          <w:rFonts w:ascii="Book Antiqua" w:hAnsi="Book Antiqua"/>
        </w:rPr>
        <w:t xml:space="preserve"> </w:t>
      </w:r>
      <w:r w:rsidR="002D56A9" w:rsidRPr="00EF4825">
        <w:rPr>
          <w:rFonts w:ascii="Book Antiqua" w:hAnsi="Book Antiqua"/>
        </w:rPr>
        <w:lastRenderedPageBreak/>
        <w:t xml:space="preserve">claim was refused in a decision dated </w:t>
      </w:r>
      <w:r w:rsidR="00EF4825" w:rsidRPr="00EF4825">
        <w:rPr>
          <w:rFonts w:ascii="Book Antiqua" w:hAnsi="Book Antiqua"/>
        </w:rPr>
        <w:t>1 June 2017</w:t>
      </w:r>
      <w:r w:rsidR="002D56A9" w:rsidRPr="00EF4825">
        <w:rPr>
          <w:rFonts w:ascii="Book Antiqua" w:hAnsi="Book Antiqua"/>
        </w:rPr>
        <w:t>.</w:t>
      </w:r>
      <w:r w:rsidR="00EF4825">
        <w:rPr>
          <w:rFonts w:ascii="Book Antiqua" w:hAnsi="Book Antiqua"/>
        </w:rPr>
        <w:t xml:space="preserve"> </w:t>
      </w:r>
      <w:r w:rsidR="002D56A9" w:rsidRPr="00EF4825">
        <w:rPr>
          <w:rFonts w:ascii="Book Antiqua" w:hAnsi="Book Antiqua"/>
        </w:rPr>
        <w:t>The appellant appealed against that decision. H</w:t>
      </w:r>
      <w:r w:rsidR="00EF4825">
        <w:rPr>
          <w:rFonts w:ascii="Book Antiqua" w:hAnsi="Book Antiqua"/>
        </w:rPr>
        <w:t>er</w:t>
      </w:r>
      <w:r w:rsidR="002D56A9" w:rsidRPr="00EF4825">
        <w:rPr>
          <w:rFonts w:ascii="Book Antiqua" w:hAnsi="Book Antiqua"/>
        </w:rPr>
        <w:t xml:space="preserve"> appeal was heard </w:t>
      </w:r>
      <w:r w:rsidR="00730472" w:rsidRPr="00EF4825">
        <w:rPr>
          <w:rFonts w:ascii="Book Antiqua" w:hAnsi="Book Antiqua"/>
        </w:rPr>
        <w:t xml:space="preserve">on </w:t>
      </w:r>
      <w:r w:rsidR="00EF4825">
        <w:rPr>
          <w:rFonts w:ascii="Book Antiqua" w:hAnsi="Book Antiqua"/>
        </w:rPr>
        <w:t>14 July</w:t>
      </w:r>
      <w:r w:rsidR="00730472" w:rsidRPr="00EF4825">
        <w:rPr>
          <w:rFonts w:ascii="Book Antiqua" w:hAnsi="Book Antiqua"/>
        </w:rPr>
        <w:t xml:space="preserve"> 2017</w:t>
      </w:r>
      <w:r w:rsidR="002D56A9" w:rsidRPr="00EF4825">
        <w:rPr>
          <w:rFonts w:ascii="Book Antiqua" w:hAnsi="Book Antiqua"/>
        </w:rPr>
        <w:t xml:space="preserve"> by First-tier Tribunal Judge </w:t>
      </w:r>
      <w:r w:rsidR="00EF4825">
        <w:rPr>
          <w:rFonts w:ascii="Book Antiqua" w:hAnsi="Book Antiqua"/>
        </w:rPr>
        <w:t>Hall and dismissed in a decision promulgated on 31 July 2017.</w:t>
      </w:r>
    </w:p>
    <w:p w14:paraId="788B541D" w14:textId="77777777" w:rsidR="00EF4825" w:rsidRDefault="00EF4825" w:rsidP="00EF4825">
      <w:pPr>
        <w:pStyle w:val="ListParagraph"/>
        <w:rPr>
          <w:rFonts w:ascii="Book Antiqua" w:hAnsi="Book Antiqua"/>
        </w:rPr>
      </w:pPr>
    </w:p>
    <w:p w14:paraId="1426E0C9" w14:textId="77777777" w:rsidR="00EF4825" w:rsidRPr="00EF4825" w:rsidRDefault="00EF4825" w:rsidP="0072782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w:t>
      </w:r>
      <w:r w:rsidR="0052474B">
        <w:rPr>
          <w:rFonts w:ascii="Book Antiqua" w:hAnsi="Book Antiqua"/>
        </w:rPr>
        <w:t>appellant claims to be at risk on return to the Philippines from her husband who had subjected her to domestic violence</w:t>
      </w:r>
      <w:r w:rsidR="000847E3">
        <w:rPr>
          <w:rFonts w:ascii="Book Antiqua" w:hAnsi="Book Antiqua"/>
        </w:rPr>
        <w:t xml:space="preserve"> following her request for a separation in 2014</w:t>
      </w:r>
      <w:r w:rsidR="0052474B">
        <w:rPr>
          <w:rFonts w:ascii="Book Antiqua" w:hAnsi="Book Antiqua"/>
        </w:rPr>
        <w:t>. She gave details of various incidents in 2015 when he assaulted and abused her and provided medical certificates and police and court records</w:t>
      </w:r>
      <w:r w:rsidR="000847E3">
        <w:rPr>
          <w:rFonts w:ascii="Book Antiqua" w:hAnsi="Book Antiqua"/>
        </w:rPr>
        <w:t xml:space="preserve">. The respondent accepted the appellant’s account. The appellant also claimed that from November 2015 her husband had accused her of taking drugs and being a drug addict and provided Facebook postings, video stills, witness statements and a drug test report in support of that claim. The respondent rejected that part of her claim and considered that her delay in claiming asylum undermined her credibility. The respondent did not accept that the appellant had a genuine subjective fear on return to the Philippines and considered that any fear she had was not objectively well-founded in any event. It was considered that there was a sufficiency of protection available to her from the state </w:t>
      </w:r>
      <w:r w:rsidR="00FB0104">
        <w:rPr>
          <w:rFonts w:ascii="Book Antiqua" w:hAnsi="Book Antiqua"/>
        </w:rPr>
        <w:t>given that the authorities had assisted her in the past.</w:t>
      </w:r>
      <w:r w:rsidR="000847E3">
        <w:rPr>
          <w:rFonts w:ascii="Book Antiqua" w:hAnsi="Book Antiqua"/>
        </w:rPr>
        <w:t xml:space="preserve"> The respondent noted that the appellant’s husband had been prosecuted following her report to the police and a protection order had been issued against him. No action had been taken in regard to two of the incidents because she had chosen not to go to court and had failed to provide the requested medical certificate and therefore the lack of further action against her husband was due to her own decisions.</w:t>
      </w:r>
      <w:r w:rsidR="00FB0104">
        <w:rPr>
          <w:rFonts w:ascii="Book Antiqua" w:hAnsi="Book Antiqua"/>
        </w:rPr>
        <w:t xml:space="preserve"> The respondent considered further that the appellant could relocate to another part of the country and that there was no evidence to demonstrate that her husband had the power or influence to locate her or that he had any ongoing interest in her or motivation to pursue her. It was noted that she was able to l</w:t>
      </w:r>
      <w:r w:rsidR="00870B65">
        <w:rPr>
          <w:rFonts w:ascii="Book Antiqua" w:hAnsi="Book Antiqua"/>
        </w:rPr>
        <w:t>i</w:t>
      </w:r>
      <w:r w:rsidR="00FB0104">
        <w:rPr>
          <w:rFonts w:ascii="Book Antiqua" w:hAnsi="Book Antiqua"/>
        </w:rPr>
        <w:t xml:space="preserve">ve </w:t>
      </w:r>
      <w:r w:rsidR="00870B65">
        <w:rPr>
          <w:rFonts w:ascii="Book Antiqua" w:hAnsi="Book Antiqua"/>
        </w:rPr>
        <w:t xml:space="preserve">in </w:t>
      </w:r>
      <w:r w:rsidR="00FB0104">
        <w:rPr>
          <w:rFonts w:ascii="Book Antiqua" w:hAnsi="Book Antiqua"/>
        </w:rPr>
        <w:t>her home town from July 2015 until coming to the UK in November 2005 without her husband locating her. The respondent concluded that the appellant was not at risk on return to the Philippines and that her removal would not breach her human rights.</w:t>
      </w:r>
    </w:p>
    <w:p w14:paraId="328A496D" w14:textId="77777777" w:rsidR="004512FA" w:rsidRDefault="004512FA" w:rsidP="004512FA">
      <w:pPr>
        <w:pStyle w:val="ListParagraph"/>
        <w:rPr>
          <w:rFonts w:ascii="Book Antiqua" w:hAnsi="Book Antiqua"/>
        </w:rPr>
      </w:pPr>
    </w:p>
    <w:p w14:paraId="7E2F9C3B" w14:textId="77777777" w:rsidR="00730472" w:rsidRPr="008D3E61" w:rsidRDefault="004512FA" w:rsidP="008D3E6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At the appeal hearing, t</w:t>
      </w:r>
      <w:r w:rsidR="00FB5020" w:rsidRPr="002D56A9">
        <w:rPr>
          <w:rFonts w:ascii="Book Antiqua" w:hAnsi="Book Antiqua"/>
        </w:rPr>
        <w:t xml:space="preserve">he </w:t>
      </w:r>
      <w:r w:rsidR="00FB0104">
        <w:rPr>
          <w:rFonts w:ascii="Book Antiqua" w:hAnsi="Book Antiqua"/>
        </w:rPr>
        <w:t xml:space="preserve">appellant’s claim was pursued on the basis of humanitarian protection and Articles 2, 3 and 8 of the ECHR. The </w:t>
      </w:r>
      <w:r w:rsidR="00FB5020" w:rsidRPr="002D56A9">
        <w:rPr>
          <w:rFonts w:ascii="Book Antiqua" w:hAnsi="Book Antiqua"/>
        </w:rPr>
        <w:t xml:space="preserve">judge </w:t>
      </w:r>
      <w:r>
        <w:rPr>
          <w:rFonts w:ascii="Book Antiqua" w:hAnsi="Book Antiqua"/>
        </w:rPr>
        <w:t>heard from the appellant</w:t>
      </w:r>
      <w:r w:rsidR="00FB0104">
        <w:rPr>
          <w:rFonts w:ascii="Book Antiqua" w:hAnsi="Book Antiqua"/>
        </w:rPr>
        <w:t xml:space="preserve"> and her daughter and son-in-law. The judge accepted that the appellant had been subjected to domestic violence from her husband, including rape and physical assaults, and also accepted that her husband had made accusations of her being involved with drugs. He did not draw any adverse inferences from her delay in claiming asylum and accepted that she had a subjective fear of persecution.</w:t>
      </w:r>
      <w:r w:rsidR="008D3E61">
        <w:rPr>
          <w:rFonts w:ascii="Book Antiqua" w:hAnsi="Book Antiqua"/>
        </w:rPr>
        <w:t xml:space="preserve"> </w:t>
      </w:r>
      <w:proofErr w:type="gramStart"/>
      <w:r w:rsidR="008D3E61">
        <w:rPr>
          <w:rFonts w:ascii="Book Antiqua" w:hAnsi="Book Antiqua"/>
        </w:rPr>
        <w:t>However</w:t>
      </w:r>
      <w:proofErr w:type="gramEnd"/>
      <w:r w:rsidR="008D3E61">
        <w:rPr>
          <w:rFonts w:ascii="Book Antiqua" w:hAnsi="Book Antiqua"/>
        </w:rPr>
        <w:t xml:space="preserve"> the judge did not accept that the appellant’s fear was objectively well-founded, concluding that there was a sufficiency of protection available to her from the authorities in the Philippines and noting that her husband had been arrested and prosecuted on at least three occasions and that there was an ongoing prosecution when she left the Philippines. The judge did not accept that the appellant’s husband would be able to portray her as a drug user and noted that he had no influence within the police or the authorities. The judge found that the appellant could return to her home area or alternatively could safely and reasonably </w:t>
      </w:r>
      <w:r w:rsidR="008D3E61" w:rsidRPr="008D3E61">
        <w:rPr>
          <w:rFonts w:ascii="Book Antiqua" w:hAnsi="Book Antiqua"/>
        </w:rPr>
        <w:t xml:space="preserve">relocate to another part of the country </w:t>
      </w:r>
      <w:r w:rsidR="008D3E61">
        <w:rPr>
          <w:rFonts w:ascii="Book Antiqua" w:hAnsi="Book Antiqua"/>
        </w:rPr>
        <w:t xml:space="preserve">where her husband could not find her. The judge concluded that the appellant was not entitled to a grant of humanitarian protection and that her removal to the Philippines would not breach her human rights. He accordingly dismissed the appeal on all grounds. </w:t>
      </w:r>
      <w:r w:rsidR="00FB0104" w:rsidRPr="008D3E61">
        <w:rPr>
          <w:rFonts w:ascii="Book Antiqua" w:hAnsi="Book Antiqua"/>
        </w:rPr>
        <w:t xml:space="preserve"> </w:t>
      </w:r>
    </w:p>
    <w:p w14:paraId="03898823" w14:textId="77777777" w:rsidR="008F1C60" w:rsidRDefault="008F1C60" w:rsidP="008F1C60">
      <w:pPr>
        <w:tabs>
          <w:tab w:val="left" w:pos="360"/>
          <w:tab w:val="left" w:pos="3190"/>
        </w:tabs>
        <w:overflowPunct w:val="0"/>
        <w:autoSpaceDE w:val="0"/>
        <w:autoSpaceDN w:val="0"/>
        <w:adjustRightInd w:val="0"/>
        <w:jc w:val="both"/>
        <w:textAlignment w:val="baseline"/>
        <w:rPr>
          <w:rFonts w:ascii="Book Antiqua" w:hAnsi="Book Antiqua"/>
        </w:rPr>
      </w:pPr>
    </w:p>
    <w:p w14:paraId="4E384E34" w14:textId="77777777" w:rsidR="008F1C60" w:rsidRDefault="008F1C60" w:rsidP="00354BAC">
      <w:pPr>
        <w:numPr>
          <w:ilvl w:val="2"/>
          <w:numId w:val="1"/>
        </w:numPr>
        <w:tabs>
          <w:tab w:val="left" w:pos="360"/>
          <w:tab w:val="left" w:pos="3190"/>
        </w:tabs>
        <w:overflowPunct w:val="0"/>
        <w:autoSpaceDE w:val="0"/>
        <w:autoSpaceDN w:val="0"/>
        <w:adjustRightInd w:val="0"/>
        <w:ind w:left="0" w:firstLine="0"/>
        <w:jc w:val="both"/>
        <w:textAlignment w:val="baseline"/>
        <w:rPr>
          <w:rFonts w:ascii="Book Antiqua" w:hAnsi="Book Antiqua"/>
        </w:rPr>
      </w:pPr>
      <w:r>
        <w:rPr>
          <w:rFonts w:ascii="Book Antiqua" w:hAnsi="Book Antiqua"/>
        </w:rPr>
        <w:lastRenderedPageBreak/>
        <w:t>The appellant sought permission to appeal the judge’s decision on</w:t>
      </w:r>
      <w:r w:rsidR="00FB5020">
        <w:rPr>
          <w:rFonts w:ascii="Book Antiqua" w:hAnsi="Book Antiqua"/>
        </w:rPr>
        <w:t xml:space="preserve"> the grounds that </w:t>
      </w:r>
      <w:r w:rsidR="008D3E61">
        <w:rPr>
          <w:rFonts w:ascii="Book Antiqua" w:hAnsi="Book Antiqua"/>
        </w:rPr>
        <w:t xml:space="preserve">the judge’s conclusion on sufficiency of protection </w:t>
      </w:r>
      <w:r w:rsidR="002070BA">
        <w:rPr>
          <w:rFonts w:ascii="Book Antiqua" w:hAnsi="Book Antiqua"/>
        </w:rPr>
        <w:t xml:space="preserve">was </w:t>
      </w:r>
      <w:r w:rsidR="008D3E61">
        <w:rPr>
          <w:rFonts w:ascii="Book Antiqua" w:hAnsi="Book Antiqua"/>
        </w:rPr>
        <w:t>not legally sustainable and that as a result h</w:t>
      </w:r>
      <w:r w:rsidR="00870B65">
        <w:rPr>
          <w:rFonts w:ascii="Book Antiqua" w:hAnsi="Book Antiqua"/>
        </w:rPr>
        <w:t>is</w:t>
      </w:r>
      <w:r w:rsidR="008D3E61">
        <w:rPr>
          <w:rFonts w:ascii="Book Antiqua" w:hAnsi="Book Antiqua"/>
        </w:rPr>
        <w:t xml:space="preserve"> findings on internal relocation and Article 8 were not sustainable.</w:t>
      </w:r>
      <w:r w:rsidR="00FB5020">
        <w:rPr>
          <w:rFonts w:ascii="Book Antiqua" w:hAnsi="Book Antiqua"/>
        </w:rPr>
        <w:t xml:space="preserve"> </w:t>
      </w:r>
    </w:p>
    <w:p w14:paraId="611CF02A" w14:textId="77777777" w:rsidR="008F1C60" w:rsidRDefault="008F1C60" w:rsidP="008F1C60">
      <w:pPr>
        <w:pStyle w:val="ListParagraph"/>
        <w:rPr>
          <w:rFonts w:ascii="Book Antiqua" w:hAnsi="Book Antiqua"/>
        </w:rPr>
      </w:pPr>
    </w:p>
    <w:p w14:paraId="2E365BD7" w14:textId="77777777" w:rsidR="00FB5020" w:rsidRPr="006143BD" w:rsidRDefault="008F1C60" w:rsidP="003A620A">
      <w:pPr>
        <w:numPr>
          <w:ilvl w:val="2"/>
          <w:numId w:val="1"/>
        </w:numPr>
        <w:tabs>
          <w:tab w:val="left" w:pos="360"/>
          <w:tab w:val="left" w:pos="3190"/>
        </w:tabs>
        <w:overflowPunct w:val="0"/>
        <w:autoSpaceDE w:val="0"/>
        <w:autoSpaceDN w:val="0"/>
        <w:adjustRightInd w:val="0"/>
        <w:ind w:left="0" w:firstLine="0"/>
        <w:jc w:val="both"/>
        <w:textAlignment w:val="baseline"/>
        <w:rPr>
          <w:rFonts w:ascii="Book Antiqua" w:hAnsi="Book Antiqua"/>
          <w:sz w:val="22"/>
          <w:szCs w:val="22"/>
        </w:rPr>
      </w:pPr>
      <w:r>
        <w:rPr>
          <w:rFonts w:ascii="Book Antiqua" w:hAnsi="Book Antiqua"/>
        </w:rPr>
        <w:t xml:space="preserve">Permission was </w:t>
      </w:r>
      <w:r w:rsidR="008D3E61">
        <w:rPr>
          <w:rFonts w:ascii="Book Antiqua" w:hAnsi="Book Antiqua"/>
        </w:rPr>
        <w:t>refused</w:t>
      </w:r>
      <w:r>
        <w:rPr>
          <w:rFonts w:ascii="Book Antiqua" w:hAnsi="Book Antiqua"/>
        </w:rPr>
        <w:t xml:space="preserve"> in the First-tier Tribunal</w:t>
      </w:r>
      <w:r w:rsidR="008D3E61">
        <w:rPr>
          <w:rFonts w:ascii="Book Antiqua" w:hAnsi="Book Antiqua"/>
        </w:rPr>
        <w:t xml:space="preserve"> but was subsequently granted </w:t>
      </w:r>
      <w:r w:rsidR="00FB5020">
        <w:rPr>
          <w:rFonts w:ascii="Book Antiqua" w:hAnsi="Book Antiqua"/>
        </w:rPr>
        <w:t xml:space="preserve">on </w:t>
      </w:r>
      <w:r w:rsidR="008D3E61">
        <w:rPr>
          <w:rFonts w:ascii="Book Antiqua" w:hAnsi="Book Antiqua"/>
        </w:rPr>
        <w:t>8 January</w:t>
      </w:r>
      <w:r w:rsidR="003A620A">
        <w:rPr>
          <w:rFonts w:ascii="Book Antiqua" w:hAnsi="Book Antiqua"/>
        </w:rPr>
        <w:t xml:space="preserve"> 2018</w:t>
      </w:r>
      <w:r w:rsidR="008D3E61">
        <w:rPr>
          <w:rFonts w:ascii="Book Antiqua" w:hAnsi="Book Antiqua"/>
        </w:rPr>
        <w:t xml:space="preserve"> in the Upper Tribunal in relation to the issue of sufficiency of protection</w:t>
      </w:r>
      <w:r w:rsidR="003A620A">
        <w:rPr>
          <w:rFonts w:ascii="Book Antiqua" w:hAnsi="Book Antiqua"/>
        </w:rPr>
        <w:t>.</w:t>
      </w:r>
    </w:p>
    <w:p w14:paraId="766E261D" w14:textId="77777777" w:rsidR="00F10896" w:rsidRPr="005C0D6F" w:rsidRDefault="00F10896" w:rsidP="00BE3C66">
      <w:pPr>
        <w:pStyle w:val="ListParagraph"/>
        <w:tabs>
          <w:tab w:val="left" w:pos="3190"/>
        </w:tabs>
        <w:ind w:left="0"/>
        <w:rPr>
          <w:rFonts w:ascii="Book Antiqua" w:hAnsi="Book Antiqua"/>
        </w:rPr>
      </w:pPr>
    </w:p>
    <w:p w14:paraId="7AB90CA9" w14:textId="77777777" w:rsidR="005230B8" w:rsidRDefault="00203B64" w:rsidP="005230B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5C0D6F">
        <w:rPr>
          <w:rFonts w:ascii="Book Antiqua" w:hAnsi="Book Antiqua"/>
        </w:rPr>
        <w:t>At the hearing</w:t>
      </w:r>
      <w:r w:rsidR="0081420D">
        <w:rPr>
          <w:rFonts w:ascii="Book Antiqua" w:hAnsi="Book Antiqua"/>
        </w:rPr>
        <w:t xml:space="preserve"> both parties made submissions before me.</w:t>
      </w:r>
      <w:r w:rsidR="003A620A">
        <w:rPr>
          <w:rFonts w:ascii="Book Antiqua" w:hAnsi="Book Antiqua"/>
        </w:rPr>
        <w:t xml:space="preserve"> </w:t>
      </w:r>
    </w:p>
    <w:p w14:paraId="28279F6A" w14:textId="77777777" w:rsidR="008D3E61" w:rsidRDefault="008D3E61" w:rsidP="008D3E61">
      <w:pPr>
        <w:pStyle w:val="ListParagraph"/>
        <w:rPr>
          <w:rFonts w:ascii="Book Antiqua" w:hAnsi="Book Antiqua"/>
        </w:rPr>
      </w:pPr>
    </w:p>
    <w:p w14:paraId="131B6E44" w14:textId="77777777" w:rsidR="008D3E61" w:rsidRPr="009333E8" w:rsidRDefault="008D3E61" w:rsidP="005230B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Mr </w:t>
      </w:r>
      <w:proofErr w:type="spellStart"/>
      <w:r>
        <w:rPr>
          <w:rFonts w:ascii="Book Antiqua" w:hAnsi="Book Antiqua"/>
        </w:rPr>
        <w:t>Fripp</w:t>
      </w:r>
      <w:proofErr w:type="spellEnd"/>
      <w:r>
        <w:rPr>
          <w:rFonts w:ascii="Book Antiqua" w:hAnsi="Book Antiqua"/>
        </w:rPr>
        <w:t xml:space="preserve"> relied and expanded upon the grounds. He referred to the </w:t>
      </w:r>
      <w:r w:rsidR="00505969">
        <w:rPr>
          <w:rFonts w:ascii="Book Antiqua" w:hAnsi="Book Antiqua"/>
        </w:rPr>
        <w:t xml:space="preserve">situation in the Philippines since the new president had come to power, including the campaign against drugs and the number of extrajudicial executions as well as the president’s anti-women stance and encouragement of rape. He submitted that the judge had erred by relying on the police action against the appellant’s husband in concluding that there was a sufficiency of protection available to her, when her husband had only ever been detained for short periods of time, the authorities had never pursued a prosecution against him and he had consistently been violent towards her after the courts had </w:t>
      </w:r>
      <w:r w:rsidR="00870B65">
        <w:rPr>
          <w:rFonts w:ascii="Book Antiqua" w:hAnsi="Book Antiqua"/>
        </w:rPr>
        <w:t>made</w:t>
      </w:r>
      <w:r w:rsidR="00505969">
        <w:rPr>
          <w:rFonts w:ascii="Book Antiqua" w:hAnsi="Book Antiqua"/>
        </w:rPr>
        <w:t xml:space="preserve"> non-violence orders against him.  Mr </w:t>
      </w:r>
      <w:proofErr w:type="spellStart"/>
      <w:r w:rsidR="00505969">
        <w:rPr>
          <w:rFonts w:ascii="Book Antiqua" w:hAnsi="Book Antiqua"/>
        </w:rPr>
        <w:t>Fripp</w:t>
      </w:r>
      <w:proofErr w:type="spellEnd"/>
      <w:r w:rsidR="00505969">
        <w:rPr>
          <w:rFonts w:ascii="Book Antiqua" w:hAnsi="Book Antiqua"/>
        </w:rPr>
        <w:t xml:space="preserve"> referred to the official transcript of a mediation in regard to the nature and level of threats made by the appellant’s husband. He submitted that the judge had relied upon the fact that there were laws on the statute books protecting women but had failed to consider the fact that the appellant’s husband ignored the court orders made against him and had continued to act with impunity. Whilst the judge considered that no rational person would believe that the appellant was a drug user or dealer, he failed to consider her evidence that the police did not act rationally. It could not </w:t>
      </w:r>
      <w:r w:rsidR="00505969" w:rsidRPr="009333E8">
        <w:rPr>
          <w:rFonts w:ascii="Book Antiqua" w:hAnsi="Book Antiqua"/>
        </w:rPr>
        <w:t xml:space="preserve">therefore be accepted that she would not be pursued as a drug dealer. Mr </w:t>
      </w:r>
      <w:proofErr w:type="spellStart"/>
      <w:r w:rsidR="00505969" w:rsidRPr="009333E8">
        <w:rPr>
          <w:rFonts w:ascii="Book Antiqua" w:hAnsi="Book Antiqua"/>
        </w:rPr>
        <w:t>Fripp</w:t>
      </w:r>
      <w:proofErr w:type="spellEnd"/>
      <w:r w:rsidR="00505969" w:rsidRPr="009333E8">
        <w:rPr>
          <w:rFonts w:ascii="Book Antiqua" w:hAnsi="Book Antiqua"/>
        </w:rPr>
        <w:t xml:space="preserve"> relied on the cases of </w:t>
      </w:r>
      <w:r w:rsidR="009333E8" w:rsidRPr="009333E8">
        <w:rPr>
          <w:rFonts w:ascii="Book Antiqua" w:hAnsi="Book Antiqua"/>
          <w:color w:val="000000"/>
          <w:u w:val="single"/>
        </w:rPr>
        <w:t xml:space="preserve">Horvath v. Secretary of State </w:t>
      </w:r>
      <w:proofErr w:type="gramStart"/>
      <w:r w:rsidR="009333E8" w:rsidRPr="009333E8">
        <w:rPr>
          <w:rFonts w:ascii="Book Antiqua" w:hAnsi="Book Antiqua"/>
          <w:color w:val="000000"/>
          <w:u w:val="single"/>
        </w:rPr>
        <w:t>For</w:t>
      </w:r>
      <w:proofErr w:type="gramEnd"/>
      <w:r w:rsidR="009333E8" w:rsidRPr="009333E8">
        <w:rPr>
          <w:rFonts w:ascii="Book Antiqua" w:hAnsi="Book Antiqua"/>
          <w:color w:val="000000"/>
          <w:u w:val="single"/>
        </w:rPr>
        <w:t xml:space="preserve"> The Home Department [2000] UKHL 37</w:t>
      </w:r>
      <w:r w:rsidR="009333E8" w:rsidRPr="009333E8">
        <w:rPr>
          <w:rFonts w:ascii="Book Antiqua" w:hAnsi="Book Antiqua"/>
          <w:color w:val="000000"/>
        </w:rPr>
        <w:t xml:space="preserve">, </w:t>
      </w:r>
      <w:proofErr w:type="spellStart"/>
      <w:r w:rsidR="009333E8" w:rsidRPr="009333E8">
        <w:rPr>
          <w:rFonts w:ascii="Book Antiqua" w:hAnsi="Book Antiqua"/>
          <w:color w:val="000000"/>
          <w:u w:val="single"/>
        </w:rPr>
        <w:t>Noune</w:t>
      </w:r>
      <w:proofErr w:type="spellEnd"/>
      <w:r w:rsidR="009333E8" w:rsidRPr="009333E8">
        <w:rPr>
          <w:rFonts w:ascii="Book Antiqua" w:hAnsi="Book Antiqua"/>
          <w:color w:val="000000"/>
          <w:u w:val="single"/>
        </w:rPr>
        <w:t xml:space="preserve"> v Secretary Of State For Home Department [2000] EWCA </w:t>
      </w:r>
      <w:proofErr w:type="spellStart"/>
      <w:r w:rsidR="009333E8" w:rsidRPr="009333E8">
        <w:rPr>
          <w:rFonts w:ascii="Book Antiqua" w:hAnsi="Book Antiqua"/>
          <w:color w:val="000000"/>
          <w:u w:val="single"/>
        </w:rPr>
        <w:t>Civ</w:t>
      </w:r>
      <w:proofErr w:type="spellEnd"/>
      <w:r w:rsidR="009333E8" w:rsidRPr="009333E8">
        <w:rPr>
          <w:rFonts w:ascii="Book Antiqua" w:hAnsi="Book Antiqua"/>
          <w:color w:val="000000"/>
          <w:u w:val="single"/>
        </w:rPr>
        <w:t xml:space="preserve"> 306</w:t>
      </w:r>
      <w:r w:rsidR="009333E8" w:rsidRPr="009333E8">
        <w:rPr>
          <w:rFonts w:ascii="Book Antiqua" w:hAnsi="Book Antiqua"/>
          <w:color w:val="000000"/>
        </w:rPr>
        <w:t xml:space="preserve"> and </w:t>
      </w:r>
      <w:proofErr w:type="spellStart"/>
      <w:r w:rsidR="009333E8" w:rsidRPr="009333E8">
        <w:rPr>
          <w:rFonts w:ascii="Book Antiqua" w:hAnsi="Book Antiqua"/>
          <w:color w:val="000000"/>
          <w:u w:val="single"/>
        </w:rPr>
        <w:t>Bagdanavicius</w:t>
      </w:r>
      <w:proofErr w:type="spellEnd"/>
      <w:r w:rsidR="009333E8" w:rsidRPr="009333E8">
        <w:rPr>
          <w:rFonts w:ascii="Book Antiqua" w:hAnsi="Book Antiqua"/>
          <w:color w:val="000000"/>
          <w:u w:val="single"/>
        </w:rPr>
        <w:t xml:space="preserve"> &amp; Anor, R (On the Application of) v Secretary of State for the Home Department [2003] EWCA </w:t>
      </w:r>
      <w:proofErr w:type="spellStart"/>
      <w:r w:rsidR="009333E8" w:rsidRPr="009333E8">
        <w:rPr>
          <w:rFonts w:ascii="Book Antiqua" w:hAnsi="Book Antiqua"/>
          <w:color w:val="000000"/>
          <w:u w:val="single"/>
        </w:rPr>
        <w:t>Civ</w:t>
      </w:r>
      <w:proofErr w:type="spellEnd"/>
      <w:r w:rsidR="009333E8" w:rsidRPr="009333E8">
        <w:rPr>
          <w:rFonts w:ascii="Book Antiqua" w:hAnsi="Book Antiqua"/>
          <w:color w:val="000000"/>
          <w:u w:val="single"/>
        </w:rPr>
        <w:t xml:space="preserve"> 1605</w:t>
      </w:r>
      <w:r w:rsidR="009333E8" w:rsidRPr="009333E8">
        <w:rPr>
          <w:rFonts w:ascii="Book Antiqua" w:hAnsi="Book Antiqua"/>
          <w:color w:val="000000"/>
        </w:rPr>
        <w:t xml:space="preserve"> </w:t>
      </w:r>
      <w:r w:rsidR="009333E8">
        <w:rPr>
          <w:rFonts w:ascii="Book Antiqua" w:hAnsi="Book Antiqua"/>
          <w:color w:val="000000"/>
        </w:rPr>
        <w:t xml:space="preserve">and the expert report produced for the appeal </w:t>
      </w:r>
      <w:r w:rsidR="009333E8" w:rsidRPr="009333E8">
        <w:rPr>
          <w:rFonts w:ascii="Book Antiqua" w:hAnsi="Book Antiqua"/>
          <w:color w:val="000000"/>
        </w:rPr>
        <w:t xml:space="preserve">in submitting that </w:t>
      </w:r>
      <w:r w:rsidR="009333E8">
        <w:rPr>
          <w:rFonts w:ascii="Book Antiqua" w:hAnsi="Book Antiqua"/>
          <w:color w:val="000000"/>
        </w:rPr>
        <w:t xml:space="preserve">the judge had erred in his approach to the question of sufficiency of protection. With regard to the second ground relating to internal relocation Mr </w:t>
      </w:r>
      <w:proofErr w:type="spellStart"/>
      <w:r w:rsidR="009333E8">
        <w:rPr>
          <w:rFonts w:ascii="Book Antiqua" w:hAnsi="Book Antiqua"/>
          <w:color w:val="000000"/>
        </w:rPr>
        <w:t>Fripp</w:t>
      </w:r>
      <w:proofErr w:type="spellEnd"/>
      <w:r w:rsidR="009333E8">
        <w:rPr>
          <w:rFonts w:ascii="Book Antiqua" w:hAnsi="Book Antiqua"/>
          <w:color w:val="000000"/>
        </w:rPr>
        <w:t xml:space="preserve"> submitted that it could not be separated from the integrity of the findings on sufficiency of protection.</w:t>
      </w:r>
    </w:p>
    <w:p w14:paraId="1E61E87E" w14:textId="77777777" w:rsidR="009333E8" w:rsidRPr="009333E8" w:rsidRDefault="009333E8" w:rsidP="009333E8">
      <w:pPr>
        <w:tabs>
          <w:tab w:val="left" w:pos="360"/>
        </w:tabs>
        <w:overflowPunct w:val="0"/>
        <w:autoSpaceDE w:val="0"/>
        <w:autoSpaceDN w:val="0"/>
        <w:adjustRightInd w:val="0"/>
        <w:jc w:val="both"/>
        <w:textAlignment w:val="baseline"/>
        <w:rPr>
          <w:rFonts w:ascii="Book Antiqua" w:hAnsi="Book Antiqua"/>
        </w:rPr>
      </w:pPr>
    </w:p>
    <w:p w14:paraId="2D20EFAF" w14:textId="77777777" w:rsidR="009333E8" w:rsidRDefault="009333E8" w:rsidP="005230B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Mrs </w:t>
      </w:r>
      <w:proofErr w:type="spellStart"/>
      <w:r>
        <w:rPr>
          <w:rFonts w:ascii="Book Antiqua" w:hAnsi="Book Antiqua"/>
        </w:rPr>
        <w:t>Aboni</w:t>
      </w:r>
      <w:proofErr w:type="spellEnd"/>
      <w:r>
        <w:rPr>
          <w:rFonts w:ascii="Book Antiqua" w:hAnsi="Book Antiqua"/>
        </w:rPr>
        <w:t xml:space="preserve"> submitted that the judge </w:t>
      </w:r>
      <w:r w:rsidR="000129AA">
        <w:rPr>
          <w:rFonts w:ascii="Book Antiqua" w:hAnsi="Book Antiqua"/>
        </w:rPr>
        <w:t xml:space="preserve">had </w:t>
      </w:r>
      <w:r>
        <w:rPr>
          <w:rFonts w:ascii="Book Antiqua" w:hAnsi="Book Antiqua"/>
        </w:rPr>
        <w:t>made adequate findings on sufficiency of protection and gave adequate reasons for concluding that the appellant was not at risk on return.</w:t>
      </w:r>
    </w:p>
    <w:p w14:paraId="6397D21B" w14:textId="77777777" w:rsidR="009333E8" w:rsidRDefault="009333E8" w:rsidP="009333E8">
      <w:pPr>
        <w:pStyle w:val="ListParagraph"/>
        <w:rPr>
          <w:rFonts w:ascii="Book Antiqua" w:hAnsi="Book Antiqua"/>
        </w:rPr>
      </w:pPr>
    </w:p>
    <w:p w14:paraId="5264453A" w14:textId="77777777" w:rsidR="009333E8" w:rsidRDefault="009333E8" w:rsidP="009333E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Mr </w:t>
      </w:r>
      <w:proofErr w:type="spellStart"/>
      <w:r>
        <w:rPr>
          <w:rFonts w:ascii="Book Antiqua" w:hAnsi="Book Antiqua"/>
        </w:rPr>
        <w:t>Fripp</w:t>
      </w:r>
      <w:proofErr w:type="spellEnd"/>
      <w:r>
        <w:rPr>
          <w:rFonts w:ascii="Book Antiqua" w:hAnsi="Book Antiqua"/>
        </w:rPr>
        <w:t xml:space="preserve"> reiterate</w:t>
      </w:r>
      <w:r w:rsidR="009D2D7C">
        <w:rPr>
          <w:rFonts w:ascii="Book Antiqua" w:hAnsi="Book Antiqua"/>
        </w:rPr>
        <w:t>d</w:t>
      </w:r>
      <w:r>
        <w:rPr>
          <w:rFonts w:ascii="Book Antiqua" w:hAnsi="Book Antiqua"/>
        </w:rPr>
        <w:t xml:space="preserve"> the points previously made in response and asked that the decision be set </w:t>
      </w:r>
      <w:r w:rsidRPr="009333E8">
        <w:rPr>
          <w:rFonts w:ascii="Book Antiqua" w:hAnsi="Book Antiqua"/>
        </w:rPr>
        <w:t>aside and re-made</w:t>
      </w:r>
      <w:r>
        <w:rPr>
          <w:rFonts w:ascii="Book Antiqua" w:hAnsi="Book Antiqua"/>
        </w:rPr>
        <w:t xml:space="preserve"> by allowing the appeal or alternatively that there be a resumed hearing in which further </w:t>
      </w:r>
      <w:r w:rsidR="000129AA">
        <w:rPr>
          <w:rFonts w:ascii="Book Antiqua" w:hAnsi="Book Antiqua"/>
        </w:rPr>
        <w:t xml:space="preserve">evidence </w:t>
      </w:r>
      <w:r>
        <w:rPr>
          <w:rFonts w:ascii="Book Antiqua" w:hAnsi="Book Antiqua"/>
        </w:rPr>
        <w:t>could be produced about the appellant’s husband’s more recent actions.</w:t>
      </w:r>
      <w:r w:rsidR="009D2D7C">
        <w:rPr>
          <w:rFonts w:ascii="Book Antiqua" w:hAnsi="Book Antiqua"/>
        </w:rPr>
        <w:t xml:space="preserve"> Mrs </w:t>
      </w:r>
      <w:proofErr w:type="spellStart"/>
      <w:r w:rsidR="009D2D7C">
        <w:rPr>
          <w:rFonts w:ascii="Book Antiqua" w:hAnsi="Book Antiqua"/>
        </w:rPr>
        <w:t>Aboni</w:t>
      </w:r>
      <w:proofErr w:type="spellEnd"/>
      <w:r w:rsidR="009D2D7C">
        <w:rPr>
          <w:rFonts w:ascii="Book Antiqua" w:hAnsi="Book Antiqua"/>
        </w:rPr>
        <w:t xml:space="preserve"> agreed that if an error of law were found the appeal could be re-made on the evidence already available.</w:t>
      </w:r>
    </w:p>
    <w:p w14:paraId="6BC09FBA" w14:textId="77777777" w:rsidR="009333E8" w:rsidRDefault="009333E8" w:rsidP="009333E8">
      <w:pPr>
        <w:pStyle w:val="ListParagraph"/>
        <w:rPr>
          <w:rFonts w:ascii="Book Antiqua" w:hAnsi="Book Antiqua"/>
        </w:rPr>
      </w:pPr>
    </w:p>
    <w:p w14:paraId="3E69E344" w14:textId="77777777" w:rsidR="00E47EE9" w:rsidRDefault="00E47EE9" w:rsidP="009333E8">
      <w:pPr>
        <w:pStyle w:val="ListParagraph"/>
        <w:ind w:left="0"/>
        <w:rPr>
          <w:rFonts w:ascii="Book Antiqua" w:hAnsi="Book Antiqua"/>
          <w:b/>
        </w:rPr>
      </w:pPr>
    </w:p>
    <w:p w14:paraId="663CE0C4" w14:textId="77777777" w:rsidR="00E47EE9" w:rsidRDefault="00E47EE9" w:rsidP="009333E8">
      <w:pPr>
        <w:pStyle w:val="ListParagraph"/>
        <w:ind w:left="0"/>
        <w:rPr>
          <w:rFonts w:ascii="Book Antiqua" w:hAnsi="Book Antiqua"/>
          <w:b/>
        </w:rPr>
      </w:pPr>
    </w:p>
    <w:p w14:paraId="619C12A1" w14:textId="77777777" w:rsidR="00E47EE9" w:rsidRDefault="00E47EE9" w:rsidP="009333E8">
      <w:pPr>
        <w:pStyle w:val="ListParagraph"/>
        <w:ind w:left="0"/>
        <w:rPr>
          <w:rFonts w:ascii="Book Antiqua" w:hAnsi="Book Antiqua"/>
          <w:b/>
        </w:rPr>
      </w:pPr>
    </w:p>
    <w:p w14:paraId="57BCA4B8" w14:textId="77B12317" w:rsidR="009333E8" w:rsidRPr="009333E8" w:rsidRDefault="009333E8" w:rsidP="009333E8">
      <w:pPr>
        <w:pStyle w:val="ListParagraph"/>
        <w:ind w:left="0"/>
        <w:rPr>
          <w:rFonts w:ascii="Book Antiqua" w:hAnsi="Book Antiqua"/>
          <w:b/>
        </w:rPr>
      </w:pPr>
      <w:r>
        <w:rPr>
          <w:rFonts w:ascii="Book Antiqua" w:hAnsi="Book Antiqua"/>
          <w:b/>
        </w:rPr>
        <w:lastRenderedPageBreak/>
        <w:t>Discussion and conclusions</w:t>
      </w:r>
    </w:p>
    <w:p w14:paraId="7B081450" w14:textId="77777777" w:rsidR="009333E8" w:rsidRDefault="009333E8" w:rsidP="009333E8">
      <w:pPr>
        <w:pStyle w:val="ListParagraph"/>
        <w:rPr>
          <w:rFonts w:ascii="Book Antiqua" w:hAnsi="Book Antiqua"/>
        </w:rPr>
      </w:pPr>
    </w:p>
    <w:p w14:paraId="0000295E" w14:textId="77777777" w:rsidR="009333E8" w:rsidRDefault="005D270A" w:rsidP="009333E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I find considerable force in the appellant’s grounds in relation to the judge’s findings on sufficiency of protection. I accept the submissions made by Mr </w:t>
      </w:r>
      <w:proofErr w:type="spellStart"/>
      <w:r>
        <w:rPr>
          <w:rFonts w:ascii="Book Antiqua" w:hAnsi="Book Antiqua"/>
        </w:rPr>
        <w:t>Fripp</w:t>
      </w:r>
      <w:proofErr w:type="spellEnd"/>
      <w:r>
        <w:rPr>
          <w:rFonts w:ascii="Book Antiqua" w:hAnsi="Book Antiqua"/>
        </w:rPr>
        <w:t xml:space="preserve"> that, whilst the judge </w:t>
      </w:r>
      <w:r w:rsidR="00F42673">
        <w:rPr>
          <w:rFonts w:ascii="Book Antiqua" w:hAnsi="Book Antiqua"/>
        </w:rPr>
        <w:t xml:space="preserve">had regard to the guidance in </w:t>
      </w:r>
      <w:r w:rsidR="00F42673" w:rsidRPr="00F42673">
        <w:rPr>
          <w:rFonts w:ascii="Book Antiqua" w:hAnsi="Book Antiqua"/>
          <w:u w:val="single"/>
        </w:rPr>
        <w:t>Horvath</w:t>
      </w:r>
      <w:r w:rsidR="00F42673">
        <w:rPr>
          <w:rFonts w:ascii="Book Antiqua" w:hAnsi="Book Antiqua"/>
        </w:rPr>
        <w:t>, his</w:t>
      </w:r>
      <w:r>
        <w:rPr>
          <w:rFonts w:ascii="Book Antiqua" w:hAnsi="Book Antiqua"/>
        </w:rPr>
        <w:t xml:space="preserve"> approach to </w:t>
      </w:r>
      <w:r w:rsidR="00F42673">
        <w:rPr>
          <w:rFonts w:ascii="Book Antiqua" w:hAnsi="Book Antiqua"/>
        </w:rPr>
        <w:t xml:space="preserve">the question of adequacy of protection </w:t>
      </w:r>
      <w:r>
        <w:rPr>
          <w:rFonts w:ascii="Book Antiqua" w:hAnsi="Book Antiqua"/>
        </w:rPr>
        <w:t xml:space="preserve">was contrary to the </w:t>
      </w:r>
      <w:r w:rsidR="00F42673">
        <w:rPr>
          <w:rFonts w:ascii="Book Antiqua" w:hAnsi="Book Antiqua"/>
        </w:rPr>
        <w:t xml:space="preserve">further guidance in </w:t>
      </w:r>
      <w:proofErr w:type="spellStart"/>
      <w:r w:rsidR="00F42673" w:rsidRPr="00F42673">
        <w:rPr>
          <w:rFonts w:ascii="Book Antiqua" w:hAnsi="Book Antiqua"/>
          <w:u w:val="single"/>
        </w:rPr>
        <w:t>Noune</w:t>
      </w:r>
      <w:proofErr w:type="spellEnd"/>
      <w:r w:rsidR="00F42673">
        <w:rPr>
          <w:rFonts w:ascii="Book Antiqua" w:hAnsi="Book Antiqua"/>
        </w:rPr>
        <w:t xml:space="preserve"> at [28], </w:t>
      </w:r>
      <w:r w:rsidR="00BC7140">
        <w:rPr>
          <w:rFonts w:ascii="Book Antiqua" w:hAnsi="Book Antiqua"/>
        </w:rPr>
        <w:t>in which</w:t>
      </w:r>
      <w:r w:rsidR="00F42673">
        <w:rPr>
          <w:rFonts w:ascii="Book Antiqua" w:hAnsi="Book Antiqua"/>
        </w:rPr>
        <w:t xml:space="preserve"> the Court of Appeal emphasised the provision of protection “in practical terms”</w:t>
      </w:r>
      <w:r w:rsidR="00BC7140">
        <w:rPr>
          <w:rFonts w:ascii="Book Antiqua" w:hAnsi="Book Antiqua"/>
        </w:rPr>
        <w:t xml:space="preserve">. As Mr </w:t>
      </w:r>
      <w:proofErr w:type="spellStart"/>
      <w:r w:rsidR="00BC7140">
        <w:rPr>
          <w:rFonts w:ascii="Book Antiqua" w:hAnsi="Book Antiqua"/>
        </w:rPr>
        <w:t>Fripp</w:t>
      </w:r>
      <w:proofErr w:type="spellEnd"/>
      <w:r w:rsidR="00BC7140">
        <w:rPr>
          <w:rFonts w:ascii="Book Antiqua" w:hAnsi="Book Antiqua"/>
        </w:rPr>
        <w:t xml:space="preserve"> submitted, the judge’s conclusion, that there was a sufficiency of protection available to the appellant, was based upon the existence of a criminal law in the Philippines which on paper provided protection </w:t>
      </w:r>
      <w:r w:rsidR="00957795">
        <w:rPr>
          <w:rFonts w:ascii="Book Antiqua" w:hAnsi="Book Antiqua"/>
        </w:rPr>
        <w:t xml:space="preserve">to </w:t>
      </w:r>
      <w:r w:rsidR="00BC7140">
        <w:rPr>
          <w:rFonts w:ascii="Book Antiqua" w:hAnsi="Book Antiqua"/>
        </w:rPr>
        <w:t xml:space="preserve">victims of domestic violence, together with the evidence that the authorities had taken action against the appellant’s husband. </w:t>
      </w:r>
      <w:proofErr w:type="gramStart"/>
      <w:r w:rsidR="00BC7140">
        <w:rPr>
          <w:rFonts w:ascii="Book Antiqua" w:hAnsi="Book Antiqua"/>
        </w:rPr>
        <w:t>However</w:t>
      </w:r>
      <w:proofErr w:type="gramEnd"/>
      <w:r w:rsidR="00BC7140">
        <w:rPr>
          <w:rFonts w:ascii="Book Antiqua" w:hAnsi="Book Antiqua"/>
        </w:rPr>
        <w:t xml:space="preserve"> what the judge failed to take into account was the fact that the appellant’s husband was in effect able</w:t>
      </w:r>
      <w:r w:rsidR="00521661">
        <w:rPr>
          <w:rFonts w:ascii="Book Antiqua" w:hAnsi="Book Antiqua"/>
        </w:rPr>
        <w:t>, repeatedly,</w:t>
      </w:r>
      <w:r w:rsidR="00BC7140">
        <w:rPr>
          <w:rFonts w:ascii="Book Antiqua" w:hAnsi="Book Antiqua"/>
        </w:rPr>
        <w:t xml:space="preserve"> to act with impunity and to have disregard for the protection orders made against him. As Mr </w:t>
      </w:r>
      <w:proofErr w:type="spellStart"/>
      <w:r w:rsidR="00BC7140">
        <w:rPr>
          <w:rFonts w:ascii="Book Antiqua" w:hAnsi="Book Antiqua"/>
        </w:rPr>
        <w:t>Fripp’s</w:t>
      </w:r>
      <w:proofErr w:type="spellEnd"/>
      <w:r w:rsidR="00BC7140">
        <w:rPr>
          <w:rFonts w:ascii="Book Antiqua" w:hAnsi="Book Antiqua"/>
        </w:rPr>
        <w:t xml:space="preserve"> grounds properly assert at [8(iii)], the accepted facts were that, whilst the police had intervened and whilst protective orders had been made, the appellant’s husband had been released on each occasion and had gone on to threaten and assault her, on one occasion </w:t>
      </w:r>
      <w:r w:rsidR="00957795">
        <w:rPr>
          <w:rFonts w:ascii="Book Antiqua" w:hAnsi="Book Antiqua"/>
        </w:rPr>
        <w:t xml:space="preserve">in August 2015 </w:t>
      </w:r>
      <w:r w:rsidR="00BC7140">
        <w:rPr>
          <w:rFonts w:ascii="Book Antiqua" w:hAnsi="Book Antiqua"/>
        </w:rPr>
        <w:t xml:space="preserve">as she was leaving the court building. </w:t>
      </w:r>
      <w:r w:rsidR="00957795">
        <w:rPr>
          <w:rFonts w:ascii="Book Antiqua" w:hAnsi="Book Antiqua"/>
        </w:rPr>
        <w:t xml:space="preserve">There was particularly compelling evidence before the judge which appears to have been given little weight in the assessment of adequacy of protection, namely the mediation document at page F111 of the respondent’s bundle in which the Barangay, the local authorities, simply ignored the </w:t>
      </w:r>
      <w:r w:rsidR="00D66E01">
        <w:rPr>
          <w:rFonts w:ascii="Book Antiqua" w:hAnsi="Book Antiqua"/>
        </w:rPr>
        <w:t xml:space="preserve">significantly </w:t>
      </w:r>
      <w:r w:rsidR="00957795">
        <w:rPr>
          <w:rFonts w:ascii="Book Antiqua" w:hAnsi="Book Antiqua"/>
        </w:rPr>
        <w:t xml:space="preserve">violent threats made by the appellant’s husband and granted his request that her sister take her (the appellant) back </w:t>
      </w:r>
      <w:r w:rsidR="000129AA">
        <w:rPr>
          <w:rFonts w:ascii="Book Antiqua" w:hAnsi="Book Antiqua"/>
        </w:rPr>
        <w:t xml:space="preserve">to the family </w:t>
      </w:r>
      <w:r w:rsidR="00957795">
        <w:rPr>
          <w:rFonts w:ascii="Book Antiqua" w:hAnsi="Book Antiqua"/>
        </w:rPr>
        <w:t>home.</w:t>
      </w:r>
    </w:p>
    <w:p w14:paraId="213FA8A2" w14:textId="77777777" w:rsidR="00521661" w:rsidRDefault="00521661" w:rsidP="00521661">
      <w:pPr>
        <w:tabs>
          <w:tab w:val="left" w:pos="360"/>
        </w:tabs>
        <w:overflowPunct w:val="0"/>
        <w:autoSpaceDE w:val="0"/>
        <w:autoSpaceDN w:val="0"/>
        <w:adjustRightInd w:val="0"/>
        <w:jc w:val="both"/>
        <w:textAlignment w:val="baseline"/>
        <w:rPr>
          <w:rFonts w:ascii="Book Antiqua" w:hAnsi="Book Antiqua"/>
        </w:rPr>
      </w:pPr>
    </w:p>
    <w:p w14:paraId="22350C25" w14:textId="77777777" w:rsidR="003F1C17" w:rsidRDefault="00521661" w:rsidP="009333E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It is, furthermore, relevant to note that the judge relied on the fact that the appellant was able to remain living in her home town between August 2015 and November 2015, in concluding that she was able to escape her husband. </w:t>
      </w:r>
      <w:proofErr w:type="gramStart"/>
      <w:r>
        <w:rPr>
          <w:rFonts w:ascii="Book Antiqua" w:hAnsi="Book Antiqua"/>
        </w:rPr>
        <w:t>However</w:t>
      </w:r>
      <w:proofErr w:type="gramEnd"/>
      <w:r>
        <w:rPr>
          <w:rFonts w:ascii="Book Antiqua" w:hAnsi="Book Antiqua"/>
        </w:rPr>
        <w:t xml:space="preserve"> the evidence before the judge was that the appellant was in fact hiding in a </w:t>
      </w:r>
      <w:r w:rsidR="003F1C17">
        <w:rPr>
          <w:rFonts w:ascii="Book Antiqua" w:hAnsi="Book Antiqua"/>
        </w:rPr>
        <w:t xml:space="preserve">women’s hostel/ </w:t>
      </w:r>
      <w:r>
        <w:rPr>
          <w:rFonts w:ascii="Book Antiqua" w:hAnsi="Book Antiqua"/>
        </w:rPr>
        <w:t>boarding house after her husband found her at her sister’s house</w:t>
      </w:r>
      <w:r w:rsidR="003F1C17">
        <w:rPr>
          <w:rFonts w:ascii="Book Antiqua" w:hAnsi="Book Antiqua"/>
        </w:rPr>
        <w:t xml:space="preserve"> and attacked her. The evidence, therefore, was that her husband did not know where she was at that time, and clearly there could be nothing more than speculation that he would not have managed to locate her there and assault her again.</w:t>
      </w:r>
    </w:p>
    <w:p w14:paraId="681FBF08" w14:textId="77777777" w:rsidR="003F1C17" w:rsidRDefault="003F1C17" w:rsidP="003F1C17">
      <w:pPr>
        <w:pStyle w:val="ListParagraph"/>
        <w:rPr>
          <w:rFonts w:ascii="Book Antiqua" w:hAnsi="Book Antiqua"/>
        </w:rPr>
      </w:pPr>
    </w:p>
    <w:p w14:paraId="24F07CB6" w14:textId="77777777" w:rsidR="00521661" w:rsidRDefault="00521661" w:rsidP="009333E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 Accordingly, and whilst I </w:t>
      </w:r>
      <w:r w:rsidR="003F1C17">
        <w:rPr>
          <w:rFonts w:ascii="Book Antiqua" w:hAnsi="Book Antiqua"/>
        </w:rPr>
        <w:t>consider</w:t>
      </w:r>
      <w:r>
        <w:rPr>
          <w:rFonts w:ascii="Book Antiqua" w:hAnsi="Book Antiqua"/>
        </w:rPr>
        <w:t xml:space="preserve"> </w:t>
      </w:r>
      <w:r w:rsidR="003F1C17">
        <w:rPr>
          <w:rFonts w:ascii="Book Antiqua" w:hAnsi="Book Antiqua"/>
        </w:rPr>
        <w:t xml:space="preserve">that the judge </w:t>
      </w:r>
      <w:r w:rsidR="00D66E01">
        <w:rPr>
          <w:rFonts w:ascii="Book Antiqua" w:hAnsi="Book Antiqua"/>
        </w:rPr>
        <w:t>gave adequate and cogent reasons for rejecting</w:t>
      </w:r>
      <w:r w:rsidR="003F1C17">
        <w:rPr>
          <w:rFonts w:ascii="Book Antiqua" w:hAnsi="Book Antiqua"/>
        </w:rPr>
        <w:t xml:space="preserve"> the appellant’s claim that she would be widely believed to be a drug user, I conclude that he erred in law in his approach to the question of sufficiency of protection</w:t>
      </w:r>
      <w:r w:rsidR="00102910">
        <w:rPr>
          <w:rFonts w:ascii="Book Antiqua" w:hAnsi="Book Antiqua"/>
        </w:rPr>
        <w:t xml:space="preserve"> and his assessment of the evidence</w:t>
      </w:r>
      <w:r w:rsidR="003F1C17">
        <w:rPr>
          <w:rFonts w:ascii="Book Antiqua" w:hAnsi="Book Antiqua"/>
        </w:rPr>
        <w:t xml:space="preserve">. </w:t>
      </w:r>
      <w:r w:rsidR="00102910">
        <w:rPr>
          <w:rFonts w:ascii="Book Antiqua" w:hAnsi="Book Antiqua"/>
        </w:rPr>
        <w:t xml:space="preserve">On a proper assessment of the evidence, and applying the question of protection </w:t>
      </w:r>
      <w:r w:rsidR="000129AA">
        <w:rPr>
          <w:rFonts w:ascii="Book Antiqua" w:hAnsi="Book Antiqua"/>
        </w:rPr>
        <w:t>“</w:t>
      </w:r>
      <w:r w:rsidR="00102910">
        <w:rPr>
          <w:rFonts w:ascii="Book Antiqua" w:hAnsi="Book Antiqua"/>
        </w:rPr>
        <w:t>in practical terms</w:t>
      </w:r>
      <w:r w:rsidR="000129AA">
        <w:rPr>
          <w:rFonts w:ascii="Book Antiqua" w:hAnsi="Book Antiqua"/>
        </w:rPr>
        <w:t>”</w:t>
      </w:r>
      <w:r w:rsidR="00102910">
        <w:rPr>
          <w:rFonts w:ascii="Book Antiqua" w:hAnsi="Book Antiqua"/>
        </w:rPr>
        <w:t xml:space="preserve">, it seems to me that the appellant has more than adequately demonstrated that she would be at risk on return to her home area and that she could not rely upon the state authorities for protection against her husband. </w:t>
      </w:r>
    </w:p>
    <w:p w14:paraId="38ED0DB0" w14:textId="77777777" w:rsidR="00102910" w:rsidRDefault="00102910" w:rsidP="00102910">
      <w:pPr>
        <w:pStyle w:val="ListParagraph"/>
        <w:rPr>
          <w:rFonts w:ascii="Book Antiqua" w:hAnsi="Book Antiqua"/>
        </w:rPr>
      </w:pPr>
    </w:p>
    <w:p w14:paraId="7932DBEC" w14:textId="77777777" w:rsidR="00102910" w:rsidRDefault="00102910" w:rsidP="009333E8">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I turn, therefore, to the question of internal relocation.</w:t>
      </w:r>
      <w:r w:rsidR="008300B3">
        <w:rPr>
          <w:rFonts w:ascii="Book Antiqua" w:hAnsi="Book Antiqua"/>
        </w:rPr>
        <w:t xml:space="preserve"> Given that the judge’s conclusions in that regard were partly based upon the appellant’s ability to seek protection from the authorities, it seems to me that his findings on internal relocation are also flawed</w:t>
      </w:r>
      <w:r w:rsidR="00CA0215">
        <w:rPr>
          <w:rFonts w:ascii="Book Antiqua" w:hAnsi="Book Antiqua"/>
        </w:rPr>
        <w:t xml:space="preserve"> for the reasons I have already given</w:t>
      </w:r>
      <w:r w:rsidR="008300B3">
        <w:rPr>
          <w:rFonts w:ascii="Book Antiqua" w:hAnsi="Book Antiqua"/>
        </w:rPr>
        <w:t xml:space="preserve">. </w:t>
      </w:r>
      <w:r w:rsidR="00CA0215">
        <w:rPr>
          <w:rFonts w:ascii="Book Antiqua" w:hAnsi="Book Antiqua"/>
        </w:rPr>
        <w:t>Furthermore, t</w:t>
      </w:r>
      <w:r w:rsidR="002514D3">
        <w:rPr>
          <w:rFonts w:ascii="Book Antiqua" w:hAnsi="Book Antiqua"/>
        </w:rPr>
        <w:t>he judge did not give weight to the opinion of the expert that the appellant could easily be tracked down by her husband, finding that he would not have sufficient funds to hire an investigator or bribe police officials</w:t>
      </w:r>
      <w:r w:rsidR="00CA0215">
        <w:rPr>
          <w:rFonts w:ascii="Book Antiqua" w:hAnsi="Book Antiqua"/>
        </w:rPr>
        <w:t>, whereas</w:t>
      </w:r>
      <w:r w:rsidR="002514D3">
        <w:rPr>
          <w:rFonts w:ascii="Book Antiqua" w:hAnsi="Book Antiqua"/>
        </w:rPr>
        <w:t xml:space="preserve"> it </w:t>
      </w:r>
      <w:r w:rsidR="002514D3">
        <w:rPr>
          <w:rFonts w:ascii="Book Antiqua" w:hAnsi="Book Antiqua"/>
        </w:rPr>
        <w:lastRenderedPageBreak/>
        <w:t>seems to me that the judge’s conclusions in that regard fail</w:t>
      </w:r>
      <w:r w:rsidR="00D66E01">
        <w:rPr>
          <w:rFonts w:ascii="Book Antiqua" w:hAnsi="Book Antiqua"/>
        </w:rPr>
        <w:t>ed</w:t>
      </w:r>
      <w:r w:rsidR="002514D3">
        <w:rPr>
          <w:rFonts w:ascii="Book Antiqua" w:hAnsi="Book Antiqua"/>
        </w:rPr>
        <w:t xml:space="preserve">, again, to take account of the extent of the appellant’s </w:t>
      </w:r>
      <w:r w:rsidR="00CA0215">
        <w:rPr>
          <w:rFonts w:ascii="Book Antiqua" w:hAnsi="Book Antiqua"/>
        </w:rPr>
        <w:t xml:space="preserve">husband’s </w:t>
      </w:r>
      <w:r w:rsidR="002514D3">
        <w:rPr>
          <w:rFonts w:ascii="Book Antiqua" w:hAnsi="Book Antiqua"/>
        </w:rPr>
        <w:t>obsession with locating and punishing her</w:t>
      </w:r>
      <w:r w:rsidR="00D66E01">
        <w:rPr>
          <w:rFonts w:ascii="Book Antiqua" w:hAnsi="Book Antiqua"/>
        </w:rPr>
        <w:t xml:space="preserve"> and the evidence which had been produced in that regard</w:t>
      </w:r>
      <w:r w:rsidR="002514D3">
        <w:rPr>
          <w:rFonts w:ascii="Book Antiqua" w:hAnsi="Book Antiqua"/>
        </w:rPr>
        <w:t>. The appellant’s evidence in her statement, in particular at [32], set out the lengths to which her husband went to locate her after she had left home</w:t>
      </w:r>
      <w:r w:rsidR="000129AA">
        <w:rPr>
          <w:rFonts w:ascii="Book Antiqua" w:hAnsi="Book Antiqua"/>
        </w:rPr>
        <w:t xml:space="preserve"> and to which he would go to locate her again</w:t>
      </w:r>
      <w:r w:rsidR="002514D3">
        <w:rPr>
          <w:rFonts w:ascii="Book Antiqua" w:hAnsi="Book Antiqua"/>
        </w:rPr>
        <w:t>, and the nature of the threats he had since made to her family members</w:t>
      </w:r>
      <w:r w:rsidR="00D66E01">
        <w:rPr>
          <w:rFonts w:ascii="Book Antiqua" w:hAnsi="Book Antiqua"/>
        </w:rPr>
        <w:t xml:space="preserve">, none of which were </w:t>
      </w:r>
      <w:r w:rsidR="000129AA">
        <w:rPr>
          <w:rFonts w:ascii="Book Antiqua" w:hAnsi="Book Antiqua"/>
        </w:rPr>
        <w:t xml:space="preserve">fully and </w:t>
      </w:r>
      <w:r w:rsidR="00D66E01">
        <w:rPr>
          <w:rFonts w:ascii="Book Antiqua" w:hAnsi="Book Antiqua"/>
        </w:rPr>
        <w:t>properly considered by the judge</w:t>
      </w:r>
      <w:r w:rsidR="002514D3">
        <w:rPr>
          <w:rFonts w:ascii="Book Antiqua" w:hAnsi="Book Antiqua"/>
        </w:rPr>
        <w:t xml:space="preserve">. </w:t>
      </w:r>
      <w:r w:rsidR="00CA0215">
        <w:rPr>
          <w:rFonts w:ascii="Book Antiqua" w:hAnsi="Book Antiqua"/>
        </w:rPr>
        <w:t xml:space="preserve">As to </w:t>
      </w:r>
      <w:r w:rsidR="00D66E01">
        <w:rPr>
          <w:rFonts w:ascii="Book Antiqua" w:hAnsi="Book Antiqua"/>
        </w:rPr>
        <w:t>the appellant’s husband’s</w:t>
      </w:r>
      <w:r w:rsidR="00CA0215">
        <w:rPr>
          <w:rFonts w:ascii="Book Antiqua" w:hAnsi="Book Antiqua"/>
        </w:rPr>
        <w:t xml:space="preserve"> ability to fund attempts to locate the appellant</w:t>
      </w:r>
      <w:r w:rsidR="002514D3">
        <w:rPr>
          <w:rFonts w:ascii="Book Antiqua" w:hAnsi="Book Antiqua"/>
        </w:rPr>
        <w:t>, the grounds at [11] refer to evidence that was not considered by the judge</w:t>
      </w:r>
      <w:r w:rsidR="00CA0215">
        <w:rPr>
          <w:rFonts w:ascii="Book Antiqua" w:hAnsi="Book Antiqua"/>
        </w:rPr>
        <w:t xml:space="preserve"> in his conclusions in that regard</w:t>
      </w:r>
      <w:r w:rsidR="00D66E01">
        <w:rPr>
          <w:rFonts w:ascii="Book Antiqua" w:hAnsi="Book Antiqua"/>
        </w:rPr>
        <w:t>,</w:t>
      </w:r>
      <w:r w:rsidR="00CA0215">
        <w:rPr>
          <w:rFonts w:ascii="Book Antiqua" w:hAnsi="Book Antiqua"/>
        </w:rPr>
        <w:t xml:space="preserve"> including the appellant’s husband’s support from </w:t>
      </w:r>
      <w:r w:rsidR="000129AA">
        <w:rPr>
          <w:rFonts w:ascii="Book Antiqua" w:hAnsi="Book Antiqua"/>
        </w:rPr>
        <w:t>various</w:t>
      </w:r>
      <w:r w:rsidR="00CA0215">
        <w:rPr>
          <w:rFonts w:ascii="Book Antiqua" w:hAnsi="Book Antiqua"/>
        </w:rPr>
        <w:t xml:space="preserve"> family members living in the Philippines. </w:t>
      </w:r>
    </w:p>
    <w:p w14:paraId="2F2BD569" w14:textId="77777777" w:rsidR="008B0C97" w:rsidRDefault="008B0C97" w:rsidP="008B0C97">
      <w:pPr>
        <w:tabs>
          <w:tab w:val="left" w:pos="360"/>
        </w:tabs>
        <w:overflowPunct w:val="0"/>
        <w:autoSpaceDE w:val="0"/>
        <w:autoSpaceDN w:val="0"/>
        <w:adjustRightInd w:val="0"/>
        <w:jc w:val="both"/>
        <w:textAlignment w:val="baseline"/>
        <w:rPr>
          <w:rFonts w:ascii="Book Antiqua" w:hAnsi="Book Antiqua"/>
        </w:rPr>
      </w:pPr>
    </w:p>
    <w:p w14:paraId="3FA6ED8B" w14:textId="77777777" w:rsidR="00BB2EA6" w:rsidRPr="008B0C97" w:rsidRDefault="008B0C97" w:rsidP="008B0C97">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For all of these reasons, given the force of the evidence provided by the appellant in regard to her husband’s behaviour, all of which was properly accepted by the judge, it seems to me that the appellant has demonstrated to the lower standard of proof that she would be at risk if she returned to the Philippines, not only in her home area but also upon relocation to another part of the country such that she is entitled to humanitarian protection and her removal to that country would breach her Article 3 human rights.</w:t>
      </w:r>
      <w:r w:rsidR="009D2D7C">
        <w:rPr>
          <w:rFonts w:ascii="Book Antiqua" w:hAnsi="Book Antiqua"/>
        </w:rPr>
        <w:t xml:space="preserve"> It follows that the appellant must also succeed under Article 8 in relation to paragraph 276ADE(1)(vi) of the immigration rules.</w:t>
      </w:r>
    </w:p>
    <w:p w14:paraId="01F3C385" w14:textId="77777777" w:rsidR="00BB2EA6" w:rsidRPr="00AB3AA2" w:rsidRDefault="00BB2EA6" w:rsidP="00BB2EA6">
      <w:pPr>
        <w:tabs>
          <w:tab w:val="left" w:pos="360"/>
        </w:tabs>
        <w:overflowPunct w:val="0"/>
        <w:autoSpaceDE w:val="0"/>
        <w:autoSpaceDN w:val="0"/>
        <w:adjustRightInd w:val="0"/>
        <w:jc w:val="both"/>
        <w:textAlignment w:val="baseline"/>
        <w:rPr>
          <w:rFonts w:ascii="Book Antiqua" w:hAnsi="Book Antiqua"/>
        </w:rPr>
      </w:pPr>
    </w:p>
    <w:p w14:paraId="7FA06682" w14:textId="77777777" w:rsidR="00BB2EA6" w:rsidRPr="005A6C64" w:rsidRDefault="00BB2EA6" w:rsidP="00BB2EA6">
      <w:pPr>
        <w:tabs>
          <w:tab w:val="left" w:pos="360"/>
        </w:tabs>
        <w:overflowPunct w:val="0"/>
        <w:autoSpaceDE w:val="0"/>
        <w:autoSpaceDN w:val="0"/>
        <w:adjustRightInd w:val="0"/>
        <w:jc w:val="both"/>
        <w:textAlignment w:val="baseline"/>
        <w:rPr>
          <w:rFonts w:ascii="Book Antiqua" w:hAnsi="Book Antiqua"/>
          <w:b/>
          <w:u w:val="single"/>
        </w:rPr>
      </w:pPr>
      <w:r w:rsidRPr="005A6C64">
        <w:rPr>
          <w:rFonts w:ascii="Book Antiqua" w:hAnsi="Book Antiqua"/>
          <w:b/>
          <w:u w:val="single"/>
        </w:rPr>
        <w:t>DECISION</w:t>
      </w:r>
    </w:p>
    <w:p w14:paraId="478974FA" w14:textId="77777777" w:rsidR="00BB2EA6" w:rsidRPr="00F81C95" w:rsidRDefault="00BB2EA6" w:rsidP="00BB2EA6">
      <w:pPr>
        <w:tabs>
          <w:tab w:val="left" w:pos="360"/>
        </w:tabs>
        <w:overflowPunct w:val="0"/>
        <w:autoSpaceDE w:val="0"/>
        <w:autoSpaceDN w:val="0"/>
        <w:adjustRightInd w:val="0"/>
        <w:jc w:val="both"/>
        <w:textAlignment w:val="baseline"/>
        <w:rPr>
          <w:rFonts w:ascii="Book Antiqua" w:hAnsi="Book Antiqua"/>
        </w:rPr>
      </w:pPr>
    </w:p>
    <w:p w14:paraId="7F596D03" w14:textId="77777777" w:rsidR="008B0C97" w:rsidRPr="008B0C97" w:rsidRDefault="008B0C97" w:rsidP="008B0C97">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8B0C97">
        <w:rPr>
          <w:rFonts w:ascii="Book Antiqua" w:hAnsi="Book Antiqua"/>
        </w:rPr>
        <w:t xml:space="preserve">The making of the decision by the First-tier Tribunal involved the making of an error on a point of law. I set aside the decision and </w:t>
      </w:r>
      <w:r>
        <w:rPr>
          <w:rFonts w:ascii="Book Antiqua" w:hAnsi="Book Antiqua"/>
        </w:rPr>
        <w:t xml:space="preserve">substitute a decision allowing the appeal </w:t>
      </w:r>
      <w:r w:rsidRPr="008B0C97">
        <w:rPr>
          <w:rFonts w:ascii="Book Antiqua" w:hAnsi="Book Antiqua"/>
        </w:rPr>
        <w:t xml:space="preserve">on </w:t>
      </w:r>
      <w:r>
        <w:rPr>
          <w:rFonts w:ascii="Book Antiqua" w:hAnsi="Book Antiqua"/>
        </w:rPr>
        <w:t>humanitarian protection and</w:t>
      </w:r>
      <w:r w:rsidRPr="008B0C97">
        <w:rPr>
          <w:rFonts w:ascii="Book Antiqua" w:hAnsi="Book Antiqua"/>
        </w:rPr>
        <w:t xml:space="preserve"> human rights grounds</w:t>
      </w:r>
      <w:r w:rsidRPr="008B0C97">
        <w:rPr>
          <w:rFonts w:ascii="Book Antiqua" w:hAnsi="Book Antiqua" w:cs="Arial"/>
        </w:rPr>
        <w:t>.</w:t>
      </w:r>
    </w:p>
    <w:p w14:paraId="24B81642" w14:textId="77777777" w:rsidR="00BB2EA6" w:rsidRDefault="00BB2EA6" w:rsidP="00BB2EA6">
      <w:pPr>
        <w:tabs>
          <w:tab w:val="left" w:pos="360"/>
        </w:tabs>
        <w:overflowPunct w:val="0"/>
        <w:autoSpaceDE w:val="0"/>
        <w:autoSpaceDN w:val="0"/>
        <w:adjustRightInd w:val="0"/>
        <w:jc w:val="both"/>
        <w:textAlignment w:val="baseline"/>
        <w:rPr>
          <w:rFonts w:ascii="Book Antiqua" w:hAnsi="Book Antiqua" w:cs="Arial"/>
        </w:rPr>
      </w:pPr>
    </w:p>
    <w:p w14:paraId="453AB9B8" w14:textId="77777777" w:rsidR="00BB6275" w:rsidRDefault="00BB6275" w:rsidP="00BB6275">
      <w:pPr>
        <w:tabs>
          <w:tab w:val="left" w:pos="360"/>
        </w:tabs>
        <w:overflowPunct w:val="0"/>
        <w:autoSpaceDE w:val="0"/>
        <w:autoSpaceDN w:val="0"/>
        <w:adjustRightInd w:val="0"/>
        <w:jc w:val="both"/>
        <w:textAlignment w:val="baseline"/>
        <w:rPr>
          <w:rFonts w:ascii="Book Antiqua" w:hAnsi="Book Antiqua"/>
          <w:b/>
          <w:u w:val="single"/>
        </w:rPr>
      </w:pPr>
    </w:p>
    <w:p w14:paraId="78F39637" w14:textId="77777777" w:rsidR="00B713E0" w:rsidRDefault="00B713E0" w:rsidP="006B156F">
      <w:pPr>
        <w:rPr>
          <w:rFonts w:ascii="Book Antiqua" w:hAnsi="Book Antiqua" w:cs="Arial"/>
        </w:rPr>
      </w:pPr>
    </w:p>
    <w:p w14:paraId="33D6BC09" w14:textId="77777777" w:rsidR="00DC30AB" w:rsidRDefault="00DC30AB" w:rsidP="00BD5E1A">
      <w:pPr>
        <w:rPr>
          <w:rFonts w:ascii="Book Antiqua" w:hAnsi="Book Antiqua" w:cs="Arial"/>
        </w:rPr>
      </w:pPr>
    </w:p>
    <w:p w14:paraId="4FF86914" w14:textId="550DEBD6" w:rsidR="001F2716" w:rsidRPr="00F97703" w:rsidRDefault="00780F86" w:rsidP="00BD5E1A">
      <w:pPr>
        <w:rPr>
          <w:rFonts w:ascii="Book Antiqua" w:hAnsi="Book Antiqua" w:cs="Arial"/>
        </w:rPr>
      </w:pPr>
      <w:r w:rsidRPr="00F97703">
        <w:rPr>
          <w:rFonts w:ascii="Book Antiqua" w:hAnsi="Book Antiqua" w:cs="Arial"/>
        </w:rPr>
        <w:t>Signed</w:t>
      </w:r>
      <w:r w:rsidRPr="00F97703">
        <w:rPr>
          <w:rFonts w:ascii="Book Antiqua" w:hAnsi="Book Antiqua" w:cs="Arial"/>
        </w:rPr>
        <w:tab/>
      </w:r>
      <w:r w:rsidR="00AD01F0" w:rsidRPr="005927AB">
        <w:rPr>
          <w:noProof/>
          <w:sz w:val="20"/>
          <w:szCs w:val="20"/>
        </w:rPr>
        <w:drawing>
          <wp:inline distT="0" distB="0" distL="0" distR="0" wp14:anchorId="53C57B88" wp14:editId="6D684AE4">
            <wp:extent cx="12573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542925"/>
                    </a:xfrm>
                    <a:prstGeom prst="rect">
                      <a:avLst/>
                    </a:prstGeom>
                    <a:noFill/>
                    <a:ln>
                      <a:noFill/>
                    </a:ln>
                  </pic:spPr>
                </pic:pic>
              </a:graphicData>
            </a:graphic>
          </wp:inline>
        </w:drawing>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p>
    <w:p w14:paraId="07E40CDF" w14:textId="77777777" w:rsidR="00B95326" w:rsidRPr="00F97703" w:rsidRDefault="00640E33" w:rsidP="00BD5E1A">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proofErr w:type="spellStart"/>
      <w:r>
        <w:rPr>
          <w:rFonts w:ascii="Book Antiqua" w:hAnsi="Book Antiqua" w:cs="Arial"/>
          <w:color w:val="000000"/>
        </w:rPr>
        <w:t>Kebede</w:t>
      </w:r>
      <w:proofErr w:type="spellEnd"/>
      <w:r w:rsidR="004D2C44">
        <w:rPr>
          <w:rFonts w:ascii="Book Antiqua" w:hAnsi="Book Antiqua" w:cs="Arial"/>
          <w:color w:val="000000"/>
        </w:rPr>
        <w:t xml:space="preserve"> </w:t>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t xml:space="preserve">Dated: </w:t>
      </w:r>
      <w:r w:rsidR="00A620F3">
        <w:rPr>
          <w:rFonts w:ascii="Book Antiqua" w:hAnsi="Book Antiqua" w:cs="Arial"/>
          <w:color w:val="000000"/>
        </w:rPr>
        <w:t xml:space="preserve"> </w:t>
      </w:r>
      <w:r w:rsidR="008B0C97">
        <w:rPr>
          <w:rFonts w:ascii="Book Antiqua" w:hAnsi="Book Antiqua" w:cs="Arial"/>
          <w:color w:val="000000"/>
        </w:rPr>
        <w:t>3 September</w:t>
      </w:r>
      <w:r w:rsidR="006143BD">
        <w:rPr>
          <w:rFonts w:ascii="Book Antiqua" w:hAnsi="Book Antiqua" w:cs="Arial"/>
          <w:color w:val="000000"/>
        </w:rPr>
        <w:t xml:space="preserve"> 2018</w:t>
      </w:r>
    </w:p>
    <w:sectPr w:rsidR="00B95326" w:rsidRPr="00F97703" w:rsidSect="00E66841">
      <w:headerReference w:type="default" r:id="rId9"/>
      <w:footerReference w:type="default" r:id="rId10"/>
      <w:footerReference w:type="first" r:id="rId11"/>
      <w:pgSz w:w="11906" w:h="16838" w:code="9"/>
      <w:pgMar w:top="1440" w:right="1021"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ADC06" w14:textId="77777777" w:rsidR="00CB17C8" w:rsidRDefault="00CB17C8">
      <w:r>
        <w:separator/>
      </w:r>
    </w:p>
  </w:endnote>
  <w:endnote w:type="continuationSeparator" w:id="0">
    <w:p w14:paraId="292D838C" w14:textId="77777777" w:rsidR="00CB17C8" w:rsidRDefault="00CB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6A2BF" w14:textId="5622A590" w:rsidR="00D14F49" w:rsidRPr="00593795" w:rsidRDefault="00D14F49"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26E87">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E7AF6" w14:textId="77777777" w:rsidR="00D14F49" w:rsidRPr="00090CF9" w:rsidRDefault="00D14F49"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3DE1B" w14:textId="77777777" w:rsidR="00CB17C8" w:rsidRDefault="00CB17C8">
      <w:r>
        <w:separator/>
      </w:r>
    </w:p>
  </w:footnote>
  <w:footnote w:type="continuationSeparator" w:id="0">
    <w:p w14:paraId="0F981C7E" w14:textId="77777777" w:rsidR="00CB17C8" w:rsidRDefault="00CB1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8AF1" w14:textId="77777777" w:rsidR="00D14F49" w:rsidRPr="003C5CE5" w:rsidRDefault="00D14F49" w:rsidP="00593795">
    <w:pPr>
      <w:pStyle w:val="Header"/>
      <w:jc w:val="right"/>
      <w:rPr>
        <w:rFonts w:ascii="Arial" w:hAnsi="Arial" w:cs="Arial"/>
        <w:sz w:val="16"/>
        <w:szCs w:val="16"/>
      </w:rPr>
    </w:pPr>
    <w:r>
      <w:rPr>
        <w:rFonts w:ascii="Arial" w:hAnsi="Arial" w:cs="Arial"/>
        <w:sz w:val="16"/>
        <w:szCs w:val="16"/>
      </w:rPr>
      <w:t>Appeal Number: PA/</w:t>
    </w:r>
    <w:r w:rsidR="00EF4825">
      <w:rPr>
        <w:rFonts w:ascii="Arial" w:hAnsi="Arial" w:cs="Arial"/>
        <w:sz w:val="16"/>
        <w:szCs w:val="16"/>
      </w:rPr>
      <w:t>05777</w:t>
    </w:r>
    <w:r>
      <w:rPr>
        <w:rFonts w:ascii="Arial" w:hAnsi="Arial" w:cs="Arial"/>
        <w:sz w:val="16"/>
        <w:szCs w:val="16"/>
      </w:rPr>
      <w:t xml:space="preserve">/2017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F633300"/>
    <w:multiLevelType w:val="multilevel"/>
    <w:tmpl w:val="8742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D1830"/>
    <w:multiLevelType w:val="hybridMultilevel"/>
    <w:tmpl w:val="5BE6EDBA"/>
    <w:lvl w:ilvl="0" w:tplc="0809000F">
      <w:start w:val="1"/>
      <w:numFmt w:val="decimal"/>
      <w:lvlText w:val="%1."/>
      <w:lvlJc w:val="left"/>
      <w:pPr>
        <w:ind w:left="644"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F6E32C4"/>
    <w:multiLevelType w:val="multilevel"/>
    <w:tmpl w:val="8152B12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C209C"/>
    <w:multiLevelType w:val="hybridMultilevel"/>
    <w:tmpl w:val="35AEBF0E"/>
    <w:lvl w:ilvl="0" w:tplc="F1E0E48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04F33FD"/>
    <w:multiLevelType w:val="hybridMultilevel"/>
    <w:tmpl w:val="573C14EC"/>
    <w:lvl w:ilvl="0" w:tplc="8506D9DE">
      <w:start w:val="1"/>
      <w:numFmt w:val="decimal"/>
      <w:lvlText w:val="%1."/>
      <w:lvlJc w:val="left"/>
      <w:pPr>
        <w:tabs>
          <w:tab w:val="num" w:pos="720"/>
        </w:tabs>
        <w:ind w:left="720" w:hanging="360"/>
      </w:pPr>
      <w:rPr>
        <w:rFonts w:hint="default"/>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72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7" w15:restartNumberingAfterBreak="0">
    <w:nsid w:val="55932E6F"/>
    <w:multiLevelType w:val="hybridMultilevel"/>
    <w:tmpl w:val="7400BEEA"/>
    <w:lvl w:ilvl="0" w:tplc="EA323CD0">
      <w:start w:val="1"/>
      <w:numFmt w:val="lowerRoman"/>
      <w:lvlText w:val="(%1)"/>
      <w:lvlJc w:val="left"/>
      <w:pPr>
        <w:tabs>
          <w:tab w:val="num" w:pos="1854"/>
        </w:tabs>
        <w:ind w:left="1854" w:hanging="72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8"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num w:numId="1">
    <w:abstractNumId w:val="6"/>
  </w:num>
  <w:num w:numId="2">
    <w:abstractNumId w:val="8"/>
  </w:num>
  <w:num w:numId="3">
    <w:abstractNumId w:val="9"/>
  </w:num>
  <w:num w:numId="4">
    <w:abstractNumId w:val="2"/>
  </w:num>
  <w:num w:numId="5">
    <w:abstractNumId w:val="4"/>
  </w:num>
  <w:num w:numId="6">
    <w:abstractNumId w:val="0"/>
  </w:num>
  <w:num w:numId="7">
    <w:abstractNumId w:val="5"/>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1D72"/>
    <w:rsid w:val="0000248D"/>
    <w:rsid w:val="00002D6D"/>
    <w:rsid w:val="000036C2"/>
    <w:rsid w:val="00011746"/>
    <w:rsid w:val="00011C31"/>
    <w:rsid w:val="000129AA"/>
    <w:rsid w:val="00015807"/>
    <w:rsid w:val="00021488"/>
    <w:rsid w:val="000226E0"/>
    <w:rsid w:val="000232CE"/>
    <w:rsid w:val="00026F3F"/>
    <w:rsid w:val="00033D3D"/>
    <w:rsid w:val="00043119"/>
    <w:rsid w:val="00045DAC"/>
    <w:rsid w:val="00046545"/>
    <w:rsid w:val="00046C22"/>
    <w:rsid w:val="00051CD1"/>
    <w:rsid w:val="00055E41"/>
    <w:rsid w:val="000623A1"/>
    <w:rsid w:val="00062F02"/>
    <w:rsid w:val="00063CE2"/>
    <w:rsid w:val="00064B8F"/>
    <w:rsid w:val="000652CE"/>
    <w:rsid w:val="00066AB9"/>
    <w:rsid w:val="00067603"/>
    <w:rsid w:val="00071A7E"/>
    <w:rsid w:val="0007234C"/>
    <w:rsid w:val="00073E95"/>
    <w:rsid w:val="000746C0"/>
    <w:rsid w:val="00074D1D"/>
    <w:rsid w:val="000847E3"/>
    <w:rsid w:val="00086414"/>
    <w:rsid w:val="00087109"/>
    <w:rsid w:val="00087F0D"/>
    <w:rsid w:val="00090CF9"/>
    <w:rsid w:val="00091A3E"/>
    <w:rsid w:val="00092580"/>
    <w:rsid w:val="000936D1"/>
    <w:rsid w:val="00093D4D"/>
    <w:rsid w:val="000A1B34"/>
    <w:rsid w:val="000A3B1D"/>
    <w:rsid w:val="000A7F0C"/>
    <w:rsid w:val="000B3589"/>
    <w:rsid w:val="000B44FE"/>
    <w:rsid w:val="000C1182"/>
    <w:rsid w:val="000C2DDE"/>
    <w:rsid w:val="000D164B"/>
    <w:rsid w:val="000D5D94"/>
    <w:rsid w:val="000E5E5C"/>
    <w:rsid w:val="000E719C"/>
    <w:rsid w:val="000F0F07"/>
    <w:rsid w:val="000F1A0E"/>
    <w:rsid w:val="000F43B8"/>
    <w:rsid w:val="000F4687"/>
    <w:rsid w:val="000F646B"/>
    <w:rsid w:val="001027AD"/>
    <w:rsid w:val="00102910"/>
    <w:rsid w:val="001049CE"/>
    <w:rsid w:val="00104CC5"/>
    <w:rsid w:val="00105972"/>
    <w:rsid w:val="0010645C"/>
    <w:rsid w:val="001073AF"/>
    <w:rsid w:val="00110709"/>
    <w:rsid w:val="00115494"/>
    <w:rsid w:val="00116582"/>
    <w:rsid w:val="001165A7"/>
    <w:rsid w:val="001207DD"/>
    <w:rsid w:val="001235FC"/>
    <w:rsid w:val="00134C10"/>
    <w:rsid w:val="00136A6A"/>
    <w:rsid w:val="00142882"/>
    <w:rsid w:val="00146D13"/>
    <w:rsid w:val="00152B5E"/>
    <w:rsid w:val="00153D1E"/>
    <w:rsid w:val="00155B80"/>
    <w:rsid w:val="0015618E"/>
    <w:rsid w:val="00160DF3"/>
    <w:rsid w:val="00163092"/>
    <w:rsid w:val="00164FE9"/>
    <w:rsid w:val="00165339"/>
    <w:rsid w:val="00167D3A"/>
    <w:rsid w:val="00171FD8"/>
    <w:rsid w:val="00172A23"/>
    <w:rsid w:val="00173A95"/>
    <w:rsid w:val="00174E77"/>
    <w:rsid w:val="0018158C"/>
    <w:rsid w:val="00181C7C"/>
    <w:rsid w:val="00187BC5"/>
    <w:rsid w:val="0019203D"/>
    <w:rsid w:val="00192800"/>
    <w:rsid w:val="00193813"/>
    <w:rsid w:val="00197529"/>
    <w:rsid w:val="001A3082"/>
    <w:rsid w:val="001A3B83"/>
    <w:rsid w:val="001A54ED"/>
    <w:rsid w:val="001A5500"/>
    <w:rsid w:val="001A6048"/>
    <w:rsid w:val="001A696D"/>
    <w:rsid w:val="001A7F3B"/>
    <w:rsid w:val="001B186A"/>
    <w:rsid w:val="001B2F75"/>
    <w:rsid w:val="001B54B3"/>
    <w:rsid w:val="001B63E1"/>
    <w:rsid w:val="001C3786"/>
    <w:rsid w:val="001C4525"/>
    <w:rsid w:val="001C4588"/>
    <w:rsid w:val="001C7878"/>
    <w:rsid w:val="001D0BD3"/>
    <w:rsid w:val="001D1426"/>
    <w:rsid w:val="001D227D"/>
    <w:rsid w:val="001D49D5"/>
    <w:rsid w:val="001D5FB5"/>
    <w:rsid w:val="001E1888"/>
    <w:rsid w:val="001E640E"/>
    <w:rsid w:val="001F15C4"/>
    <w:rsid w:val="001F198C"/>
    <w:rsid w:val="001F2716"/>
    <w:rsid w:val="001F2C71"/>
    <w:rsid w:val="001F4EF7"/>
    <w:rsid w:val="00200DB9"/>
    <w:rsid w:val="00203B64"/>
    <w:rsid w:val="0020698F"/>
    <w:rsid w:val="002070BA"/>
    <w:rsid w:val="00207617"/>
    <w:rsid w:val="002143C8"/>
    <w:rsid w:val="0021496A"/>
    <w:rsid w:val="002149B8"/>
    <w:rsid w:val="002164F8"/>
    <w:rsid w:val="00220A2E"/>
    <w:rsid w:val="00222EE7"/>
    <w:rsid w:val="002251D6"/>
    <w:rsid w:val="0023134B"/>
    <w:rsid w:val="00234210"/>
    <w:rsid w:val="00236553"/>
    <w:rsid w:val="0024106B"/>
    <w:rsid w:val="00242E82"/>
    <w:rsid w:val="0024661D"/>
    <w:rsid w:val="002514D3"/>
    <w:rsid w:val="00256AB9"/>
    <w:rsid w:val="00262A71"/>
    <w:rsid w:val="00267FA4"/>
    <w:rsid w:val="00270E13"/>
    <w:rsid w:val="00272EC4"/>
    <w:rsid w:val="00275761"/>
    <w:rsid w:val="00281CBB"/>
    <w:rsid w:val="00282AC2"/>
    <w:rsid w:val="00282DCE"/>
    <w:rsid w:val="00282EDA"/>
    <w:rsid w:val="00283659"/>
    <w:rsid w:val="0029030D"/>
    <w:rsid w:val="00290592"/>
    <w:rsid w:val="0029285B"/>
    <w:rsid w:val="002956DE"/>
    <w:rsid w:val="0029621B"/>
    <w:rsid w:val="002A2090"/>
    <w:rsid w:val="002A6CE9"/>
    <w:rsid w:val="002B568E"/>
    <w:rsid w:val="002C38C2"/>
    <w:rsid w:val="002C4B53"/>
    <w:rsid w:val="002C5524"/>
    <w:rsid w:val="002C5AD0"/>
    <w:rsid w:val="002C6BD4"/>
    <w:rsid w:val="002D2D66"/>
    <w:rsid w:val="002D46F4"/>
    <w:rsid w:val="002D56A9"/>
    <w:rsid w:val="002D68BF"/>
    <w:rsid w:val="002E1891"/>
    <w:rsid w:val="002E4970"/>
    <w:rsid w:val="002E5914"/>
    <w:rsid w:val="002E6273"/>
    <w:rsid w:val="002F2234"/>
    <w:rsid w:val="002F33F4"/>
    <w:rsid w:val="002F4638"/>
    <w:rsid w:val="002F672D"/>
    <w:rsid w:val="002F6B98"/>
    <w:rsid w:val="003018F4"/>
    <w:rsid w:val="00302336"/>
    <w:rsid w:val="0030268C"/>
    <w:rsid w:val="003256E4"/>
    <w:rsid w:val="00332C81"/>
    <w:rsid w:val="00333AE6"/>
    <w:rsid w:val="003351BA"/>
    <w:rsid w:val="00336CBF"/>
    <w:rsid w:val="00336F6A"/>
    <w:rsid w:val="00341C12"/>
    <w:rsid w:val="00343FE3"/>
    <w:rsid w:val="00344F95"/>
    <w:rsid w:val="00346802"/>
    <w:rsid w:val="00350622"/>
    <w:rsid w:val="003544C3"/>
    <w:rsid w:val="003546C8"/>
    <w:rsid w:val="00354BAC"/>
    <w:rsid w:val="0036124F"/>
    <w:rsid w:val="0036316A"/>
    <w:rsid w:val="00365FE4"/>
    <w:rsid w:val="003666F7"/>
    <w:rsid w:val="0036686D"/>
    <w:rsid w:val="00366E59"/>
    <w:rsid w:val="00366F64"/>
    <w:rsid w:val="0037168F"/>
    <w:rsid w:val="00371A78"/>
    <w:rsid w:val="00371C0A"/>
    <w:rsid w:val="00374948"/>
    <w:rsid w:val="0037557F"/>
    <w:rsid w:val="003764BB"/>
    <w:rsid w:val="0038485D"/>
    <w:rsid w:val="00385B02"/>
    <w:rsid w:val="0038721B"/>
    <w:rsid w:val="00392B76"/>
    <w:rsid w:val="00392BB1"/>
    <w:rsid w:val="00393263"/>
    <w:rsid w:val="00396816"/>
    <w:rsid w:val="003A1CC4"/>
    <w:rsid w:val="003A3958"/>
    <w:rsid w:val="003A3F8B"/>
    <w:rsid w:val="003A620A"/>
    <w:rsid w:val="003A7CF2"/>
    <w:rsid w:val="003B0A9A"/>
    <w:rsid w:val="003B3118"/>
    <w:rsid w:val="003B58DD"/>
    <w:rsid w:val="003C4E33"/>
    <w:rsid w:val="003C579D"/>
    <w:rsid w:val="003C5CE5"/>
    <w:rsid w:val="003D2B84"/>
    <w:rsid w:val="003D302C"/>
    <w:rsid w:val="003D5587"/>
    <w:rsid w:val="003D5B60"/>
    <w:rsid w:val="003D6760"/>
    <w:rsid w:val="003D7E20"/>
    <w:rsid w:val="003E267B"/>
    <w:rsid w:val="003E7CD1"/>
    <w:rsid w:val="003F11AB"/>
    <w:rsid w:val="003F1C17"/>
    <w:rsid w:val="003F1EA7"/>
    <w:rsid w:val="003F2270"/>
    <w:rsid w:val="003F741B"/>
    <w:rsid w:val="00402B9E"/>
    <w:rsid w:val="00407193"/>
    <w:rsid w:val="00407E88"/>
    <w:rsid w:val="00412215"/>
    <w:rsid w:val="0041482A"/>
    <w:rsid w:val="004176AD"/>
    <w:rsid w:val="00422992"/>
    <w:rsid w:val="00423AD9"/>
    <w:rsid w:val="004249CB"/>
    <w:rsid w:val="00424C87"/>
    <w:rsid w:val="004301F6"/>
    <w:rsid w:val="00430298"/>
    <w:rsid w:val="00430893"/>
    <w:rsid w:val="00431D92"/>
    <w:rsid w:val="0043673E"/>
    <w:rsid w:val="0043684E"/>
    <w:rsid w:val="00437B14"/>
    <w:rsid w:val="0044127D"/>
    <w:rsid w:val="0044174A"/>
    <w:rsid w:val="00442BC9"/>
    <w:rsid w:val="00442D17"/>
    <w:rsid w:val="0044437D"/>
    <w:rsid w:val="004448DB"/>
    <w:rsid w:val="00445B1E"/>
    <w:rsid w:val="00446C9A"/>
    <w:rsid w:val="004512FA"/>
    <w:rsid w:val="00452F2B"/>
    <w:rsid w:val="00453F19"/>
    <w:rsid w:val="00454DEC"/>
    <w:rsid w:val="00454F04"/>
    <w:rsid w:val="0046215C"/>
    <w:rsid w:val="0046435F"/>
    <w:rsid w:val="00470118"/>
    <w:rsid w:val="0047194B"/>
    <w:rsid w:val="004749D7"/>
    <w:rsid w:val="00477193"/>
    <w:rsid w:val="0047781F"/>
    <w:rsid w:val="00477AFC"/>
    <w:rsid w:val="00480184"/>
    <w:rsid w:val="00491236"/>
    <w:rsid w:val="00492FD4"/>
    <w:rsid w:val="004947A5"/>
    <w:rsid w:val="004950ED"/>
    <w:rsid w:val="0049604D"/>
    <w:rsid w:val="004A1848"/>
    <w:rsid w:val="004A6F4A"/>
    <w:rsid w:val="004B0E57"/>
    <w:rsid w:val="004B0F6F"/>
    <w:rsid w:val="004B1D2E"/>
    <w:rsid w:val="004B1F6E"/>
    <w:rsid w:val="004B482E"/>
    <w:rsid w:val="004B710B"/>
    <w:rsid w:val="004B7A1C"/>
    <w:rsid w:val="004B7DEC"/>
    <w:rsid w:val="004C00E7"/>
    <w:rsid w:val="004D2326"/>
    <w:rsid w:val="004D2A8A"/>
    <w:rsid w:val="004D2C44"/>
    <w:rsid w:val="004E19AB"/>
    <w:rsid w:val="004E4717"/>
    <w:rsid w:val="004E6D17"/>
    <w:rsid w:val="004F2068"/>
    <w:rsid w:val="004F3091"/>
    <w:rsid w:val="004F6939"/>
    <w:rsid w:val="00502397"/>
    <w:rsid w:val="00503506"/>
    <w:rsid w:val="005035E7"/>
    <w:rsid w:val="00505969"/>
    <w:rsid w:val="005061DE"/>
    <w:rsid w:val="005067D2"/>
    <w:rsid w:val="00506A75"/>
    <w:rsid w:val="00507FEC"/>
    <w:rsid w:val="00510F0E"/>
    <w:rsid w:val="00511437"/>
    <w:rsid w:val="00521533"/>
    <w:rsid w:val="00521661"/>
    <w:rsid w:val="005216B6"/>
    <w:rsid w:val="0052171C"/>
    <w:rsid w:val="005221FE"/>
    <w:rsid w:val="005230B8"/>
    <w:rsid w:val="00523E27"/>
    <w:rsid w:val="0052474B"/>
    <w:rsid w:val="0053164F"/>
    <w:rsid w:val="00533095"/>
    <w:rsid w:val="00536E45"/>
    <w:rsid w:val="0053748B"/>
    <w:rsid w:val="00537C02"/>
    <w:rsid w:val="00540CDC"/>
    <w:rsid w:val="00541EBF"/>
    <w:rsid w:val="005464B7"/>
    <w:rsid w:val="005479E1"/>
    <w:rsid w:val="00553E0A"/>
    <w:rsid w:val="00556979"/>
    <w:rsid w:val="005570FD"/>
    <w:rsid w:val="005575EA"/>
    <w:rsid w:val="005620F8"/>
    <w:rsid w:val="00564950"/>
    <w:rsid w:val="00567473"/>
    <w:rsid w:val="00570EF1"/>
    <w:rsid w:val="00571B9D"/>
    <w:rsid w:val="005776A6"/>
    <w:rsid w:val="0057790C"/>
    <w:rsid w:val="005821C9"/>
    <w:rsid w:val="005833CC"/>
    <w:rsid w:val="00583A24"/>
    <w:rsid w:val="00586E06"/>
    <w:rsid w:val="00592745"/>
    <w:rsid w:val="00593795"/>
    <w:rsid w:val="00593821"/>
    <w:rsid w:val="00596763"/>
    <w:rsid w:val="00596910"/>
    <w:rsid w:val="005A549B"/>
    <w:rsid w:val="005A6C64"/>
    <w:rsid w:val="005A75FF"/>
    <w:rsid w:val="005B4AB2"/>
    <w:rsid w:val="005C0D6F"/>
    <w:rsid w:val="005C62FC"/>
    <w:rsid w:val="005C6F89"/>
    <w:rsid w:val="005D10AB"/>
    <w:rsid w:val="005D270A"/>
    <w:rsid w:val="005D2FF3"/>
    <w:rsid w:val="005D3962"/>
    <w:rsid w:val="005D6A3A"/>
    <w:rsid w:val="005E0500"/>
    <w:rsid w:val="005E10AB"/>
    <w:rsid w:val="005E162C"/>
    <w:rsid w:val="005E2C6B"/>
    <w:rsid w:val="005E7AB6"/>
    <w:rsid w:val="00601D8F"/>
    <w:rsid w:val="00606204"/>
    <w:rsid w:val="00610923"/>
    <w:rsid w:val="006143BD"/>
    <w:rsid w:val="00616E68"/>
    <w:rsid w:val="00617497"/>
    <w:rsid w:val="00623BB7"/>
    <w:rsid w:val="0062445F"/>
    <w:rsid w:val="00625C4C"/>
    <w:rsid w:val="00634211"/>
    <w:rsid w:val="00640E33"/>
    <w:rsid w:val="006437D3"/>
    <w:rsid w:val="00644AEE"/>
    <w:rsid w:val="00646638"/>
    <w:rsid w:val="0064674E"/>
    <w:rsid w:val="00651DF2"/>
    <w:rsid w:val="00653E97"/>
    <w:rsid w:val="00657855"/>
    <w:rsid w:val="00660216"/>
    <w:rsid w:val="00662A53"/>
    <w:rsid w:val="00663026"/>
    <w:rsid w:val="00664CD5"/>
    <w:rsid w:val="00665619"/>
    <w:rsid w:val="00666462"/>
    <w:rsid w:val="006664A5"/>
    <w:rsid w:val="00667698"/>
    <w:rsid w:val="00670A2E"/>
    <w:rsid w:val="00672EBF"/>
    <w:rsid w:val="006752D1"/>
    <w:rsid w:val="0068267E"/>
    <w:rsid w:val="00682BCF"/>
    <w:rsid w:val="00682CA8"/>
    <w:rsid w:val="006837F1"/>
    <w:rsid w:val="006846EC"/>
    <w:rsid w:val="00684A74"/>
    <w:rsid w:val="00687E25"/>
    <w:rsid w:val="00690B8A"/>
    <w:rsid w:val="00693D1D"/>
    <w:rsid w:val="006946E6"/>
    <w:rsid w:val="00694C6E"/>
    <w:rsid w:val="006A1202"/>
    <w:rsid w:val="006A1EC1"/>
    <w:rsid w:val="006A5697"/>
    <w:rsid w:val="006A5B25"/>
    <w:rsid w:val="006B156F"/>
    <w:rsid w:val="006B1946"/>
    <w:rsid w:val="006B245C"/>
    <w:rsid w:val="006B4F84"/>
    <w:rsid w:val="006B6204"/>
    <w:rsid w:val="006B7FD1"/>
    <w:rsid w:val="006C3BBC"/>
    <w:rsid w:val="006C47F1"/>
    <w:rsid w:val="006D0484"/>
    <w:rsid w:val="006D0FA5"/>
    <w:rsid w:val="006D4D58"/>
    <w:rsid w:val="006D7FD6"/>
    <w:rsid w:val="006E0FC0"/>
    <w:rsid w:val="006E3766"/>
    <w:rsid w:val="006F2CF1"/>
    <w:rsid w:val="006F682E"/>
    <w:rsid w:val="006F6A32"/>
    <w:rsid w:val="007038ED"/>
    <w:rsid w:val="00703BC3"/>
    <w:rsid w:val="00704B61"/>
    <w:rsid w:val="00705447"/>
    <w:rsid w:val="007124EB"/>
    <w:rsid w:val="00723DE4"/>
    <w:rsid w:val="00726E87"/>
    <w:rsid w:val="00727828"/>
    <w:rsid w:val="00727D09"/>
    <w:rsid w:val="00730472"/>
    <w:rsid w:val="00732F0F"/>
    <w:rsid w:val="007334B3"/>
    <w:rsid w:val="00734483"/>
    <w:rsid w:val="007347D5"/>
    <w:rsid w:val="00734A21"/>
    <w:rsid w:val="00734F57"/>
    <w:rsid w:val="00735D0C"/>
    <w:rsid w:val="00736965"/>
    <w:rsid w:val="007372FE"/>
    <w:rsid w:val="00737B23"/>
    <w:rsid w:val="00740937"/>
    <w:rsid w:val="00743BA7"/>
    <w:rsid w:val="00750BE2"/>
    <w:rsid w:val="007519F5"/>
    <w:rsid w:val="0075202C"/>
    <w:rsid w:val="007552A9"/>
    <w:rsid w:val="00761858"/>
    <w:rsid w:val="007673D9"/>
    <w:rsid w:val="00767D59"/>
    <w:rsid w:val="0077091B"/>
    <w:rsid w:val="007735F3"/>
    <w:rsid w:val="00773662"/>
    <w:rsid w:val="00776E97"/>
    <w:rsid w:val="00780F86"/>
    <w:rsid w:val="00784460"/>
    <w:rsid w:val="00784766"/>
    <w:rsid w:val="00784D03"/>
    <w:rsid w:val="007900C6"/>
    <w:rsid w:val="00790858"/>
    <w:rsid w:val="007912AD"/>
    <w:rsid w:val="007937AD"/>
    <w:rsid w:val="007948A1"/>
    <w:rsid w:val="007A025E"/>
    <w:rsid w:val="007A6D5A"/>
    <w:rsid w:val="007B0824"/>
    <w:rsid w:val="007B5D3C"/>
    <w:rsid w:val="007B605B"/>
    <w:rsid w:val="007B7792"/>
    <w:rsid w:val="007C494A"/>
    <w:rsid w:val="007D0627"/>
    <w:rsid w:val="007D460F"/>
    <w:rsid w:val="007D4655"/>
    <w:rsid w:val="007D53FE"/>
    <w:rsid w:val="007D6925"/>
    <w:rsid w:val="007E1EFF"/>
    <w:rsid w:val="007E309C"/>
    <w:rsid w:val="007E7C35"/>
    <w:rsid w:val="007F0EA2"/>
    <w:rsid w:val="007F61F9"/>
    <w:rsid w:val="00801570"/>
    <w:rsid w:val="00805333"/>
    <w:rsid w:val="008061C9"/>
    <w:rsid w:val="00810E14"/>
    <w:rsid w:val="00813853"/>
    <w:rsid w:val="0081420D"/>
    <w:rsid w:val="008213C2"/>
    <w:rsid w:val="0082152A"/>
    <w:rsid w:val="00821B72"/>
    <w:rsid w:val="00821D51"/>
    <w:rsid w:val="00823EF2"/>
    <w:rsid w:val="008240A5"/>
    <w:rsid w:val="00825C03"/>
    <w:rsid w:val="00827390"/>
    <w:rsid w:val="008300B3"/>
    <w:rsid w:val="008303B8"/>
    <w:rsid w:val="00833DCE"/>
    <w:rsid w:val="00835884"/>
    <w:rsid w:val="0083718D"/>
    <w:rsid w:val="00837DE2"/>
    <w:rsid w:val="00840B15"/>
    <w:rsid w:val="00842D0E"/>
    <w:rsid w:val="00844B58"/>
    <w:rsid w:val="00845F2F"/>
    <w:rsid w:val="008468BA"/>
    <w:rsid w:val="0085067D"/>
    <w:rsid w:val="00851DC0"/>
    <w:rsid w:val="00854576"/>
    <w:rsid w:val="00863494"/>
    <w:rsid w:val="008652B1"/>
    <w:rsid w:val="00870316"/>
    <w:rsid w:val="00870B65"/>
    <w:rsid w:val="00871D34"/>
    <w:rsid w:val="00872118"/>
    <w:rsid w:val="00875896"/>
    <w:rsid w:val="00880AF2"/>
    <w:rsid w:val="0088159D"/>
    <w:rsid w:val="008927FA"/>
    <w:rsid w:val="00894921"/>
    <w:rsid w:val="00896321"/>
    <w:rsid w:val="008A0A37"/>
    <w:rsid w:val="008A184B"/>
    <w:rsid w:val="008A270E"/>
    <w:rsid w:val="008A3673"/>
    <w:rsid w:val="008A42EB"/>
    <w:rsid w:val="008A6A1D"/>
    <w:rsid w:val="008A7080"/>
    <w:rsid w:val="008B0C97"/>
    <w:rsid w:val="008B1281"/>
    <w:rsid w:val="008B270C"/>
    <w:rsid w:val="008B48B6"/>
    <w:rsid w:val="008B4CD2"/>
    <w:rsid w:val="008B5078"/>
    <w:rsid w:val="008B5E6B"/>
    <w:rsid w:val="008C0830"/>
    <w:rsid w:val="008C1C30"/>
    <w:rsid w:val="008C3D24"/>
    <w:rsid w:val="008C3D3D"/>
    <w:rsid w:val="008D3A00"/>
    <w:rsid w:val="008D3E61"/>
    <w:rsid w:val="008D4131"/>
    <w:rsid w:val="008D49DB"/>
    <w:rsid w:val="008D4E65"/>
    <w:rsid w:val="008E5D38"/>
    <w:rsid w:val="008E743E"/>
    <w:rsid w:val="008F03C7"/>
    <w:rsid w:val="008F1932"/>
    <w:rsid w:val="008F1C60"/>
    <w:rsid w:val="008F4078"/>
    <w:rsid w:val="008F7DA5"/>
    <w:rsid w:val="00904D7F"/>
    <w:rsid w:val="00905DD1"/>
    <w:rsid w:val="00906378"/>
    <w:rsid w:val="00906ACE"/>
    <w:rsid w:val="0090798B"/>
    <w:rsid w:val="00907F6E"/>
    <w:rsid w:val="00916341"/>
    <w:rsid w:val="00916D0D"/>
    <w:rsid w:val="00921062"/>
    <w:rsid w:val="00922D1D"/>
    <w:rsid w:val="0092376C"/>
    <w:rsid w:val="00925AB2"/>
    <w:rsid w:val="0092605B"/>
    <w:rsid w:val="009270A8"/>
    <w:rsid w:val="00930688"/>
    <w:rsid w:val="009307C2"/>
    <w:rsid w:val="009333E8"/>
    <w:rsid w:val="009421CA"/>
    <w:rsid w:val="00943606"/>
    <w:rsid w:val="00944906"/>
    <w:rsid w:val="0094736D"/>
    <w:rsid w:val="00952B45"/>
    <w:rsid w:val="00957795"/>
    <w:rsid w:val="0096178A"/>
    <w:rsid w:val="00963B9A"/>
    <w:rsid w:val="0097007D"/>
    <w:rsid w:val="009722BC"/>
    <w:rsid w:val="009727A3"/>
    <w:rsid w:val="00973E82"/>
    <w:rsid w:val="0097516C"/>
    <w:rsid w:val="00987774"/>
    <w:rsid w:val="00990F01"/>
    <w:rsid w:val="00992CEA"/>
    <w:rsid w:val="009944F5"/>
    <w:rsid w:val="00994EA2"/>
    <w:rsid w:val="00997DF6"/>
    <w:rsid w:val="009A0F4B"/>
    <w:rsid w:val="009A11E8"/>
    <w:rsid w:val="009A216E"/>
    <w:rsid w:val="009A4DF6"/>
    <w:rsid w:val="009A5BD4"/>
    <w:rsid w:val="009B04B8"/>
    <w:rsid w:val="009B61F7"/>
    <w:rsid w:val="009B7562"/>
    <w:rsid w:val="009C4408"/>
    <w:rsid w:val="009D2D7C"/>
    <w:rsid w:val="009D4CC0"/>
    <w:rsid w:val="009D5E1D"/>
    <w:rsid w:val="009E0F76"/>
    <w:rsid w:val="009E698E"/>
    <w:rsid w:val="009F124D"/>
    <w:rsid w:val="009F5220"/>
    <w:rsid w:val="00A1087F"/>
    <w:rsid w:val="00A10D06"/>
    <w:rsid w:val="00A11E74"/>
    <w:rsid w:val="00A15234"/>
    <w:rsid w:val="00A201AB"/>
    <w:rsid w:val="00A23175"/>
    <w:rsid w:val="00A2598A"/>
    <w:rsid w:val="00A25C07"/>
    <w:rsid w:val="00A27BB5"/>
    <w:rsid w:val="00A306FD"/>
    <w:rsid w:val="00A31C8B"/>
    <w:rsid w:val="00A35F2F"/>
    <w:rsid w:val="00A40AA9"/>
    <w:rsid w:val="00A4242D"/>
    <w:rsid w:val="00A42D56"/>
    <w:rsid w:val="00A50602"/>
    <w:rsid w:val="00A509FA"/>
    <w:rsid w:val="00A535F2"/>
    <w:rsid w:val="00A547C7"/>
    <w:rsid w:val="00A5522C"/>
    <w:rsid w:val="00A56548"/>
    <w:rsid w:val="00A56F6E"/>
    <w:rsid w:val="00A60DBF"/>
    <w:rsid w:val="00A620F3"/>
    <w:rsid w:val="00A63540"/>
    <w:rsid w:val="00A65FB6"/>
    <w:rsid w:val="00A70033"/>
    <w:rsid w:val="00A7004B"/>
    <w:rsid w:val="00A77968"/>
    <w:rsid w:val="00A82CDD"/>
    <w:rsid w:val="00A845DC"/>
    <w:rsid w:val="00A86E3D"/>
    <w:rsid w:val="00A91607"/>
    <w:rsid w:val="00A92D0C"/>
    <w:rsid w:val="00A93A69"/>
    <w:rsid w:val="00A9490A"/>
    <w:rsid w:val="00A96F47"/>
    <w:rsid w:val="00A9797A"/>
    <w:rsid w:val="00AA4171"/>
    <w:rsid w:val="00AA7CE8"/>
    <w:rsid w:val="00AB0D46"/>
    <w:rsid w:val="00AB1460"/>
    <w:rsid w:val="00AB326B"/>
    <w:rsid w:val="00AB3AA2"/>
    <w:rsid w:val="00AB4983"/>
    <w:rsid w:val="00AC047C"/>
    <w:rsid w:val="00AC0DFD"/>
    <w:rsid w:val="00AC5900"/>
    <w:rsid w:val="00AC6A11"/>
    <w:rsid w:val="00AC6FEE"/>
    <w:rsid w:val="00AC7193"/>
    <w:rsid w:val="00AD01F0"/>
    <w:rsid w:val="00AD1395"/>
    <w:rsid w:val="00AD241A"/>
    <w:rsid w:val="00AD2ADB"/>
    <w:rsid w:val="00AD4321"/>
    <w:rsid w:val="00AD5129"/>
    <w:rsid w:val="00AE074F"/>
    <w:rsid w:val="00AE1C49"/>
    <w:rsid w:val="00AE7C44"/>
    <w:rsid w:val="00AF205D"/>
    <w:rsid w:val="00AF21FC"/>
    <w:rsid w:val="00AF463C"/>
    <w:rsid w:val="00AF5676"/>
    <w:rsid w:val="00AF65BE"/>
    <w:rsid w:val="00B0231A"/>
    <w:rsid w:val="00B03E85"/>
    <w:rsid w:val="00B124A3"/>
    <w:rsid w:val="00B20325"/>
    <w:rsid w:val="00B22A28"/>
    <w:rsid w:val="00B24E33"/>
    <w:rsid w:val="00B24EFB"/>
    <w:rsid w:val="00B26AA2"/>
    <w:rsid w:val="00B308A5"/>
    <w:rsid w:val="00B341EB"/>
    <w:rsid w:val="00B3524D"/>
    <w:rsid w:val="00B35A48"/>
    <w:rsid w:val="00B40F69"/>
    <w:rsid w:val="00B4378C"/>
    <w:rsid w:val="00B4528A"/>
    <w:rsid w:val="00B46616"/>
    <w:rsid w:val="00B5192E"/>
    <w:rsid w:val="00B55AD6"/>
    <w:rsid w:val="00B56079"/>
    <w:rsid w:val="00B574ED"/>
    <w:rsid w:val="00B632DE"/>
    <w:rsid w:val="00B63BE9"/>
    <w:rsid w:val="00B7040A"/>
    <w:rsid w:val="00B70A41"/>
    <w:rsid w:val="00B713E0"/>
    <w:rsid w:val="00B76F13"/>
    <w:rsid w:val="00B819D2"/>
    <w:rsid w:val="00B83391"/>
    <w:rsid w:val="00B866FB"/>
    <w:rsid w:val="00B86963"/>
    <w:rsid w:val="00B90224"/>
    <w:rsid w:val="00B903FC"/>
    <w:rsid w:val="00B94048"/>
    <w:rsid w:val="00B95326"/>
    <w:rsid w:val="00B95CE3"/>
    <w:rsid w:val="00B961C7"/>
    <w:rsid w:val="00BA18CB"/>
    <w:rsid w:val="00BA21B9"/>
    <w:rsid w:val="00BA580B"/>
    <w:rsid w:val="00BB2179"/>
    <w:rsid w:val="00BB2EA6"/>
    <w:rsid w:val="00BB4670"/>
    <w:rsid w:val="00BB5BEB"/>
    <w:rsid w:val="00BB6275"/>
    <w:rsid w:val="00BB656B"/>
    <w:rsid w:val="00BC0709"/>
    <w:rsid w:val="00BC261A"/>
    <w:rsid w:val="00BC654A"/>
    <w:rsid w:val="00BC7140"/>
    <w:rsid w:val="00BD0766"/>
    <w:rsid w:val="00BD08D1"/>
    <w:rsid w:val="00BD4196"/>
    <w:rsid w:val="00BD5E1A"/>
    <w:rsid w:val="00BE3C66"/>
    <w:rsid w:val="00BE4FEE"/>
    <w:rsid w:val="00BF1816"/>
    <w:rsid w:val="00BF22CA"/>
    <w:rsid w:val="00BF23BB"/>
    <w:rsid w:val="00BF3876"/>
    <w:rsid w:val="00BF6700"/>
    <w:rsid w:val="00C01112"/>
    <w:rsid w:val="00C04F75"/>
    <w:rsid w:val="00C0681D"/>
    <w:rsid w:val="00C12495"/>
    <w:rsid w:val="00C12F97"/>
    <w:rsid w:val="00C146B4"/>
    <w:rsid w:val="00C15255"/>
    <w:rsid w:val="00C154AC"/>
    <w:rsid w:val="00C16E5C"/>
    <w:rsid w:val="00C20F17"/>
    <w:rsid w:val="00C20F94"/>
    <w:rsid w:val="00C219D6"/>
    <w:rsid w:val="00C220D7"/>
    <w:rsid w:val="00C239D8"/>
    <w:rsid w:val="00C26032"/>
    <w:rsid w:val="00C33F08"/>
    <w:rsid w:val="00C345E1"/>
    <w:rsid w:val="00C4083F"/>
    <w:rsid w:val="00C4094F"/>
    <w:rsid w:val="00C43BFD"/>
    <w:rsid w:val="00C445A3"/>
    <w:rsid w:val="00C50C08"/>
    <w:rsid w:val="00C50C4C"/>
    <w:rsid w:val="00C52DF4"/>
    <w:rsid w:val="00C52F9C"/>
    <w:rsid w:val="00C5486A"/>
    <w:rsid w:val="00C553B9"/>
    <w:rsid w:val="00C56D95"/>
    <w:rsid w:val="00C647A6"/>
    <w:rsid w:val="00C67862"/>
    <w:rsid w:val="00C67BF6"/>
    <w:rsid w:val="00C70C66"/>
    <w:rsid w:val="00C73663"/>
    <w:rsid w:val="00C75233"/>
    <w:rsid w:val="00C76519"/>
    <w:rsid w:val="00C801EE"/>
    <w:rsid w:val="00C80FDA"/>
    <w:rsid w:val="00C87AB0"/>
    <w:rsid w:val="00CA00CA"/>
    <w:rsid w:val="00CA0215"/>
    <w:rsid w:val="00CA1C12"/>
    <w:rsid w:val="00CA1CC0"/>
    <w:rsid w:val="00CA69D2"/>
    <w:rsid w:val="00CB17C8"/>
    <w:rsid w:val="00CB3EF4"/>
    <w:rsid w:val="00CB5800"/>
    <w:rsid w:val="00CB5C3E"/>
    <w:rsid w:val="00CB6E35"/>
    <w:rsid w:val="00CB71F0"/>
    <w:rsid w:val="00CC4902"/>
    <w:rsid w:val="00CC58A1"/>
    <w:rsid w:val="00CC693D"/>
    <w:rsid w:val="00CC7C76"/>
    <w:rsid w:val="00CD2116"/>
    <w:rsid w:val="00CD75B5"/>
    <w:rsid w:val="00CD76A9"/>
    <w:rsid w:val="00CE1A46"/>
    <w:rsid w:val="00CF19BC"/>
    <w:rsid w:val="00CF2BCD"/>
    <w:rsid w:val="00CF2D17"/>
    <w:rsid w:val="00CF5051"/>
    <w:rsid w:val="00CF5607"/>
    <w:rsid w:val="00CF5F08"/>
    <w:rsid w:val="00CF6508"/>
    <w:rsid w:val="00CF68D9"/>
    <w:rsid w:val="00CF6E05"/>
    <w:rsid w:val="00CF75E7"/>
    <w:rsid w:val="00D01716"/>
    <w:rsid w:val="00D03DBB"/>
    <w:rsid w:val="00D0401B"/>
    <w:rsid w:val="00D14F49"/>
    <w:rsid w:val="00D17935"/>
    <w:rsid w:val="00D17DC4"/>
    <w:rsid w:val="00D20757"/>
    <w:rsid w:val="00D20C3B"/>
    <w:rsid w:val="00D21355"/>
    <w:rsid w:val="00D22636"/>
    <w:rsid w:val="00D226AA"/>
    <w:rsid w:val="00D30EF3"/>
    <w:rsid w:val="00D37190"/>
    <w:rsid w:val="00D37657"/>
    <w:rsid w:val="00D3776E"/>
    <w:rsid w:val="00D37C81"/>
    <w:rsid w:val="00D40FD9"/>
    <w:rsid w:val="00D42DD2"/>
    <w:rsid w:val="00D43216"/>
    <w:rsid w:val="00D435AE"/>
    <w:rsid w:val="00D436C2"/>
    <w:rsid w:val="00D43D8A"/>
    <w:rsid w:val="00D47507"/>
    <w:rsid w:val="00D50660"/>
    <w:rsid w:val="00D53769"/>
    <w:rsid w:val="00D5402D"/>
    <w:rsid w:val="00D562C5"/>
    <w:rsid w:val="00D5793C"/>
    <w:rsid w:val="00D631C2"/>
    <w:rsid w:val="00D63592"/>
    <w:rsid w:val="00D645AE"/>
    <w:rsid w:val="00D647F1"/>
    <w:rsid w:val="00D66E01"/>
    <w:rsid w:val="00D73452"/>
    <w:rsid w:val="00D7528A"/>
    <w:rsid w:val="00D756B8"/>
    <w:rsid w:val="00D75888"/>
    <w:rsid w:val="00D77CC4"/>
    <w:rsid w:val="00D824BA"/>
    <w:rsid w:val="00D83B22"/>
    <w:rsid w:val="00D85C13"/>
    <w:rsid w:val="00D87845"/>
    <w:rsid w:val="00D9111A"/>
    <w:rsid w:val="00D91BE3"/>
    <w:rsid w:val="00D94AFC"/>
    <w:rsid w:val="00DA742E"/>
    <w:rsid w:val="00DA75F3"/>
    <w:rsid w:val="00DB1995"/>
    <w:rsid w:val="00DB20FF"/>
    <w:rsid w:val="00DB2F95"/>
    <w:rsid w:val="00DB6898"/>
    <w:rsid w:val="00DB70AE"/>
    <w:rsid w:val="00DC03BB"/>
    <w:rsid w:val="00DC30AB"/>
    <w:rsid w:val="00DC5E31"/>
    <w:rsid w:val="00DC71C4"/>
    <w:rsid w:val="00DD130A"/>
    <w:rsid w:val="00DD2CA0"/>
    <w:rsid w:val="00DD5071"/>
    <w:rsid w:val="00DD566C"/>
    <w:rsid w:val="00DD57EB"/>
    <w:rsid w:val="00DD5C39"/>
    <w:rsid w:val="00DD7829"/>
    <w:rsid w:val="00DE1D12"/>
    <w:rsid w:val="00DE21D5"/>
    <w:rsid w:val="00DE3FC3"/>
    <w:rsid w:val="00DE7DB7"/>
    <w:rsid w:val="00DF1555"/>
    <w:rsid w:val="00DF355A"/>
    <w:rsid w:val="00DF39C9"/>
    <w:rsid w:val="00DF3DA3"/>
    <w:rsid w:val="00DF599C"/>
    <w:rsid w:val="00E00A0A"/>
    <w:rsid w:val="00E012F3"/>
    <w:rsid w:val="00E01823"/>
    <w:rsid w:val="00E01BDE"/>
    <w:rsid w:val="00E066DE"/>
    <w:rsid w:val="00E07F57"/>
    <w:rsid w:val="00E16625"/>
    <w:rsid w:val="00E17748"/>
    <w:rsid w:val="00E177AA"/>
    <w:rsid w:val="00E219CC"/>
    <w:rsid w:val="00E230DB"/>
    <w:rsid w:val="00E24E10"/>
    <w:rsid w:val="00E250B3"/>
    <w:rsid w:val="00E30683"/>
    <w:rsid w:val="00E33708"/>
    <w:rsid w:val="00E348B9"/>
    <w:rsid w:val="00E408F4"/>
    <w:rsid w:val="00E41672"/>
    <w:rsid w:val="00E453D8"/>
    <w:rsid w:val="00E465E4"/>
    <w:rsid w:val="00E47EE9"/>
    <w:rsid w:val="00E50BCE"/>
    <w:rsid w:val="00E574BF"/>
    <w:rsid w:val="00E57679"/>
    <w:rsid w:val="00E60B0D"/>
    <w:rsid w:val="00E61261"/>
    <w:rsid w:val="00E61292"/>
    <w:rsid w:val="00E6492F"/>
    <w:rsid w:val="00E66841"/>
    <w:rsid w:val="00E72F1C"/>
    <w:rsid w:val="00E765FA"/>
    <w:rsid w:val="00E7682E"/>
    <w:rsid w:val="00E76D6D"/>
    <w:rsid w:val="00E77C4D"/>
    <w:rsid w:val="00E80AD9"/>
    <w:rsid w:val="00E80EA8"/>
    <w:rsid w:val="00E81D01"/>
    <w:rsid w:val="00E82E6C"/>
    <w:rsid w:val="00E87EF3"/>
    <w:rsid w:val="00E91BC5"/>
    <w:rsid w:val="00E92DB8"/>
    <w:rsid w:val="00E94732"/>
    <w:rsid w:val="00E96C1D"/>
    <w:rsid w:val="00EA102E"/>
    <w:rsid w:val="00EA2E4D"/>
    <w:rsid w:val="00EA45AA"/>
    <w:rsid w:val="00EA78CB"/>
    <w:rsid w:val="00EA7966"/>
    <w:rsid w:val="00EB0DDB"/>
    <w:rsid w:val="00EB20A5"/>
    <w:rsid w:val="00EB2855"/>
    <w:rsid w:val="00EC058E"/>
    <w:rsid w:val="00ED06A0"/>
    <w:rsid w:val="00ED0704"/>
    <w:rsid w:val="00ED53FF"/>
    <w:rsid w:val="00ED6EF9"/>
    <w:rsid w:val="00EE02DB"/>
    <w:rsid w:val="00EE1DD9"/>
    <w:rsid w:val="00EE3444"/>
    <w:rsid w:val="00EE45D8"/>
    <w:rsid w:val="00EE6371"/>
    <w:rsid w:val="00EF33F8"/>
    <w:rsid w:val="00EF414E"/>
    <w:rsid w:val="00EF4825"/>
    <w:rsid w:val="00F0033A"/>
    <w:rsid w:val="00F043C7"/>
    <w:rsid w:val="00F103CB"/>
    <w:rsid w:val="00F10896"/>
    <w:rsid w:val="00F121C2"/>
    <w:rsid w:val="00F14F27"/>
    <w:rsid w:val="00F22EDA"/>
    <w:rsid w:val="00F25F2F"/>
    <w:rsid w:val="00F266FF"/>
    <w:rsid w:val="00F26D00"/>
    <w:rsid w:val="00F272FF"/>
    <w:rsid w:val="00F31037"/>
    <w:rsid w:val="00F35A3A"/>
    <w:rsid w:val="00F42673"/>
    <w:rsid w:val="00F4284A"/>
    <w:rsid w:val="00F44B2A"/>
    <w:rsid w:val="00F53186"/>
    <w:rsid w:val="00F61685"/>
    <w:rsid w:val="00F6392E"/>
    <w:rsid w:val="00F72B17"/>
    <w:rsid w:val="00F76DB7"/>
    <w:rsid w:val="00F80E6B"/>
    <w:rsid w:val="00F81C95"/>
    <w:rsid w:val="00F91260"/>
    <w:rsid w:val="00F966BD"/>
    <w:rsid w:val="00F97703"/>
    <w:rsid w:val="00F978B7"/>
    <w:rsid w:val="00FB0104"/>
    <w:rsid w:val="00FB26BE"/>
    <w:rsid w:val="00FB2BEA"/>
    <w:rsid w:val="00FB30A5"/>
    <w:rsid w:val="00FB4231"/>
    <w:rsid w:val="00FB5020"/>
    <w:rsid w:val="00FB712C"/>
    <w:rsid w:val="00FB7D61"/>
    <w:rsid w:val="00FD1120"/>
    <w:rsid w:val="00FD48B4"/>
    <w:rsid w:val="00FF4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0B26B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rsid w:val="00DF599C"/>
    <w:pPr>
      <w:spacing w:after="120" w:line="288" w:lineRule="atLeast"/>
      <w:outlineLvl w:val="0"/>
    </w:pPr>
    <w:rPr>
      <w:b/>
      <w:bCs/>
      <w:color w:val="000000"/>
      <w:kern w:val="36"/>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customStyle="1" w:styleId="Default">
    <w:name w:val="Default"/>
    <w:rsid w:val="00F80E6B"/>
    <w:pPr>
      <w:autoSpaceDE w:val="0"/>
      <w:autoSpaceDN w:val="0"/>
      <w:adjustRightInd w:val="0"/>
    </w:pPr>
    <w:rPr>
      <w:rFonts w:ascii="Arial" w:hAnsi="Arial" w:cs="Arial"/>
      <w:color w:val="000000"/>
      <w:sz w:val="24"/>
      <w:szCs w:val="24"/>
    </w:rPr>
  </w:style>
  <w:style w:type="paragraph" w:customStyle="1" w:styleId="Level1">
    <w:name w:val="Level 1"/>
    <w:basedOn w:val="Normal"/>
    <w:rsid w:val="00F81C95"/>
    <w:pPr>
      <w:widowControl w:val="0"/>
    </w:pPr>
    <w:rPr>
      <w:szCs w:val="20"/>
    </w:rPr>
  </w:style>
  <w:style w:type="paragraph" w:styleId="NormalWeb">
    <w:name w:val="Normal (Web)"/>
    <w:basedOn w:val="Normal"/>
    <w:rsid w:val="00CB5C3E"/>
    <w:pPr>
      <w:spacing w:before="100" w:beforeAutospacing="1" w:after="100" w:afterAutospacing="1"/>
    </w:pPr>
  </w:style>
  <w:style w:type="character" w:styleId="HTMLCite">
    <w:name w:val="HTML Cite"/>
    <w:rsid w:val="00CB5C3E"/>
    <w:rPr>
      <w:i/>
      <w:iCs/>
    </w:rPr>
  </w:style>
  <w:style w:type="paragraph" w:styleId="ListParagraph">
    <w:name w:val="List Paragraph"/>
    <w:basedOn w:val="Normal"/>
    <w:uiPriority w:val="34"/>
    <w:qFormat/>
    <w:rsid w:val="00430298"/>
    <w:pPr>
      <w:ind w:left="720"/>
    </w:pPr>
  </w:style>
  <w:style w:type="character" w:customStyle="1" w:styleId="legamendingtext">
    <w:name w:val="legamendingtext"/>
    <w:rsid w:val="00664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07919">
      <w:bodyDiv w:val="1"/>
      <w:marLeft w:val="0"/>
      <w:marRight w:val="0"/>
      <w:marTop w:val="0"/>
      <w:marBottom w:val="0"/>
      <w:divBdr>
        <w:top w:val="none" w:sz="0" w:space="0" w:color="auto"/>
        <w:left w:val="none" w:sz="0" w:space="0" w:color="auto"/>
        <w:bottom w:val="none" w:sz="0" w:space="0" w:color="auto"/>
        <w:right w:val="none" w:sz="0" w:space="0" w:color="auto"/>
      </w:divBdr>
    </w:div>
    <w:div w:id="1048801208">
      <w:bodyDiv w:val="1"/>
      <w:marLeft w:val="0"/>
      <w:marRight w:val="0"/>
      <w:marTop w:val="0"/>
      <w:marBottom w:val="0"/>
      <w:divBdr>
        <w:top w:val="none" w:sz="0" w:space="0" w:color="auto"/>
        <w:left w:val="none" w:sz="0" w:space="0" w:color="auto"/>
        <w:bottom w:val="none" w:sz="0" w:space="0" w:color="auto"/>
        <w:right w:val="none" w:sz="0" w:space="0" w:color="auto"/>
      </w:divBdr>
      <w:divsChild>
        <w:div w:id="1121146941">
          <w:marLeft w:val="0"/>
          <w:marRight w:val="0"/>
          <w:marTop w:val="0"/>
          <w:marBottom w:val="0"/>
          <w:divBdr>
            <w:top w:val="none" w:sz="0" w:space="0" w:color="auto"/>
            <w:left w:val="none" w:sz="0" w:space="0" w:color="auto"/>
            <w:bottom w:val="none" w:sz="0" w:space="0" w:color="auto"/>
            <w:right w:val="none" w:sz="0" w:space="0" w:color="auto"/>
          </w:divBdr>
          <w:divsChild>
            <w:div w:id="961497912">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423333962">
      <w:bodyDiv w:val="1"/>
      <w:marLeft w:val="0"/>
      <w:marRight w:val="0"/>
      <w:marTop w:val="0"/>
      <w:marBottom w:val="0"/>
      <w:divBdr>
        <w:top w:val="none" w:sz="0" w:space="0" w:color="auto"/>
        <w:left w:val="none" w:sz="0" w:space="0" w:color="auto"/>
        <w:bottom w:val="none" w:sz="0" w:space="0" w:color="auto"/>
        <w:right w:val="none" w:sz="0" w:space="0" w:color="auto"/>
      </w:divBdr>
      <w:divsChild>
        <w:div w:id="900409959">
          <w:marLeft w:val="0"/>
          <w:marRight w:val="0"/>
          <w:marTop w:val="0"/>
          <w:marBottom w:val="0"/>
          <w:divBdr>
            <w:top w:val="none" w:sz="0" w:space="0" w:color="auto"/>
            <w:left w:val="none" w:sz="0" w:space="0" w:color="auto"/>
            <w:bottom w:val="none" w:sz="0" w:space="0" w:color="auto"/>
            <w:right w:val="none" w:sz="0" w:space="0" w:color="auto"/>
          </w:divBdr>
          <w:divsChild>
            <w:div w:id="1308128079">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824278442">
      <w:bodyDiv w:val="1"/>
      <w:marLeft w:val="0"/>
      <w:marRight w:val="0"/>
      <w:marTop w:val="0"/>
      <w:marBottom w:val="0"/>
      <w:divBdr>
        <w:top w:val="none" w:sz="0" w:space="0" w:color="auto"/>
        <w:left w:val="none" w:sz="0" w:space="0" w:color="auto"/>
        <w:bottom w:val="none" w:sz="0" w:space="0" w:color="auto"/>
        <w:right w:val="none" w:sz="0" w:space="0" w:color="auto"/>
      </w:divBdr>
      <w:divsChild>
        <w:div w:id="283999157">
          <w:marLeft w:val="0"/>
          <w:marRight w:val="0"/>
          <w:marTop w:val="0"/>
          <w:marBottom w:val="0"/>
          <w:divBdr>
            <w:top w:val="none" w:sz="0" w:space="0" w:color="auto"/>
            <w:left w:val="none" w:sz="0" w:space="0" w:color="auto"/>
            <w:bottom w:val="none" w:sz="0" w:space="0" w:color="auto"/>
            <w:right w:val="none" w:sz="0" w:space="0" w:color="auto"/>
          </w:divBdr>
          <w:divsChild>
            <w:div w:id="1174997403">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920212052">
      <w:bodyDiv w:val="1"/>
      <w:marLeft w:val="0"/>
      <w:marRight w:val="0"/>
      <w:marTop w:val="0"/>
      <w:marBottom w:val="0"/>
      <w:divBdr>
        <w:top w:val="none" w:sz="0" w:space="0" w:color="auto"/>
        <w:left w:val="none" w:sz="0" w:space="0" w:color="auto"/>
        <w:bottom w:val="none" w:sz="0" w:space="0" w:color="auto"/>
        <w:right w:val="none" w:sz="0" w:space="0" w:color="auto"/>
      </w:divBdr>
    </w:div>
    <w:div w:id="1935048361">
      <w:bodyDiv w:val="1"/>
      <w:marLeft w:val="0"/>
      <w:marRight w:val="0"/>
      <w:marTop w:val="0"/>
      <w:marBottom w:val="0"/>
      <w:divBdr>
        <w:top w:val="none" w:sz="0" w:space="0" w:color="auto"/>
        <w:left w:val="none" w:sz="0" w:space="0" w:color="auto"/>
        <w:bottom w:val="none" w:sz="0" w:space="0" w:color="auto"/>
        <w:right w:val="none" w:sz="0" w:space="0" w:color="auto"/>
      </w:divBdr>
    </w:div>
    <w:div w:id="1960647736">
      <w:bodyDiv w:val="1"/>
      <w:marLeft w:val="0"/>
      <w:marRight w:val="0"/>
      <w:marTop w:val="0"/>
      <w:marBottom w:val="0"/>
      <w:divBdr>
        <w:top w:val="none" w:sz="0" w:space="0" w:color="auto"/>
        <w:left w:val="none" w:sz="0" w:space="0" w:color="auto"/>
        <w:bottom w:val="none" w:sz="0" w:space="0" w:color="auto"/>
        <w:right w:val="none" w:sz="0" w:space="0" w:color="auto"/>
      </w:divBdr>
      <w:divsChild>
        <w:div w:id="526142479">
          <w:marLeft w:val="0"/>
          <w:marRight w:val="0"/>
          <w:marTop w:val="0"/>
          <w:marBottom w:val="0"/>
          <w:divBdr>
            <w:top w:val="none" w:sz="0" w:space="0" w:color="auto"/>
            <w:left w:val="none" w:sz="0" w:space="0" w:color="auto"/>
            <w:bottom w:val="none" w:sz="0" w:space="0" w:color="auto"/>
            <w:right w:val="none" w:sz="0" w:space="0" w:color="auto"/>
          </w:divBdr>
          <w:divsChild>
            <w:div w:id="1146631606">
              <w:marLeft w:val="0"/>
              <w:marRight w:val="0"/>
              <w:marTop w:val="0"/>
              <w:marBottom w:val="0"/>
              <w:divBdr>
                <w:top w:val="none" w:sz="0" w:space="0" w:color="auto"/>
                <w:left w:val="none" w:sz="0" w:space="0" w:color="auto"/>
                <w:bottom w:val="none" w:sz="0" w:space="0" w:color="auto"/>
                <w:right w:val="none" w:sz="0" w:space="0" w:color="auto"/>
              </w:divBdr>
              <w:divsChild>
                <w:div w:id="1428888436">
                  <w:marLeft w:val="0"/>
                  <w:marRight w:val="0"/>
                  <w:marTop w:val="0"/>
                  <w:marBottom w:val="0"/>
                  <w:divBdr>
                    <w:top w:val="none" w:sz="0" w:space="0" w:color="auto"/>
                    <w:left w:val="none" w:sz="0" w:space="0" w:color="auto"/>
                    <w:bottom w:val="none" w:sz="0" w:space="0" w:color="auto"/>
                    <w:right w:val="none" w:sz="0" w:space="0" w:color="auto"/>
                  </w:divBdr>
                  <w:divsChild>
                    <w:div w:id="244073966">
                      <w:marLeft w:val="0"/>
                      <w:marRight w:val="0"/>
                      <w:marTop w:val="0"/>
                      <w:marBottom w:val="0"/>
                      <w:divBdr>
                        <w:top w:val="none" w:sz="0" w:space="0" w:color="auto"/>
                        <w:left w:val="none" w:sz="0" w:space="0" w:color="auto"/>
                        <w:bottom w:val="none" w:sz="0" w:space="0" w:color="auto"/>
                        <w:right w:val="none" w:sz="0" w:space="0" w:color="auto"/>
                      </w:divBdr>
                      <w:divsChild>
                        <w:div w:id="496501687">
                          <w:marLeft w:val="0"/>
                          <w:marRight w:val="0"/>
                          <w:marTop w:val="0"/>
                          <w:marBottom w:val="0"/>
                          <w:divBdr>
                            <w:top w:val="none" w:sz="0" w:space="0" w:color="auto"/>
                            <w:left w:val="none" w:sz="0" w:space="0" w:color="auto"/>
                            <w:bottom w:val="none" w:sz="0" w:space="0" w:color="auto"/>
                            <w:right w:val="none" w:sz="0" w:space="0" w:color="auto"/>
                          </w:divBdr>
                          <w:divsChild>
                            <w:div w:id="233590550">
                              <w:marLeft w:val="0"/>
                              <w:marRight w:val="0"/>
                              <w:marTop w:val="0"/>
                              <w:marBottom w:val="0"/>
                              <w:divBdr>
                                <w:top w:val="none" w:sz="0" w:space="0" w:color="auto"/>
                                <w:left w:val="none" w:sz="0" w:space="0" w:color="auto"/>
                                <w:bottom w:val="none" w:sz="0" w:space="0" w:color="auto"/>
                                <w:right w:val="none" w:sz="0" w:space="0" w:color="auto"/>
                              </w:divBdr>
                              <w:divsChild>
                                <w:div w:id="86494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00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2249</Words>
  <Characters>11188</Characters>
  <Application>Microsoft Office Word</Application>
  <DocSecurity>0</DocSecurity>
  <Lines>93</Lines>
  <Paragraphs>26</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2018-09-26T09:29:00Z</dcterms:created>
  <dcterms:modified xsi:type="dcterms:W3CDTF">2018-09-26T09:29:00Z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