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6463" w14:textId="77777777" w:rsidR="00A77509" w:rsidRDefault="00A77509" w:rsidP="00A77509">
      <w:pPr>
        <w:jc w:val="center"/>
        <w:rPr>
          <w:rFonts w:ascii="Book Antiqua" w:hAnsi="Book Antiqua" w:cs="Arial"/>
          <w:color w:val="000000"/>
        </w:rPr>
      </w:pPr>
      <w:r>
        <w:rPr>
          <w:noProof/>
        </w:rPr>
        <w:drawing>
          <wp:inline distT="0" distB="0" distL="0" distR="0" wp14:anchorId="4E883145" wp14:editId="59D6F0DE">
            <wp:extent cx="1493520" cy="1137920"/>
            <wp:effectExtent l="25400" t="0" r="5080" b="0"/>
            <wp:docPr id="3"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14:paraId="286D0F6B" w14:textId="77777777" w:rsidR="00A77509" w:rsidRPr="00F97703" w:rsidRDefault="00A77509" w:rsidP="00A77509">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7AF55376" w14:textId="77777777" w:rsidR="00A77509" w:rsidRDefault="00A77509" w:rsidP="00A77509">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456DB8">
        <w:rPr>
          <w:rFonts w:ascii="Book Antiqua" w:hAnsi="Book Antiqua" w:cs="Arial"/>
          <w:caps/>
          <w:color w:val="000000"/>
        </w:rPr>
        <w:t>PA/05904/2017</w:t>
      </w:r>
      <w:r>
        <w:rPr>
          <w:rFonts w:ascii="Book Antiqua" w:hAnsi="Book Antiqua" w:cs="Arial"/>
          <w:caps/>
          <w:color w:val="000000"/>
        </w:rPr>
        <w:t xml:space="preserve"> </w:t>
      </w:r>
      <w:bookmarkEnd w:id="0"/>
    </w:p>
    <w:p w14:paraId="308FBCAC" w14:textId="77777777" w:rsidR="00A77509" w:rsidRPr="00F97703" w:rsidRDefault="00A77509" w:rsidP="00A77509">
      <w:pPr>
        <w:jc w:val="center"/>
        <w:rPr>
          <w:rFonts w:ascii="Book Antiqua" w:hAnsi="Book Antiqua" w:cs="Arial"/>
          <w:color w:val="000000"/>
        </w:rPr>
      </w:pPr>
    </w:p>
    <w:p w14:paraId="669A013F" w14:textId="77777777" w:rsidR="00917602" w:rsidRDefault="00917602" w:rsidP="00A77509">
      <w:pPr>
        <w:jc w:val="center"/>
        <w:rPr>
          <w:rFonts w:ascii="Book Antiqua" w:hAnsi="Book Antiqua" w:cs="Arial"/>
          <w:b/>
          <w:color w:val="000000"/>
          <w:u w:val="single"/>
        </w:rPr>
      </w:pPr>
    </w:p>
    <w:p w14:paraId="1545CE0E" w14:textId="7C997C90" w:rsidR="00A77509" w:rsidRDefault="00A77509" w:rsidP="00A77509">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274C8CF6" w14:textId="77777777" w:rsidR="00917602" w:rsidRPr="00F97703" w:rsidRDefault="00917602" w:rsidP="00A77509">
      <w:pPr>
        <w:jc w:val="center"/>
        <w:rPr>
          <w:rFonts w:ascii="Book Antiqua" w:hAnsi="Book Antiqua" w:cs="Arial"/>
          <w:b/>
          <w:color w:val="000000"/>
          <w:u w:val="single"/>
        </w:rPr>
      </w:pPr>
    </w:p>
    <w:p w14:paraId="31FEB213" w14:textId="77777777" w:rsidR="00A77509" w:rsidRPr="00F97703" w:rsidRDefault="00A77509" w:rsidP="00A77509">
      <w:pPr>
        <w:jc w:val="center"/>
        <w:rPr>
          <w:rFonts w:ascii="Book Antiqua" w:hAnsi="Book Antiqua" w:cs="Arial"/>
          <w:b/>
          <w:u w:val="single"/>
        </w:rPr>
      </w:pPr>
    </w:p>
    <w:tbl>
      <w:tblPr>
        <w:tblW w:w="9796" w:type="dxa"/>
        <w:tblLook w:val="01E0" w:firstRow="1" w:lastRow="1" w:firstColumn="1" w:lastColumn="1" w:noHBand="0" w:noVBand="0"/>
      </w:tblPr>
      <w:tblGrid>
        <w:gridCol w:w="5937"/>
        <w:gridCol w:w="3859"/>
      </w:tblGrid>
      <w:tr w:rsidR="00A77509" w:rsidRPr="00B22334" w14:paraId="268BC263" w14:textId="77777777" w:rsidTr="007D2CBB">
        <w:trPr>
          <w:trHeight w:val="331"/>
        </w:trPr>
        <w:tc>
          <w:tcPr>
            <w:tcW w:w="5937" w:type="dxa"/>
          </w:tcPr>
          <w:p w14:paraId="13024538" w14:textId="77777777" w:rsidR="00A77509" w:rsidRPr="00B22334" w:rsidRDefault="00A77509" w:rsidP="00456DB8">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Field House</w:t>
            </w:r>
          </w:p>
        </w:tc>
        <w:tc>
          <w:tcPr>
            <w:tcW w:w="3859" w:type="dxa"/>
          </w:tcPr>
          <w:p w14:paraId="59261F4D" w14:textId="77777777" w:rsidR="00A77509" w:rsidRPr="00B22334" w:rsidRDefault="007D2CBB" w:rsidP="00456DB8">
            <w:pPr>
              <w:jc w:val="both"/>
              <w:rPr>
                <w:rFonts w:ascii="Book Antiqua" w:hAnsi="Book Antiqua" w:cs="Arial"/>
                <w:b/>
                <w:color w:val="000000"/>
              </w:rPr>
            </w:pPr>
            <w:r>
              <w:rPr>
                <w:rFonts w:ascii="Book Antiqua" w:hAnsi="Book Antiqua" w:cs="Arial"/>
                <w:b/>
                <w:color w:val="000000"/>
              </w:rPr>
              <w:t xml:space="preserve">     </w:t>
            </w:r>
            <w:r w:rsidRPr="00304860">
              <w:rPr>
                <w:rFonts w:ascii="Book Antiqua" w:hAnsi="Book Antiqua" w:cs="Arial"/>
                <w:b/>
                <w:color w:val="000000"/>
              </w:rPr>
              <w:t>Determination Promulgated</w:t>
            </w:r>
          </w:p>
        </w:tc>
      </w:tr>
      <w:tr w:rsidR="00A77509" w:rsidRPr="00B22334" w14:paraId="2C5D4848" w14:textId="77777777" w:rsidTr="007D2CBB">
        <w:trPr>
          <w:trHeight w:val="160"/>
        </w:trPr>
        <w:tc>
          <w:tcPr>
            <w:tcW w:w="5937" w:type="dxa"/>
          </w:tcPr>
          <w:p w14:paraId="5AAD1BA4" w14:textId="77777777" w:rsidR="00A77509" w:rsidRPr="00B22334" w:rsidRDefault="00A77509" w:rsidP="00456DB8">
            <w:pPr>
              <w:jc w:val="both"/>
              <w:rPr>
                <w:rFonts w:ascii="Book Antiqua" w:hAnsi="Book Antiqua" w:cs="Arial"/>
                <w:b/>
              </w:rPr>
            </w:pPr>
            <w:r w:rsidRPr="00B22334">
              <w:rPr>
                <w:rFonts w:ascii="Book Antiqua" w:hAnsi="Book Antiqua" w:cs="Arial"/>
                <w:b/>
              </w:rPr>
              <w:t xml:space="preserve">On </w:t>
            </w:r>
            <w:r w:rsidR="00456DB8">
              <w:rPr>
                <w:rFonts w:ascii="Book Antiqua" w:hAnsi="Book Antiqua" w:cs="Arial"/>
                <w:b/>
              </w:rPr>
              <w:t>25</w:t>
            </w:r>
            <w:r>
              <w:rPr>
                <w:rFonts w:ascii="Book Antiqua" w:hAnsi="Book Antiqua" w:cs="Arial"/>
                <w:b/>
              </w:rPr>
              <w:t xml:space="preserve"> May 2018</w:t>
            </w:r>
          </w:p>
        </w:tc>
        <w:tc>
          <w:tcPr>
            <w:tcW w:w="3859" w:type="dxa"/>
          </w:tcPr>
          <w:p w14:paraId="3E0A4DF3" w14:textId="77777777" w:rsidR="00A77509" w:rsidRPr="00B22334" w:rsidRDefault="00A77509" w:rsidP="00456DB8">
            <w:pPr>
              <w:jc w:val="both"/>
              <w:rPr>
                <w:rFonts w:ascii="Book Antiqua" w:hAnsi="Book Antiqua" w:cs="Arial"/>
                <w:b/>
              </w:rPr>
            </w:pPr>
            <w:r>
              <w:rPr>
                <w:rFonts w:ascii="Book Antiqua" w:hAnsi="Book Antiqua" w:cs="Arial"/>
                <w:b/>
              </w:rPr>
              <w:t xml:space="preserve"> </w:t>
            </w:r>
            <w:r w:rsidR="007D2CBB">
              <w:rPr>
                <w:rFonts w:ascii="Book Antiqua" w:hAnsi="Book Antiqua" w:cs="Arial"/>
                <w:b/>
              </w:rPr>
              <w:t xml:space="preserve">    </w:t>
            </w:r>
            <w:r w:rsidR="007D2CBB" w:rsidRPr="007D2CBB">
              <w:rPr>
                <w:rFonts w:ascii="Book Antiqua" w:hAnsi="Book Antiqua" w:cs="Arial"/>
                <w:b/>
              </w:rPr>
              <w:t>On 19 June 2018</w:t>
            </w:r>
          </w:p>
        </w:tc>
      </w:tr>
      <w:tr w:rsidR="00A77509" w:rsidRPr="00B22334" w14:paraId="3EE38B66" w14:textId="77777777" w:rsidTr="007D2CBB">
        <w:trPr>
          <w:trHeight w:val="171"/>
        </w:trPr>
        <w:tc>
          <w:tcPr>
            <w:tcW w:w="5937" w:type="dxa"/>
          </w:tcPr>
          <w:p w14:paraId="11AAC64E" w14:textId="77777777" w:rsidR="00A77509" w:rsidRPr="00B22334" w:rsidRDefault="00A77509" w:rsidP="00456DB8">
            <w:pPr>
              <w:jc w:val="both"/>
              <w:rPr>
                <w:rFonts w:ascii="Book Antiqua" w:hAnsi="Book Antiqua" w:cs="Arial"/>
                <w:b/>
              </w:rPr>
            </w:pPr>
          </w:p>
        </w:tc>
        <w:tc>
          <w:tcPr>
            <w:tcW w:w="3859" w:type="dxa"/>
          </w:tcPr>
          <w:p w14:paraId="5F865123" w14:textId="77777777" w:rsidR="00A77509" w:rsidRPr="00B22334" w:rsidRDefault="00A77509" w:rsidP="00456DB8">
            <w:pPr>
              <w:jc w:val="both"/>
              <w:rPr>
                <w:rFonts w:ascii="Book Antiqua" w:hAnsi="Book Antiqua" w:cs="Arial"/>
                <w:b/>
              </w:rPr>
            </w:pPr>
          </w:p>
        </w:tc>
      </w:tr>
    </w:tbl>
    <w:p w14:paraId="3A67A02C" w14:textId="77777777" w:rsidR="00A77509" w:rsidRPr="00F97703" w:rsidRDefault="00A77509" w:rsidP="00A77509">
      <w:pPr>
        <w:jc w:val="center"/>
        <w:rPr>
          <w:rFonts w:ascii="Book Antiqua" w:hAnsi="Book Antiqua" w:cs="Arial"/>
        </w:rPr>
      </w:pPr>
    </w:p>
    <w:p w14:paraId="347882D7" w14:textId="77777777" w:rsidR="00A77509" w:rsidRPr="00F97703" w:rsidRDefault="00A77509" w:rsidP="00A77509">
      <w:pPr>
        <w:jc w:val="center"/>
        <w:rPr>
          <w:rFonts w:ascii="Book Antiqua" w:hAnsi="Book Antiqua" w:cs="Arial"/>
          <w:b/>
        </w:rPr>
      </w:pPr>
      <w:r w:rsidRPr="00F97703">
        <w:rPr>
          <w:rFonts w:ascii="Book Antiqua" w:hAnsi="Book Antiqua" w:cs="Arial"/>
          <w:b/>
        </w:rPr>
        <w:t>Before</w:t>
      </w:r>
    </w:p>
    <w:p w14:paraId="0E403731" w14:textId="77777777" w:rsidR="00A77509" w:rsidRPr="00F97703" w:rsidRDefault="00A77509" w:rsidP="00A77509">
      <w:pPr>
        <w:jc w:val="center"/>
        <w:rPr>
          <w:rFonts w:ascii="Book Antiqua" w:hAnsi="Book Antiqua" w:cs="Arial"/>
          <w:b/>
        </w:rPr>
      </w:pPr>
    </w:p>
    <w:p w14:paraId="50921869" w14:textId="77777777" w:rsidR="00A77509" w:rsidRDefault="00A77509" w:rsidP="00A77509">
      <w:pPr>
        <w:jc w:val="center"/>
        <w:rPr>
          <w:rFonts w:ascii="Book Antiqua" w:hAnsi="Book Antiqua" w:cs="Arial"/>
          <w:b/>
          <w:color w:val="000000"/>
        </w:rPr>
      </w:pPr>
      <w:r>
        <w:rPr>
          <w:rFonts w:ascii="Book Antiqua" w:hAnsi="Book Antiqua" w:cs="Arial"/>
          <w:b/>
          <w:color w:val="000000"/>
        </w:rPr>
        <w:t>DEPUTY UPPER TRIBUNAL JUDGE CHAPMAN</w:t>
      </w:r>
    </w:p>
    <w:p w14:paraId="0FBF442C" w14:textId="77777777" w:rsidR="00A77509" w:rsidRPr="00F97703" w:rsidRDefault="00A77509" w:rsidP="00A77509">
      <w:pPr>
        <w:jc w:val="center"/>
        <w:rPr>
          <w:rFonts w:ascii="Book Antiqua" w:hAnsi="Book Antiqua" w:cs="Arial"/>
          <w:b/>
        </w:rPr>
      </w:pPr>
    </w:p>
    <w:p w14:paraId="26A08692" w14:textId="77777777" w:rsidR="00917602" w:rsidRDefault="00917602" w:rsidP="00A77509">
      <w:pPr>
        <w:jc w:val="center"/>
        <w:rPr>
          <w:rFonts w:ascii="Book Antiqua" w:hAnsi="Book Antiqua" w:cs="Arial"/>
          <w:b/>
        </w:rPr>
      </w:pPr>
    </w:p>
    <w:p w14:paraId="37A6FF29" w14:textId="033F18A1" w:rsidR="00A77509" w:rsidRDefault="00A77509" w:rsidP="00A77509">
      <w:pPr>
        <w:jc w:val="center"/>
        <w:rPr>
          <w:rFonts w:ascii="Book Antiqua" w:hAnsi="Book Antiqua" w:cs="Arial"/>
          <w:b/>
        </w:rPr>
      </w:pPr>
      <w:r w:rsidRPr="00F97703">
        <w:rPr>
          <w:rFonts w:ascii="Book Antiqua" w:hAnsi="Book Antiqua" w:cs="Arial"/>
          <w:b/>
        </w:rPr>
        <w:t>Between</w:t>
      </w:r>
    </w:p>
    <w:p w14:paraId="1C97A40F" w14:textId="77777777" w:rsidR="00456DB8" w:rsidRDefault="00456DB8" w:rsidP="00A77509">
      <w:pPr>
        <w:jc w:val="center"/>
        <w:rPr>
          <w:rFonts w:ascii="Book Antiqua" w:hAnsi="Book Antiqua" w:cs="Arial"/>
          <w:b/>
        </w:rPr>
      </w:pPr>
    </w:p>
    <w:p w14:paraId="007D96F7" w14:textId="77777777" w:rsidR="00456DB8" w:rsidRPr="00F97703" w:rsidRDefault="000E3097" w:rsidP="00456DB8">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456DB8"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00456DB8">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5FAFFA8F" w14:textId="77777777" w:rsidR="00A77509" w:rsidRPr="00F97703" w:rsidRDefault="00A77509" w:rsidP="00A77509">
      <w:pPr>
        <w:jc w:val="right"/>
        <w:rPr>
          <w:rFonts w:ascii="Book Antiqua" w:hAnsi="Book Antiqua" w:cs="Arial"/>
          <w:u w:val="single"/>
        </w:rPr>
      </w:pPr>
      <w:r w:rsidRPr="00F97703">
        <w:rPr>
          <w:rFonts w:ascii="Book Antiqua" w:hAnsi="Book Antiqua" w:cs="Arial"/>
          <w:u w:val="single"/>
        </w:rPr>
        <w:t>Appellant</w:t>
      </w:r>
    </w:p>
    <w:p w14:paraId="206A661C" w14:textId="77777777" w:rsidR="00A77509" w:rsidRPr="00F97703" w:rsidRDefault="00456DB8" w:rsidP="00A77509">
      <w:pPr>
        <w:jc w:val="center"/>
        <w:rPr>
          <w:rFonts w:ascii="Book Antiqua" w:hAnsi="Book Antiqua" w:cs="Arial"/>
          <w:b/>
        </w:rPr>
      </w:pPr>
      <w:r>
        <w:rPr>
          <w:rFonts w:ascii="Book Antiqua" w:hAnsi="Book Antiqua" w:cs="Arial"/>
          <w:b/>
        </w:rPr>
        <w:t>v</w:t>
      </w:r>
    </w:p>
    <w:p w14:paraId="2CDBF573" w14:textId="77777777" w:rsidR="00A77509" w:rsidRDefault="00A77509" w:rsidP="00A77509">
      <w:pPr>
        <w:jc w:val="center"/>
        <w:rPr>
          <w:rFonts w:ascii="Book Antiqua" w:hAnsi="Book Antiqua" w:cs="Arial"/>
          <w:b/>
        </w:rPr>
      </w:pPr>
    </w:p>
    <w:p w14:paraId="4EDC5596" w14:textId="77777777" w:rsidR="00456DB8" w:rsidRDefault="00456DB8" w:rsidP="00456DB8">
      <w:pPr>
        <w:jc w:val="center"/>
        <w:rPr>
          <w:rFonts w:ascii="Book Antiqua" w:hAnsi="Book Antiqua" w:cs="Arial"/>
          <w:b/>
        </w:rPr>
      </w:pPr>
      <w:r>
        <w:rPr>
          <w:rFonts w:ascii="Book Antiqua" w:hAnsi="Book Antiqua" w:cs="Arial"/>
          <w:b/>
        </w:rPr>
        <w:t>MR A Q</w:t>
      </w:r>
    </w:p>
    <w:p w14:paraId="75CC32B5" w14:textId="77777777" w:rsidR="00A77509" w:rsidRPr="00F97703" w:rsidRDefault="00456DB8" w:rsidP="00A77509">
      <w:pPr>
        <w:jc w:val="center"/>
        <w:rPr>
          <w:rFonts w:ascii="Book Antiqua" w:hAnsi="Book Antiqua" w:cs="Arial"/>
          <w:b/>
        </w:rPr>
      </w:pPr>
      <w:r>
        <w:rPr>
          <w:rFonts w:ascii="Book Antiqua" w:hAnsi="Book Antiqua" w:cs="Arial"/>
          <w:b/>
        </w:rPr>
        <w:t>(ANONYMITY ORDER MADE)</w:t>
      </w:r>
    </w:p>
    <w:p w14:paraId="35C23414" w14:textId="77777777" w:rsidR="00A77509" w:rsidRPr="00F97703" w:rsidRDefault="00A77509" w:rsidP="00A77509">
      <w:pPr>
        <w:jc w:val="right"/>
        <w:rPr>
          <w:rFonts w:ascii="Book Antiqua" w:hAnsi="Book Antiqua" w:cs="Arial"/>
          <w:u w:val="single"/>
        </w:rPr>
      </w:pPr>
      <w:r w:rsidRPr="00F97703">
        <w:rPr>
          <w:rFonts w:ascii="Book Antiqua" w:hAnsi="Book Antiqua" w:cs="Arial"/>
          <w:u w:val="single"/>
        </w:rPr>
        <w:t>Respondent</w:t>
      </w:r>
    </w:p>
    <w:p w14:paraId="7B4ACF44" w14:textId="77777777" w:rsidR="00917602" w:rsidRDefault="00917602" w:rsidP="00A77509">
      <w:pPr>
        <w:rPr>
          <w:rFonts w:ascii="Book Antiqua" w:hAnsi="Book Antiqua" w:cs="Arial"/>
          <w:b/>
          <w:u w:val="single"/>
        </w:rPr>
      </w:pPr>
    </w:p>
    <w:p w14:paraId="7789FA46" w14:textId="77777777" w:rsidR="00917602" w:rsidRDefault="00917602" w:rsidP="00A77509">
      <w:pPr>
        <w:rPr>
          <w:rFonts w:ascii="Book Antiqua" w:hAnsi="Book Antiqua" w:cs="Arial"/>
          <w:b/>
          <w:u w:val="single"/>
        </w:rPr>
      </w:pPr>
    </w:p>
    <w:p w14:paraId="7654B383" w14:textId="1A6032CF" w:rsidR="00A77509" w:rsidRPr="00F97703" w:rsidRDefault="00A77509" w:rsidP="00A77509">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48EA0438" w14:textId="77777777" w:rsidR="00A77509" w:rsidRPr="00327EEA" w:rsidRDefault="00A77509" w:rsidP="00A77509">
      <w:pPr>
        <w:rPr>
          <w:rFonts w:ascii="Book Antiqua" w:hAnsi="Book Antiqua"/>
        </w:rPr>
      </w:pPr>
      <w:r w:rsidRPr="00F97703">
        <w:rPr>
          <w:rFonts w:ascii="Book Antiqua" w:hAnsi="Book Antiqua" w:cs="Arial"/>
        </w:rPr>
        <w:t>For the Appellant:</w:t>
      </w:r>
      <w:r w:rsidRPr="00F97703">
        <w:rPr>
          <w:rFonts w:ascii="Book Antiqua" w:hAnsi="Book Antiqua" w:cs="Arial"/>
        </w:rPr>
        <w:tab/>
      </w:r>
      <w:r w:rsidR="00456DB8">
        <w:rPr>
          <w:rFonts w:ascii="Book Antiqua" w:hAnsi="Book Antiqua"/>
        </w:rPr>
        <w:t xml:space="preserve">      </w:t>
      </w:r>
      <w:proofErr w:type="spellStart"/>
      <w:r w:rsidR="00456DB8">
        <w:rPr>
          <w:rFonts w:ascii="Book Antiqua" w:hAnsi="Book Antiqua" w:cs="Arial"/>
        </w:rPr>
        <w:t>Mr</w:t>
      </w:r>
      <w:proofErr w:type="spellEnd"/>
      <w:r w:rsidR="00456DB8">
        <w:rPr>
          <w:rFonts w:ascii="Book Antiqua" w:hAnsi="Book Antiqua" w:cs="Arial"/>
        </w:rPr>
        <w:t xml:space="preserve"> E. </w:t>
      </w:r>
      <w:proofErr w:type="spellStart"/>
      <w:r w:rsidR="00456DB8">
        <w:rPr>
          <w:rFonts w:ascii="Book Antiqua" w:hAnsi="Book Antiqua" w:cs="Arial"/>
        </w:rPr>
        <w:t>Tufan</w:t>
      </w:r>
      <w:proofErr w:type="spellEnd"/>
      <w:r w:rsidR="00456DB8">
        <w:rPr>
          <w:rFonts w:ascii="Book Antiqua" w:hAnsi="Book Antiqua" w:cs="Arial"/>
        </w:rPr>
        <w:t>, Senior Home Office Presenting Officer</w:t>
      </w:r>
    </w:p>
    <w:p w14:paraId="54B0AAEA" w14:textId="77777777" w:rsidR="00A77509" w:rsidRPr="00F97703" w:rsidRDefault="00A77509" w:rsidP="00A7750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456DB8">
        <w:rPr>
          <w:rFonts w:ascii="Book Antiqua" w:hAnsi="Book Antiqua" w:cs="Arial"/>
        </w:rPr>
        <w:t xml:space="preserve">Mr S. Harding, counsel instructed by Marsh &amp; </w:t>
      </w:r>
      <w:r w:rsidR="00456DB8">
        <w:rPr>
          <w:rFonts w:ascii="Book Antiqua" w:hAnsi="Book Antiqua" w:cs="Arial"/>
        </w:rPr>
        <w:tab/>
        <w:t xml:space="preserve"> </w:t>
      </w:r>
      <w:r w:rsidR="00456DB8">
        <w:rPr>
          <w:rFonts w:ascii="Book Antiqua" w:hAnsi="Book Antiqua" w:cs="Arial"/>
        </w:rPr>
        <w:tab/>
        <w:t>Partners, solicitors</w:t>
      </w:r>
    </w:p>
    <w:p w14:paraId="1899B34B" w14:textId="77777777" w:rsidR="00A77509" w:rsidRDefault="00A77509" w:rsidP="00A77509"/>
    <w:p w14:paraId="5B800761" w14:textId="77777777" w:rsidR="00A77509" w:rsidRDefault="00A77509" w:rsidP="00A77509">
      <w:r>
        <w:tab/>
      </w:r>
      <w:r>
        <w:tab/>
      </w:r>
      <w:r>
        <w:tab/>
      </w:r>
      <w:r>
        <w:tab/>
        <w:t>__________________________________</w:t>
      </w:r>
      <w:r w:rsidR="008E1788">
        <w:t>_</w:t>
      </w:r>
    </w:p>
    <w:p w14:paraId="59A80AD9" w14:textId="77777777" w:rsidR="00A77509" w:rsidRDefault="00A77509" w:rsidP="00A77509"/>
    <w:p w14:paraId="1EB51547" w14:textId="77777777" w:rsidR="00A77509" w:rsidRPr="00D30F3F" w:rsidRDefault="00A77509" w:rsidP="00A77509">
      <w:pPr>
        <w:rPr>
          <w:rFonts w:ascii="Book Antiqua" w:hAnsi="Book Antiqua"/>
          <w:b/>
        </w:rPr>
      </w:pPr>
      <w:r>
        <w:tab/>
      </w:r>
      <w:r>
        <w:tab/>
      </w:r>
      <w:r>
        <w:tab/>
      </w:r>
      <w:r>
        <w:tab/>
      </w:r>
      <w:r w:rsidRPr="00D30F3F">
        <w:rPr>
          <w:rFonts w:ascii="Book Antiqua" w:hAnsi="Book Antiqua"/>
          <w:b/>
        </w:rPr>
        <w:t>DECISION AND REASONS</w:t>
      </w:r>
    </w:p>
    <w:p w14:paraId="23FE1498" w14:textId="77777777" w:rsidR="00A77509" w:rsidRDefault="00A77509" w:rsidP="00A77509">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_________________________</w:t>
      </w:r>
      <w:r w:rsidR="008E1788">
        <w:rPr>
          <w:rFonts w:ascii="Book Antiqua" w:hAnsi="Book Antiqua"/>
        </w:rPr>
        <w:t>_</w:t>
      </w:r>
    </w:p>
    <w:p w14:paraId="6568CFDA" w14:textId="77777777" w:rsidR="00456DB8" w:rsidRDefault="00456DB8"/>
    <w:p w14:paraId="00FAC6B9" w14:textId="77777777" w:rsidR="00456DB8" w:rsidRDefault="00456DB8">
      <w:pPr>
        <w:rPr>
          <w:rFonts w:ascii="Book Antiqua" w:hAnsi="Book Antiqua"/>
        </w:rPr>
      </w:pPr>
      <w:r>
        <w:rPr>
          <w:rFonts w:ascii="Book Antiqua" w:hAnsi="Book Antiqua"/>
        </w:rPr>
        <w:t xml:space="preserve">1. The Respondent, to whom I shall refer as the Claimant, is a national of Albania, born on 26.10.78. He claims to have entered the United Kingdom illegally on 8 January 2008 and was encountered by Immigration Officers at Stansted airport on 22 January 2013. He claimed asylum on 21 November 2016. The basis of his claim is </w:t>
      </w:r>
      <w:r>
        <w:rPr>
          <w:rFonts w:ascii="Book Antiqua" w:hAnsi="Book Antiqua"/>
        </w:rPr>
        <w:lastRenderedPageBreak/>
        <w:t xml:space="preserve">that he feared persecution on return to Albania due to membership of a </w:t>
      </w:r>
      <w:proofErr w:type="gramStart"/>
      <w:r>
        <w:rPr>
          <w:rFonts w:ascii="Book Antiqua" w:hAnsi="Book Antiqua"/>
        </w:rPr>
        <w:t>particular social</w:t>
      </w:r>
      <w:proofErr w:type="gramEnd"/>
      <w:r>
        <w:rPr>
          <w:rFonts w:ascii="Book Antiqua" w:hAnsi="Book Antiqua"/>
        </w:rPr>
        <w:t xml:space="preserve"> group </w:t>
      </w:r>
      <w:r>
        <w:rPr>
          <w:rFonts w:ascii="Book Antiqua" w:hAnsi="Book Antiqua"/>
          <w:i/>
        </w:rPr>
        <w:t xml:space="preserve">viz </w:t>
      </w:r>
      <w:r>
        <w:rPr>
          <w:rFonts w:ascii="Book Antiqua" w:hAnsi="Book Antiqua"/>
        </w:rPr>
        <w:t>as a disabled person with hearing loss. This application was refused in a decision dated 7 June 2017.</w:t>
      </w:r>
    </w:p>
    <w:p w14:paraId="2FA66998" w14:textId="77777777" w:rsidR="00456DB8" w:rsidRDefault="00456DB8">
      <w:pPr>
        <w:rPr>
          <w:rFonts w:ascii="Book Antiqua" w:hAnsi="Book Antiqua"/>
        </w:rPr>
      </w:pPr>
    </w:p>
    <w:p w14:paraId="1E2DC384" w14:textId="77777777" w:rsidR="00456DB8" w:rsidRDefault="00456DB8">
      <w:pPr>
        <w:rPr>
          <w:rFonts w:ascii="Book Antiqua" w:hAnsi="Book Antiqua"/>
        </w:rPr>
      </w:pPr>
      <w:r>
        <w:rPr>
          <w:rFonts w:ascii="Book Antiqua" w:hAnsi="Book Antiqua"/>
        </w:rPr>
        <w:t xml:space="preserve">2. The Claimant appealed and his appeal came before First </w:t>
      </w:r>
      <w:proofErr w:type="gramStart"/>
      <w:r>
        <w:rPr>
          <w:rFonts w:ascii="Book Antiqua" w:hAnsi="Book Antiqua"/>
        </w:rPr>
        <w:t>tier</w:t>
      </w:r>
      <w:proofErr w:type="gramEnd"/>
      <w:r>
        <w:rPr>
          <w:rFonts w:ascii="Book Antiqua" w:hAnsi="Book Antiqua"/>
        </w:rPr>
        <w:t xml:space="preserve"> Tribunal Judge Coutts for hearing on 30 January 2018. In a decision and reasons promulgated on 1 March 2018, he allowed the appeal on human rights grounds in that, whilst he did not accept that </w:t>
      </w:r>
      <w:r w:rsidR="008E1788">
        <w:rPr>
          <w:rFonts w:ascii="Book Antiqua" w:hAnsi="Book Antiqua"/>
        </w:rPr>
        <w:t>t</w:t>
      </w:r>
      <w:r>
        <w:rPr>
          <w:rFonts w:ascii="Book Antiqua" w:hAnsi="Book Antiqua"/>
        </w:rPr>
        <w:t>he</w:t>
      </w:r>
      <w:r w:rsidR="008E1788">
        <w:rPr>
          <w:rFonts w:ascii="Book Antiqua" w:hAnsi="Book Antiqua"/>
        </w:rPr>
        <w:t xml:space="preserve"> Claimant</w:t>
      </w:r>
      <w:r>
        <w:rPr>
          <w:rFonts w:ascii="Book Antiqua" w:hAnsi="Book Antiqua"/>
        </w:rPr>
        <w:t xml:space="preserve"> would face persecution </w:t>
      </w:r>
      <w:proofErr w:type="gramStart"/>
      <w:r>
        <w:rPr>
          <w:rFonts w:ascii="Book Antiqua" w:hAnsi="Book Antiqua"/>
        </w:rPr>
        <w:t>on account of</w:t>
      </w:r>
      <w:proofErr w:type="gramEnd"/>
      <w:r>
        <w:rPr>
          <w:rFonts w:ascii="Book Antiqua" w:hAnsi="Book Antiqua"/>
        </w:rPr>
        <w:t xml:space="preserve"> his disability, he found that there would be very significant obstacles to his integration pursuant to paragraph 276ADE(vi) and that removal of the Claimant would constitute a disproportionate interference with his physical, moral and psychological integrity.</w:t>
      </w:r>
    </w:p>
    <w:p w14:paraId="5CB24F05" w14:textId="77777777" w:rsidR="00456DB8" w:rsidRDefault="00456DB8">
      <w:pPr>
        <w:rPr>
          <w:rFonts w:ascii="Book Antiqua" w:hAnsi="Book Antiqua"/>
        </w:rPr>
      </w:pPr>
    </w:p>
    <w:p w14:paraId="3F8E4D84" w14:textId="77777777" w:rsidR="007C1E68" w:rsidRDefault="00456DB8">
      <w:pPr>
        <w:rPr>
          <w:rFonts w:ascii="Book Antiqua" w:hAnsi="Book Antiqua"/>
        </w:rPr>
      </w:pPr>
      <w:r>
        <w:rPr>
          <w:rFonts w:ascii="Book Antiqua" w:hAnsi="Book Antiqua"/>
        </w:rPr>
        <w:t>3. The Respondent sought permission to appeal, in time, on the basis that the</w:t>
      </w:r>
      <w:r w:rsidR="00F13E14">
        <w:rPr>
          <w:rFonts w:ascii="Book Antiqua" w:hAnsi="Book Antiqua"/>
        </w:rPr>
        <w:t xml:space="preserve"> Judge had erred in law, given that he found that the Claimant had fabricated his account of historic persecution </w:t>
      </w:r>
      <w:proofErr w:type="gramStart"/>
      <w:r w:rsidR="00F13E14">
        <w:rPr>
          <w:rFonts w:ascii="Book Antiqua" w:hAnsi="Book Antiqua"/>
        </w:rPr>
        <w:t>on the basis of</w:t>
      </w:r>
      <w:proofErr w:type="gramEnd"/>
      <w:r w:rsidR="00F13E14">
        <w:rPr>
          <w:rFonts w:ascii="Book Antiqua" w:hAnsi="Book Antiqua"/>
        </w:rPr>
        <w:t xml:space="preserve"> his disability, thus it was unclear on what basis he would face obstacles so significant as to amount to a barrier to reintegration or render his return disproportionate. It was further submitted that the very fact that the Claimant had been taught Albanian sign language was indicative of the fact that there is a recognized means of communication available to him in Albania. It was for the Claimant to prove that he could not return to his home area and he failed to do this. There was no evidence before the Tribunal that the Claimant suffered from mental health issues </w:t>
      </w:r>
      <w:r w:rsidR="007C1E68">
        <w:rPr>
          <w:rFonts w:ascii="Book Antiqua" w:hAnsi="Book Antiqua"/>
        </w:rPr>
        <w:t>and it is unclear why the Tribunal concluded that removal would adversely affect his mental health.</w:t>
      </w:r>
    </w:p>
    <w:p w14:paraId="5140A941" w14:textId="77777777" w:rsidR="007C1E68" w:rsidRDefault="007C1E68">
      <w:pPr>
        <w:rPr>
          <w:rFonts w:ascii="Book Antiqua" w:hAnsi="Book Antiqua"/>
        </w:rPr>
      </w:pPr>
    </w:p>
    <w:p w14:paraId="38A9F675" w14:textId="77777777" w:rsidR="007C1E68" w:rsidRDefault="007C1E68">
      <w:pPr>
        <w:rPr>
          <w:rFonts w:ascii="Book Antiqua" w:hAnsi="Book Antiqua"/>
        </w:rPr>
      </w:pPr>
      <w:r>
        <w:rPr>
          <w:rFonts w:ascii="Book Antiqua" w:hAnsi="Book Antiqua"/>
        </w:rPr>
        <w:t xml:space="preserve">4. Permission to appeal was granted by Judge of the First </w:t>
      </w:r>
      <w:proofErr w:type="gramStart"/>
      <w:r>
        <w:rPr>
          <w:rFonts w:ascii="Book Antiqua" w:hAnsi="Book Antiqua"/>
        </w:rPr>
        <w:t>tier</w:t>
      </w:r>
      <w:proofErr w:type="gramEnd"/>
      <w:r>
        <w:rPr>
          <w:rFonts w:ascii="Book Antiqua" w:hAnsi="Book Antiqua"/>
        </w:rPr>
        <w:t xml:space="preserve"> Tribunal Alis on the basis that it was arguable that the Judge reached his findings without any supporting evidence.</w:t>
      </w:r>
    </w:p>
    <w:p w14:paraId="6B60CA28" w14:textId="77777777" w:rsidR="007C1E68" w:rsidRDefault="007C1E68">
      <w:pPr>
        <w:rPr>
          <w:rFonts w:ascii="Book Antiqua" w:hAnsi="Book Antiqua"/>
        </w:rPr>
      </w:pPr>
    </w:p>
    <w:p w14:paraId="7B3850B2" w14:textId="77777777" w:rsidR="007C1E68" w:rsidRDefault="007C1E68">
      <w:pPr>
        <w:rPr>
          <w:rFonts w:ascii="Book Antiqua" w:hAnsi="Book Antiqua"/>
        </w:rPr>
      </w:pPr>
      <w:r>
        <w:rPr>
          <w:rFonts w:ascii="Book Antiqua" w:hAnsi="Book Antiqua"/>
          <w:i/>
        </w:rPr>
        <w:t>Hearing</w:t>
      </w:r>
    </w:p>
    <w:p w14:paraId="3A7CB9B8" w14:textId="77777777" w:rsidR="007C1E68" w:rsidRDefault="007C1E68">
      <w:pPr>
        <w:rPr>
          <w:rFonts w:ascii="Book Antiqua" w:hAnsi="Book Antiqua"/>
        </w:rPr>
      </w:pPr>
    </w:p>
    <w:p w14:paraId="5DEDA7D3" w14:textId="0BA796B4" w:rsidR="007C1E68" w:rsidRDefault="007C1E68" w:rsidP="007C1E68">
      <w:pPr>
        <w:rPr>
          <w:rFonts w:ascii="Book Antiqua" w:hAnsi="Book Antiqua"/>
        </w:rPr>
      </w:pPr>
      <w:r>
        <w:rPr>
          <w:rFonts w:ascii="Book Antiqua" w:hAnsi="Book Antiqua"/>
        </w:rPr>
        <w:t xml:space="preserve">5. At the hearing before me, </w:t>
      </w:r>
      <w:proofErr w:type="spellStart"/>
      <w:r>
        <w:rPr>
          <w:rFonts w:ascii="Book Antiqua" w:hAnsi="Book Antiqua"/>
        </w:rPr>
        <w:t>Mr</w:t>
      </w:r>
      <w:proofErr w:type="spellEnd"/>
      <w:r>
        <w:rPr>
          <w:rFonts w:ascii="Book Antiqua" w:hAnsi="Book Antiqua"/>
        </w:rPr>
        <w:t xml:space="preserve"> </w:t>
      </w:r>
      <w:proofErr w:type="spellStart"/>
      <w:r>
        <w:rPr>
          <w:rFonts w:ascii="Book Antiqua" w:hAnsi="Book Antiqua"/>
        </w:rPr>
        <w:t>Tufan</w:t>
      </w:r>
      <w:proofErr w:type="spellEnd"/>
      <w:r>
        <w:rPr>
          <w:rFonts w:ascii="Book Antiqua" w:hAnsi="Book Antiqua"/>
        </w:rPr>
        <w:t xml:space="preserve"> submitted that the Judge had dismissed the asylum appeal as not being credible but had allowed it under paragraph 276ADE and article 8. Whilst the Claimant has hearing and speech problems he comes from Albania and lived in Albania for 30 years. The Judge concluded there would be very significant consequences if he had to return to Albania and would have problems finding accommodation. However, </w:t>
      </w:r>
      <w:r w:rsidR="0099311D">
        <w:rPr>
          <w:rFonts w:ascii="Book Antiqua" w:hAnsi="Book Antiqua"/>
        </w:rPr>
        <w:t xml:space="preserve">he submitted that </w:t>
      </w:r>
      <w:r>
        <w:rPr>
          <w:rFonts w:ascii="Book Antiqua" w:hAnsi="Book Antiqua"/>
        </w:rPr>
        <w:t xml:space="preserve">the test pursuant to paragraph 276ADE (vi) </w:t>
      </w:r>
      <w:r w:rsidR="00917602">
        <w:rPr>
          <w:rFonts w:ascii="Book Antiqua" w:hAnsi="Book Antiqua"/>
        </w:rPr>
        <w:t>i.e.</w:t>
      </w:r>
      <w:r>
        <w:rPr>
          <w:rFonts w:ascii="Book Antiqua" w:hAnsi="Book Antiqua"/>
        </w:rPr>
        <w:t xml:space="preserve"> significant obstacles to return</w:t>
      </w:r>
      <w:r w:rsidR="0099311D">
        <w:rPr>
          <w:rFonts w:ascii="Book Antiqua" w:hAnsi="Book Antiqua"/>
        </w:rPr>
        <w:t>,</w:t>
      </w:r>
      <w:r>
        <w:rPr>
          <w:rFonts w:ascii="Book Antiqua" w:hAnsi="Book Antiqua"/>
        </w:rPr>
        <w:t xml:space="preserve"> is tantamount to the article 3 medical cases and that </w:t>
      </w:r>
      <w:proofErr w:type="gramStart"/>
      <w:r>
        <w:rPr>
          <w:rFonts w:ascii="Book Antiqua" w:hAnsi="Book Antiqua"/>
        </w:rPr>
        <w:t>in order to</w:t>
      </w:r>
      <w:proofErr w:type="gramEnd"/>
      <w:r>
        <w:rPr>
          <w:rFonts w:ascii="Book Antiqua" w:hAnsi="Book Antiqua"/>
        </w:rPr>
        <w:t xml:space="preserve"> show that he would not be able to reintegrate </w:t>
      </w:r>
      <w:r w:rsidR="0099311D">
        <w:rPr>
          <w:rFonts w:ascii="Book Antiqua" w:hAnsi="Book Antiqua"/>
        </w:rPr>
        <w:t>in Albania</w:t>
      </w:r>
      <w:r>
        <w:rPr>
          <w:rFonts w:ascii="Book Antiqua" w:hAnsi="Book Antiqua"/>
        </w:rPr>
        <w:t xml:space="preserve"> the circumstances would have to be very exceptional </w:t>
      </w:r>
      <w:r>
        <w:rPr>
          <w:rFonts w:ascii="Book Antiqua" w:hAnsi="Book Antiqua"/>
          <w:i/>
        </w:rPr>
        <w:t>cf.</w:t>
      </w:r>
      <w:r w:rsidR="0099311D">
        <w:rPr>
          <w:rFonts w:ascii="Book Antiqua" w:hAnsi="Book Antiqua"/>
        </w:rPr>
        <w:t xml:space="preserve"> </w:t>
      </w:r>
      <w:r w:rsidR="0099311D" w:rsidRPr="001A421B">
        <w:rPr>
          <w:rFonts w:ascii="Book Antiqua" w:hAnsi="Book Antiqua"/>
          <w:u w:val="single"/>
        </w:rPr>
        <w:t>GS India</w:t>
      </w:r>
      <w:r w:rsidR="001A421B">
        <w:rPr>
          <w:rFonts w:ascii="Book Antiqua" w:hAnsi="Book Antiqua"/>
        </w:rPr>
        <w:t xml:space="preserve"> [2015] EWCA </w:t>
      </w:r>
      <w:proofErr w:type="spellStart"/>
      <w:r w:rsidR="001A421B">
        <w:rPr>
          <w:rFonts w:ascii="Book Antiqua" w:hAnsi="Book Antiqua"/>
        </w:rPr>
        <w:t>Civ</w:t>
      </w:r>
      <w:proofErr w:type="spellEnd"/>
      <w:r w:rsidR="001A421B">
        <w:rPr>
          <w:rFonts w:ascii="Book Antiqua" w:hAnsi="Book Antiqua"/>
        </w:rPr>
        <w:t xml:space="preserve"> 40.</w:t>
      </w:r>
      <w:r>
        <w:rPr>
          <w:rFonts w:ascii="Book Antiqua" w:hAnsi="Book Antiqua"/>
        </w:rPr>
        <w:t xml:space="preserve"> </w:t>
      </w:r>
    </w:p>
    <w:p w14:paraId="014C3DA5" w14:textId="77777777" w:rsidR="007C1E68" w:rsidRDefault="007C1E68" w:rsidP="007C1E68">
      <w:pPr>
        <w:rPr>
          <w:rFonts w:ascii="Book Antiqua" w:hAnsi="Book Antiqua"/>
        </w:rPr>
      </w:pPr>
    </w:p>
    <w:p w14:paraId="64E59D4F" w14:textId="7BB1DB6B" w:rsidR="007C1E68" w:rsidRDefault="007C1E68" w:rsidP="007C1E68">
      <w:pPr>
        <w:rPr>
          <w:rFonts w:ascii="Book Antiqua" w:hAnsi="Book Antiqua"/>
        </w:rPr>
      </w:pPr>
      <w:r>
        <w:rPr>
          <w:rFonts w:ascii="Book Antiqua" w:hAnsi="Book Antiqua"/>
        </w:rPr>
        <w:t xml:space="preserve">6. </w:t>
      </w:r>
      <w:proofErr w:type="spellStart"/>
      <w:r w:rsidR="0099311D">
        <w:rPr>
          <w:rFonts w:ascii="Book Antiqua" w:hAnsi="Book Antiqua"/>
        </w:rPr>
        <w:t>Mr</w:t>
      </w:r>
      <w:proofErr w:type="spellEnd"/>
      <w:r w:rsidR="0099311D">
        <w:rPr>
          <w:rFonts w:ascii="Book Antiqua" w:hAnsi="Book Antiqua"/>
        </w:rPr>
        <w:t xml:space="preserve"> </w:t>
      </w:r>
      <w:proofErr w:type="spellStart"/>
      <w:r w:rsidR="0099311D">
        <w:rPr>
          <w:rFonts w:ascii="Book Antiqua" w:hAnsi="Book Antiqua"/>
        </w:rPr>
        <w:t>Tufan</w:t>
      </w:r>
      <w:proofErr w:type="spellEnd"/>
      <w:r w:rsidR="0099311D">
        <w:rPr>
          <w:rFonts w:ascii="Book Antiqua" w:hAnsi="Book Antiqua"/>
        </w:rPr>
        <w:t xml:space="preserve"> submitted that there were further errors </w:t>
      </w:r>
      <w:r w:rsidR="00917602">
        <w:rPr>
          <w:rFonts w:ascii="Book Antiqua" w:hAnsi="Book Antiqua"/>
        </w:rPr>
        <w:t>i.e.</w:t>
      </w:r>
      <w:r w:rsidR="0099311D">
        <w:rPr>
          <w:rFonts w:ascii="Book Antiqua" w:hAnsi="Book Antiqua"/>
        </w:rPr>
        <w:t xml:space="preserve"> at</w:t>
      </w:r>
      <w:r w:rsidR="007B1DDA">
        <w:rPr>
          <w:rFonts w:ascii="Book Antiqua" w:hAnsi="Book Antiqua"/>
        </w:rPr>
        <w:t xml:space="preserve"> [102] where the Judge refers to “S” </w:t>
      </w:r>
      <w:r>
        <w:rPr>
          <w:rFonts w:ascii="Book Antiqua" w:hAnsi="Book Antiqua"/>
        </w:rPr>
        <w:t xml:space="preserve">(previously </w:t>
      </w:r>
      <w:proofErr w:type="spellStart"/>
      <w:r>
        <w:rPr>
          <w:rFonts w:ascii="Book Antiqua" w:hAnsi="Book Antiqua"/>
        </w:rPr>
        <w:t>Sanambar</w:t>
      </w:r>
      <w:proofErr w:type="spellEnd"/>
      <w:r>
        <w:rPr>
          <w:rFonts w:ascii="Book Antiqua" w:hAnsi="Book Antiqua"/>
        </w:rPr>
        <w:t xml:space="preserve"> – see [14] but this is not what is </w:t>
      </w:r>
      <w:proofErr w:type="gramStart"/>
      <w:r>
        <w:rPr>
          <w:rFonts w:ascii="Book Antiqua" w:hAnsi="Book Antiqua"/>
        </w:rPr>
        <w:t>actually found</w:t>
      </w:r>
      <w:proofErr w:type="gramEnd"/>
      <w:r>
        <w:rPr>
          <w:rFonts w:ascii="Book Antiqua" w:hAnsi="Book Antiqua"/>
        </w:rPr>
        <w:t xml:space="preserve"> by the C</w:t>
      </w:r>
      <w:r w:rsidR="007B1DDA">
        <w:rPr>
          <w:rFonts w:ascii="Book Antiqua" w:hAnsi="Book Antiqua"/>
        </w:rPr>
        <w:t xml:space="preserve">ourt of </w:t>
      </w:r>
      <w:r>
        <w:rPr>
          <w:rFonts w:ascii="Book Antiqua" w:hAnsi="Book Antiqua"/>
        </w:rPr>
        <w:t>A</w:t>
      </w:r>
      <w:r w:rsidR="007B1DDA">
        <w:rPr>
          <w:rFonts w:ascii="Book Antiqua" w:hAnsi="Book Antiqua"/>
        </w:rPr>
        <w:t>ppeal</w:t>
      </w:r>
      <w:r>
        <w:rPr>
          <w:rFonts w:ascii="Book Antiqua" w:hAnsi="Book Antiqua"/>
        </w:rPr>
        <w:t xml:space="preserve"> at [58] onwards and is not contained </w:t>
      </w:r>
      <w:r w:rsidR="007B1DDA">
        <w:rPr>
          <w:rFonts w:ascii="Book Antiqua" w:hAnsi="Book Antiqua"/>
        </w:rPr>
        <w:t>therein</w:t>
      </w:r>
      <w:r>
        <w:rPr>
          <w:rFonts w:ascii="Book Antiqua" w:hAnsi="Book Antiqua"/>
        </w:rPr>
        <w:t xml:space="preserve">. </w:t>
      </w:r>
      <w:r w:rsidR="007B1DDA">
        <w:rPr>
          <w:rFonts w:ascii="Book Antiqua" w:hAnsi="Book Antiqua"/>
        </w:rPr>
        <w:t xml:space="preserve">He submitted that, whilst this was not raised in the grounds of appeal it was a </w:t>
      </w:r>
      <w:r w:rsidRPr="007B1DDA">
        <w:rPr>
          <w:rFonts w:ascii="Book Antiqua" w:hAnsi="Book Antiqua"/>
          <w:i/>
        </w:rPr>
        <w:t>Robinson</w:t>
      </w:r>
      <w:r w:rsidR="007B1DDA">
        <w:rPr>
          <w:rFonts w:ascii="Book Antiqua" w:hAnsi="Book Antiqua"/>
        </w:rPr>
        <w:t xml:space="preserve"> obvious point in</w:t>
      </w:r>
      <w:r>
        <w:rPr>
          <w:rFonts w:ascii="Book Antiqua" w:hAnsi="Book Antiqua"/>
        </w:rPr>
        <w:t xml:space="preserve"> that</w:t>
      </w:r>
      <w:r w:rsidR="007B1DDA">
        <w:rPr>
          <w:rFonts w:ascii="Book Antiqua" w:hAnsi="Book Antiqua"/>
        </w:rPr>
        <w:t xml:space="preserve"> the</w:t>
      </w:r>
      <w:r>
        <w:rPr>
          <w:rFonts w:ascii="Book Antiqua" w:hAnsi="Book Antiqua"/>
        </w:rPr>
        <w:t xml:space="preserve"> Judge is relying on a case that is not properly cited or clear. </w:t>
      </w:r>
    </w:p>
    <w:p w14:paraId="57D0CCA5" w14:textId="77777777" w:rsidR="007C1E68" w:rsidRDefault="007C1E68" w:rsidP="007C1E68">
      <w:pPr>
        <w:rPr>
          <w:rFonts w:ascii="Book Antiqua" w:hAnsi="Book Antiqua"/>
        </w:rPr>
      </w:pPr>
    </w:p>
    <w:p w14:paraId="0047BF4B" w14:textId="77777777" w:rsidR="007C1E68" w:rsidRDefault="007B1DDA" w:rsidP="007C1E68">
      <w:pPr>
        <w:rPr>
          <w:rFonts w:ascii="Book Antiqua" w:hAnsi="Book Antiqua"/>
        </w:rPr>
      </w:pPr>
      <w:r>
        <w:rPr>
          <w:rFonts w:ascii="Book Antiqua" w:hAnsi="Book Antiqua"/>
        </w:rPr>
        <w:t xml:space="preserve">7. </w:t>
      </w:r>
      <w:r w:rsidR="007C1E68">
        <w:rPr>
          <w:rFonts w:ascii="Book Antiqua" w:hAnsi="Book Antiqua"/>
        </w:rPr>
        <w:t>Mr Harding</w:t>
      </w:r>
      <w:r>
        <w:rPr>
          <w:rFonts w:ascii="Book Antiqua" w:hAnsi="Book Antiqua"/>
        </w:rPr>
        <w:t xml:space="preserve"> accepted that the Judge’s manner of </w:t>
      </w:r>
      <w:r w:rsidR="007C1E68">
        <w:rPr>
          <w:rFonts w:ascii="Book Antiqua" w:hAnsi="Book Antiqua"/>
        </w:rPr>
        <w:t xml:space="preserve">dealing with </w:t>
      </w:r>
      <w:r>
        <w:rPr>
          <w:rFonts w:ascii="Book Antiqua" w:hAnsi="Book Antiqua"/>
        </w:rPr>
        <w:t xml:space="preserve">the </w:t>
      </w:r>
      <w:r w:rsidR="007C1E68">
        <w:rPr>
          <w:rFonts w:ascii="Book Antiqua" w:hAnsi="Book Antiqua"/>
        </w:rPr>
        <w:t xml:space="preserve">caselaw </w:t>
      </w:r>
      <w:r>
        <w:rPr>
          <w:rFonts w:ascii="Book Antiqua" w:hAnsi="Book Antiqua"/>
        </w:rPr>
        <w:t xml:space="preserve">was eccentric </w:t>
      </w:r>
      <w:r w:rsidR="007C1E68">
        <w:rPr>
          <w:rFonts w:ascii="Book Antiqua" w:hAnsi="Book Antiqua"/>
        </w:rPr>
        <w:t>but does broadly speaking set out the principles.</w:t>
      </w:r>
      <w:r>
        <w:rPr>
          <w:rFonts w:ascii="Book Antiqua" w:hAnsi="Book Antiqua"/>
        </w:rPr>
        <w:t xml:space="preserve"> He submitted that the grounds of appeal are unfair in that the</w:t>
      </w:r>
      <w:r w:rsidR="007C1E68">
        <w:rPr>
          <w:rFonts w:ascii="Book Antiqua" w:hAnsi="Book Antiqua"/>
        </w:rPr>
        <w:t xml:space="preserve"> fact </w:t>
      </w:r>
      <w:r>
        <w:rPr>
          <w:rFonts w:ascii="Book Antiqua" w:hAnsi="Book Antiqua"/>
        </w:rPr>
        <w:t xml:space="preserve">the </w:t>
      </w:r>
      <w:r w:rsidR="007C1E68">
        <w:rPr>
          <w:rFonts w:ascii="Book Antiqua" w:hAnsi="Book Antiqua"/>
        </w:rPr>
        <w:t>Judge did not find the account credible does</w:t>
      </w:r>
      <w:r>
        <w:rPr>
          <w:rFonts w:ascii="Book Antiqua" w:hAnsi="Book Antiqua"/>
        </w:rPr>
        <w:t xml:space="preserve"> not mean it is a fabrication. He submitted that the first bullet point of Ground 1 is wrong and</w:t>
      </w:r>
      <w:r w:rsidR="007C1E68">
        <w:rPr>
          <w:rFonts w:ascii="Book Antiqua" w:hAnsi="Book Antiqua"/>
        </w:rPr>
        <w:t xml:space="preserve"> suggesting he </w:t>
      </w:r>
      <w:proofErr w:type="gramStart"/>
      <w:r w:rsidR="007C1E68">
        <w:rPr>
          <w:rFonts w:ascii="Book Antiqua" w:hAnsi="Book Antiqua"/>
        </w:rPr>
        <w:t>was able to</w:t>
      </w:r>
      <w:proofErr w:type="gramEnd"/>
      <w:r w:rsidR="007C1E68">
        <w:rPr>
          <w:rFonts w:ascii="Book Antiqua" w:hAnsi="Book Antiqua"/>
        </w:rPr>
        <w:t xml:space="preserve"> communicate at the h</w:t>
      </w:r>
      <w:r>
        <w:rPr>
          <w:rFonts w:ascii="Book Antiqua" w:hAnsi="Book Antiqua"/>
        </w:rPr>
        <w:t>earing in English is misguided and</w:t>
      </w:r>
      <w:r w:rsidR="007C1E68">
        <w:rPr>
          <w:rFonts w:ascii="Book Antiqua" w:hAnsi="Book Antiqua"/>
        </w:rPr>
        <w:t xml:space="preserve"> even via that method it was problematic.</w:t>
      </w:r>
      <w:r>
        <w:rPr>
          <w:rFonts w:ascii="Book Antiqua" w:hAnsi="Book Antiqua"/>
        </w:rPr>
        <w:t xml:space="preserve"> </w:t>
      </w:r>
      <w:r w:rsidR="007C1E68">
        <w:rPr>
          <w:rFonts w:ascii="Book Antiqua" w:hAnsi="Book Antiqua"/>
        </w:rPr>
        <w:t xml:space="preserve">Whilst </w:t>
      </w:r>
      <w:r>
        <w:rPr>
          <w:rFonts w:ascii="Book Antiqua" w:hAnsi="Book Antiqua"/>
        </w:rPr>
        <w:t>t</w:t>
      </w:r>
      <w:r w:rsidR="007C1E68">
        <w:rPr>
          <w:rFonts w:ascii="Book Antiqua" w:hAnsi="Book Antiqua"/>
        </w:rPr>
        <w:t>he</w:t>
      </w:r>
      <w:r>
        <w:rPr>
          <w:rFonts w:ascii="Book Antiqua" w:hAnsi="Book Antiqua"/>
        </w:rPr>
        <w:t xml:space="preserve"> Claimant</w:t>
      </w:r>
      <w:r w:rsidR="007C1E68">
        <w:rPr>
          <w:rFonts w:ascii="Book Antiqua" w:hAnsi="Book Antiqua"/>
        </w:rPr>
        <w:t xml:space="preserve"> might </w:t>
      </w:r>
      <w:r>
        <w:rPr>
          <w:rFonts w:ascii="Book Antiqua" w:hAnsi="Book Antiqua"/>
        </w:rPr>
        <w:t xml:space="preserve">have access at some stage to an Albanian sign language interpreter </w:t>
      </w:r>
      <w:r w:rsidR="007C1E68">
        <w:rPr>
          <w:rFonts w:ascii="Book Antiqua" w:hAnsi="Book Antiqua"/>
        </w:rPr>
        <w:t>t</w:t>
      </w:r>
      <w:r>
        <w:rPr>
          <w:rFonts w:ascii="Book Antiqua" w:hAnsi="Book Antiqua"/>
        </w:rPr>
        <w:t>here is no evidence about this</w:t>
      </w:r>
      <w:r w:rsidR="007C1E68">
        <w:rPr>
          <w:rFonts w:ascii="Book Antiqua" w:hAnsi="Book Antiqua"/>
        </w:rPr>
        <w:t xml:space="preserve"> and </w:t>
      </w:r>
      <w:r>
        <w:rPr>
          <w:rFonts w:ascii="Book Antiqua" w:hAnsi="Book Antiqua"/>
        </w:rPr>
        <w:t xml:space="preserve">the </w:t>
      </w:r>
      <w:r w:rsidR="007C1E68">
        <w:rPr>
          <w:rFonts w:ascii="Book Antiqua" w:hAnsi="Book Antiqua"/>
        </w:rPr>
        <w:t>Judge had to make findings on that basis</w:t>
      </w:r>
      <w:r>
        <w:rPr>
          <w:rFonts w:ascii="Book Antiqua" w:hAnsi="Book Antiqua"/>
        </w:rPr>
        <w:t xml:space="preserve"> in the absence of evidence and the grounds of appeal misconstrue inadvertently what happened</w:t>
      </w:r>
      <w:r w:rsidR="007C1E68">
        <w:rPr>
          <w:rFonts w:ascii="Book Antiqua" w:hAnsi="Book Antiqua"/>
        </w:rPr>
        <w:t xml:space="preserve"> at the hearing. </w:t>
      </w:r>
      <w:r>
        <w:rPr>
          <w:rFonts w:ascii="Book Antiqua" w:hAnsi="Book Antiqua"/>
        </w:rPr>
        <w:t xml:space="preserve">The </w:t>
      </w:r>
      <w:r w:rsidR="007C1E68">
        <w:rPr>
          <w:rFonts w:ascii="Book Antiqua" w:hAnsi="Book Antiqua"/>
        </w:rPr>
        <w:t>Judge had to make a finding on that issue and did</w:t>
      </w:r>
      <w:r>
        <w:rPr>
          <w:rFonts w:ascii="Book Antiqua" w:hAnsi="Book Antiqua"/>
        </w:rPr>
        <w:t xml:space="preserve"> so</w:t>
      </w:r>
      <w:r w:rsidR="007C1E68">
        <w:rPr>
          <w:rFonts w:ascii="Book Antiqua" w:hAnsi="Book Antiqua"/>
        </w:rPr>
        <w:t>.</w:t>
      </w:r>
    </w:p>
    <w:p w14:paraId="5B82628E" w14:textId="77777777" w:rsidR="007C1E68" w:rsidRDefault="007C1E68" w:rsidP="007C1E68">
      <w:pPr>
        <w:rPr>
          <w:rFonts w:ascii="Book Antiqua" w:hAnsi="Book Antiqua"/>
        </w:rPr>
      </w:pPr>
    </w:p>
    <w:p w14:paraId="340BD846" w14:textId="77777777" w:rsidR="007C1E68" w:rsidRDefault="007B1DDA" w:rsidP="007C1E68">
      <w:pPr>
        <w:rPr>
          <w:rFonts w:ascii="Book Antiqua" w:hAnsi="Book Antiqua"/>
        </w:rPr>
      </w:pPr>
      <w:r>
        <w:rPr>
          <w:rFonts w:ascii="Book Antiqua" w:hAnsi="Book Antiqua"/>
        </w:rPr>
        <w:t>8. In respect of the finding at [111] Mr Harding submitted that it was a comprehensive judgment and there was</w:t>
      </w:r>
      <w:r w:rsidR="007C1E68">
        <w:rPr>
          <w:rFonts w:ascii="Book Antiqua" w:hAnsi="Book Antiqua"/>
        </w:rPr>
        <w:t xml:space="preserve"> nothing to suggest </w:t>
      </w:r>
      <w:r>
        <w:rPr>
          <w:rFonts w:ascii="Book Antiqua" w:hAnsi="Book Antiqua"/>
        </w:rPr>
        <w:t>the Claimant was in contact with his family and that a</w:t>
      </w:r>
      <w:r w:rsidR="007C1E68">
        <w:rPr>
          <w:rFonts w:ascii="Book Antiqua" w:hAnsi="Book Antiqua"/>
        </w:rPr>
        <w:t xml:space="preserve">ll </w:t>
      </w:r>
      <w:r>
        <w:rPr>
          <w:rFonts w:ascii="Book Antiqua" w:hAnsi="Book Antiqua"/>
        </w:rPr>
        <w:t xml:space="preserve">the </w:t>
      </w:r>
      <w:r w:rsidR="007C1E68">
        <w:rPr>
          <w:rFonts w:ascii="Book Antiqua" w:hAnsi="Book Antiqua"/>
        </w:rPr>
        <w:t xml:space="preserve">points </w:t>
      </w:r>
      <w:r>
        <w:rPr>
          <w:rFonts w:ascii="Book Antiqua" w:hAnsi="Book Antiqua"/>
        </w:rPr>
        <w:t xml:space="preserve">were </w:t>
      </w:r>
      <w:r w:rsidR="007C1E68">
        <w:rPr>
          <w:rFonts w:ascii="Book Antiqua" w:hAnsi="Book Antiqua"/>
        </w:rPr>
        <w:t xml:space="preserve">fully articulated at the hearing. </w:t>
      </w:r>
      <w:r>
        <w:rPr>
          <w:rFonts w:ascii="Book Antiqua" w:hAnsi="Book Antiqua"/>
        </w:rPr>
        <w:t xml:space="preserve">The </w:t>
      </w:r>
      <w:r w:rsidR="007C1E68">
        <w:rPr>
          <w:rFonts w:ascii="Book Antiqua" w:hAnsi="Book Antiqua"/>
        </w:rPr>
        <w:t>Judge allowed the case under Art</w:t>
      </w:r>
      <w:r>
        <w:rPr>
          <w:rFonts w:ascii="Book Antiqua" w:hAnsi="Book Antiqua"/>
        </w:rPr>
        <w:t xml:space="preserve">icle 8 and the finding in respect of paragraph </w:t>
      </w:r>
      <w:r w:rsidR="007C1E68">
        <w:rPr>
          <w:rFonts w:ascii="Book Antiqua" w:hAnsi="Book Antiqua"/>
        </w:rPr>
        <w:t xml:space="preserve">276ADE was </w:t>
      </w:r>
      <w:r>
        <w:rPr>
          <w:rFonts w:ascii="Book Antiqua" w:hAnsi="Book Antiqua"/>
        </w:rPr>
        <w:t>the primary finding. He submitted that it was incumbent on</w:t>
      </w:r>
      <w:r w:rsidR="007C1E68">
        <w:rPr>
          <w:rFonts w:ascii="Book Antiqua" w:hAnsi="Book Antiqua"/>
        </w:rPr>
        <w:t xml:space="preserve"> the Judge </w:t>
      </w:r>
      <w:r>
        <w:rPr>
          <w:rFonts w:ascii="Book Antiqua" w:hAnsi="Book Antiqua"/>
        </w:rPr>
        <w:t xml:space="preserve">to make </w:t>
      </w:r>
      <w:r w:rsidR="007C1E68">
        <w:rPr>
          <w:rFonts w:ascii="Book Antiqua" w:hAnsi="Book Antiqua"/>
        </w:rPr>
        <w:t>findings of fact and has done so</w:t>
      </w:r>
    </w:p>
    <w:p w14:paraId="4574D2DE" w14:textId="77777777" w:rsidR="007C1E68" w:rsidRDefault="007C1E68" w:rsidP="007C1E68">
      <w:pPr>
        <w:rPr>
          <w:rFonts w:ascii="Book Antiqua" w:hAnsi="Book Antiqua"/>
        </w:rPr>
      </w:pPr>
    </w:p>
    <w:p w14:paraId="2DCA5588" w14:textId="77777777" w:rsidR="007C1E68" w:rsidRDefault="007B1DDA" w:rsidP="007C1E68">
      <w:pPr>
        <w:rPr>
          <w:rFonts w:ascii="Book Antiqua" w:hAnsi="Book Antiqua"/>
        </w:rPr>
      </w:pPr>
      <w:r>
        <w:rPr>
          <w:rFonts w:ascii="Book Antiqua" w:hAnsi="Book Antiqua"/>
        </w:rPr>
        <w:t>9. In respect of the l</w:t>
      </w:r>
      <w:r w:rsidR="007C1E68">
        <w:rPr>
          <w:rFonts w:ascii="Book Antiqua" w:hAnsi="Book Antiqua"/>
        </w:rPr>
        <w:t>ast bul</w:t>
      </w:r>
      <w:r>
        <w:rPr>
          <w:rFonts w:ascii="Book Antiqua" w:hAnsi="Book Antiqua"/>
        </w:rPr>
        <w:t>let point regarding the Claimant’s mental health, Mr Harding submitted that this was</w:t>
      </w:r>
      <w:r w:rsidR="007C1E68">
        <w:rPr>
          <w:rFonts w:ascii="Book Antiqua" w:hAnsi="Book Antiqua"/>
        </w:rPr>
        <w:t xml:space="preserve"> not what </w:t>
      </w:r>
      <w:r>
        <w:rPr>
          <w:rFonts w:ascii="Book Antiqua" w:hAnsi="Book Antiqua"/>
        </w:rPr>
        <w:t>the judgment is saying at [109] where the Judge found that: “</w:t>
      </w:r>
      <w:r>
        <w:rPr>
          <w:rFonts w:ascii="Book Antiqua" w:hAnsi="Book Antiqua"/>
          <w:i/>
        </w:rPr>
        <w:t xml:space="preserve">the appellant’s disability will therefore present a very significant obstacle to his ability to engage and communicate with others successfully </w:t>
      </w:r>
      <w:proofErr w:type="gramStart"/>
      <w:r>
        <w:rPr>
          <w:rFonts w:ascii="Book Antiqua" w:hAnsi="Book Antiqua"/>
          <w:i/>
        </w:rPr>
        <w:t>in order to</w:t>
      </w:r>
      <w:proofErr w:type="gramEnd"/>
      <w:r>
        <w:rPr>
          <w:rFonts w:ascii="Book Antiqua" w:hAnsi="Book Antiqua"/>
          <w:i/>
        </w:rPr>
        <w:t xml:space="preserve"> achieve these aims.”</w:t>
      </w:r>
      <w:r w:rsidR="007C1E68">
        <w:rPr>
          <w:rFonts w:ascii="Book Antiqua" w:hAnsi="Book Antiqua"/>
        </w:rPr>
        <w:t xml:space="preserve"> </w:t>
      </w:r>
    </w:p>
    <w:p w14:paraId="464015CD" w14:textId="77777777" w:rsidR="007C1E68" w:rsidRDefault="007C1E68" w:rsidP="007C1E68">
      <w:pPr>
        <w:rPr>
          <w:rFonts w:ascii="Book Antiqua" w:hAnsi="Book Antiqua"/>
        </w:rPr>
      </w:pPr>
    </w:p>
    <w:p w14:paraId="239139AF" w14:textId="77777777" w:rsidR="007C1E68" w:rsidRDefault="007B1DDA" w:rsidP="007C1E68">
      <w:pPr>
        <w:rPr>
          <w:rFonts w:ascii="Book Antiqua" w:hAnsi="Book Antiqua"/>
        </w:rPr>
      </w:pPr>
      <w:r>
        <w:rPr>
          <w:rFonts w:ascii="Book Antiqua" w:hAnsi="Book Antiqua"/>
        </w:rPr>
        <w:t>10. Mr Harding submitted that it is r</w:t>
      </w:r>
      <w:r w:rsidR="007C1E68">
        <w:rPr>
          <w:rFonts w:ascii="Book Antiqua" w:hAnsi="Book Antiqua"/>
        </w:rPr>
        <w:t xml:space="preserve">eally </w:t>
      </w:r>
      <w:r>
        <w:rPr>
          <w:rFonts w:ascii="Book Antiqua" w:hAnsi="Book Antiqua"/>
        </w:rPr>
        <w:t>a perversity challenge albeit it was</w:t>
      </w:r>
      <w:r w:rsidR="007C1E68">
        <w:rPr>
          <w:rFonts w:ascii="Book Antiqua" w:hAnsi="Book Antiqua"/>
        </w:rPr>
        <w:t xml:space="preserve"> not put on that basis. </w:t>
      </w:r>
      <w:r>
        <w:rPr>
          <w:rFonts w:ascii="Book Antiqua" w:hAnsi="Book Antiqua"/>
        </w:rPr>
        <w:t>He submitted that the Judge made proper findings in what was a loss of private life case and that nothing the Secretary of State</w:t>
      </w:r>
      <w:r w:rsidR="007C1E68">
        <w:rPr>
          <w:rFonts w:ascii="Book Antiqua" w:hAnsi="Book Antiqua"/>
        </w:rPr>
        <w:t xml:space="preserve"> has said amounts to more than mere disagreement</w:t>
      </w:r>
      <w:r>
        <w:rPr>
          <w:rFonts w:ascii="Book Antiqua" w:hAnsi="Book Antiqua"/>
        </w:rPr>
        <w:t xml:space="preserve"> with those findings</w:t>
      </w:r>
      <w:r w:rsidR="007C1E68">
        <w:rPr>
          <w:rFonts w:ascii="Book Antiqua" w:hAnsi="Book Antiqua"/>
        </w:rPr>
        <w:t xml:space="preserve">. It is a high test but </w:t>
      </w:r>
      <w:r w:rsidR="003E2537">
        <w:rPr>
          <w:rFonts w:ascii="Book Antiqua" w:hAnsi="Book Antiqua"/>
        </w:rPr>
        <w:t xml:space="preserve">there is </w:t>
      </w:r>
      <w:r w:rsidR="007C1E68">
        <w:rPr>
          <w:rFonts w:ascii="Book Antiqua" w:hAnsi="Book Antiqua"/>
        </w:rPr>
        <w:t>nothing to say the Judge did not appreciate th</w:t>
      </w:r>
      <w:r w:rsidR="003E2537">
        <w:rPr>
          <w:rFonts w:ascii="Book Antiqua" w:hAnsi="Book Antiqua"/>
        </w:rPr>
        <w:t>at and he made a s</w:t>
      </w:r>
      <w:r w:rsidR="007C1E68">
        <w:rPr>
          <w:rFonts w:ascii="Book Antiqua" w:hAnsi="Book Antiqua"/>
        </w:rPr>
        <w:t xml:space="preserve">ustainable decision under </w:t>
      </w:r>
      <w:r w:rsidR="003E2537">
        <w:rPr>
          <w:rFonts w:ascii="Book Antiqua" w:hAnsi="Book Antiqua"/>
        </w:rPr>
        <w:t xml:space="preserve">paragraph </w:t>
      </w:r>
      <w:r w:rsidR="007C1E68">
        <w:rPr>
          <w:rFonts w:ascii="Book Antiqua" w:hAnsi="Book Antiqua"/>
        </w:rPr>
        <w:t>276ADE</w:t>
      </w:r>
      <w:r w:rsidR="003E2537">
        <w:rPr>
          <w:rFonts w:ascii="Book Antiqua" w:hAnsi="Book Antiqua"/>
        </w:rPr>
        <w:t>(vi)</w:t>
      </w:r>
      <w:r w:rsidR="007C1E68">
        <w:rPr>
          <w:rFonts w:ascii="Book Antiqua" w:hAnsi="Book Antiqua"/>
        </w:rPr>
        <w:t xml:space="preserve"> and art</w:t>
      </w:r>
      <w:r w:rsidR="003E2537">
        <w:rPr>
          <w:rFonts w:ascii="Book Antiqua" w:hAnsi="Book Antiqua"/>
        </w:rPr>
        <w:t>icle</w:t>
      </w:r>
      <w:r w:rsidR="007C1E68">
        <w:rPr>
          <w:rFonts w:ascii="Book Antiqua" w:hAnsi="Book Antiqua"/>
        </w:rPr>
        <w:t xml:space="preserve"> 8. </w:t>
      </w:r>
      <w:r w:rsidR="003E2537">
        <w:rPr>
          <w:rFonts w:ascii="Book Antiqua" w:hAnsi="Book Antiqua"/>
        </w:rPr>
        <w:t>Mr Harding acknowledged that the case was u</w:t>
      </w:r>
      <w:r w:rsidR="007C1E68">
        <w:rPr>
          <w:rFonts w:ascii="Book Antiqua" w:hAnsi="Book Antiqua"/>
        </w:rPr>
        <w:t xml:space="preserve">nusual but </w:t>
      </w:r>
      <w:r w:rsidR="003E2537">
        <w:rPr>
          <w:rFonts w:ascii="Book Antiqua" w:hAnsi="Book Antiqua"/>
        </w:rPr>
        <w:t xml:space="preserve">that the </w:t>
      </w:r>
      <w:r w:rsidR="007C1E68">
        <w:rPr>
          <w:rFonts w:ascii="Book Antiqua" w:hAnsi="Book Antiqua"/>
        </w:rPr>
        <w:t>Judge did all he could do.</w:t>
      </w:r>
    </w:p>
    <w:p w14:paraId="155EAABF" w14:textId="77777777" w:rsidR="007C1E68" w:rsidRDefault="007C1E68" w:rsidP="007C1E68">
      <w:pPr>
        <w:rPr>
          <w:rFonts w:ascii="Book Antiqua" w:hAnsi="Book Antiqua"/>
        </w:rPr>
      </w:pPr>
    </w:p>
    <w:p w14:paraId="6BC90F64" w14:textId="77777777" w:rsidR="00BE2A35" w:rsidRDefault="007B1DDA">
      <w:pPr>
        <w:rPr>
          <w:rFonts w:ascii="Book Antiqua" w:hAnsi="Book Antiqua"/>
        </w:rPr>
      </w:pPr>
      <w:r>
        <w:rPr>
          <w:rFonts w:ascii="Book Antiqua" w:hAnsi="Book Antiqua"/>
        </w:rPr>
        <w:t xml:space="preserve">11. </w:t>
      </w:r>
      <w:r w:rsidR="003E2537">
        <w:rPr>
          <w:rFonts w:ascii="Book Antiqua" w:hAnsi="Book Antiqua"/>
        </w:rPr>
        <w:t xml:space="preserve">In reply, </w:t>
      </w:r>
      <w:proofErr w:type="spellStart"/>
      <w:r w:rsidR="007C1E68">
        <w:rPr>
          <w:rFonts w:ascii="Book Antiqua" w:hAnsi="Book Antiqua"/>
        </w:rPr>
        <w:t>Mr</w:t>
      </w:r>
      <w:proofErr w:type="spellEnd"/>
      <w:r w:rsidR="007C1E68">
        <w:rPr>
          <w:rFonts w:ascii="Book Antiqua" w:hAnsi="Book Antiqua"/>
        </w:rPr>
        <w:t xml:space="preserve"> </w:t>
      </w:r>
      <w:proofErr w:type="spellStart"/>
      <w:r w:rsidR="007C1E68">
        <w:rPr>
          <w:rFonts w:ascii="Book Antiqua" w:hAnsi="Book Antiqua"/>
        </w:rPr>
        <w:t>Tufan</w:t>
      </w:r>
      <w:proofErr w:type="spellEnd"/>
      <w:r w:rsidR="003E2537">
        <w:rPr>
          <w:rFonts w:ascii="Book Antiqua" w:hAnsi="Book Antiqua"/>
        </w:rPr>
        <w:t xml:space="preserve"> referred to [105] where the Judge refers to Claimant as severely disabled but he is</w:t>
      </w:r>
      <w:r w:rsidR="007C1E68">
        <w:rPr>
          <w:rFonts w:ascii="Book Antiqua" w:hAnsi="Book Antiqua"/>
        </w:rPr>
        <w:t xml:space="preserve"> not sure where that comes from. </w:t>
      </w:r>
      <w:r w:rsidR="003E2537">
        <w:rPr>
          <w:rFonts w:ascii="Book Antiqua" w:hAnsi="Book Antiqua"/>
        </w:rPr>
        <w:t>He submitted that the w</w:t>
      </w:r>
      <w:r w:rsidR="007C1E68">
        <w:rPr>
          <w:rFonts w:ascii="Book Antiqua" w:hAnsi="Book Antiqua"/>
        </w:rPr>
        <w:t xml:space="preserve">hole basis </w:t>
      </w:r>
      <w:r w:rsidR="003E2537">
        <w:rPr>
          <w:rFonts w:ascii="Book Antiqua" w:hAnsi="Book Antiqua"/>
        </w:rPr>
        <w:t xml:space="preserve">upon which </w:t>
      </w:r>
      <w:r w:rsidR="007C1E68">
        <w:rPr>
          <w:rFonts w:ascii="Book Antiqua" w:hAnsi="Book Antiqua"/>
        </w:rPr>
        <w:t>the appeal has been allowed is due to his hearing and speech diffic</w:t>
      </w:r>
      <w:r w:rsidR="003E2537">
        <w:rPr>
          <w:rFonts w:ascii="Book Antiqua" w:hAnsi="Book Antiqua"/>
        </w:rPr>
        <w:t>ulties but he</w:t>
      </w:r>
      <w:r w:rsidR="007C1E68">
        <w:rPr>
          <w:rFonts w:ascii="Book Antiqua" w:hAnsi="Book Antiqua"/>
        </w:rPr>
        <w:t xml:space="preserve"> will be returning to his home country. </w:t>
      </w:r>
      <w:proofErr w:type="spellStart"/>
      <w:r w:rsidR="003E2537">
        <w:rPr>
          <w:rFonts w:ascii="Book Antiqua" w:hAnsi="Book Antiqua"/>
        </w:rPr>
        <w:t>Mr</w:t>
      </w:r>
      <w:proofErr w:type="spellEnd"/>
      <w:r w:rsidR="003E2537">
        <w:rPr>
          <w:rFonts w:ascii="Book Antiqua" w:hAnsi="Book Antiqua"/>
        </w:rPr>
        <w:t xml:space="preserve"> </w:t>
      </w:r>
      <w:proofErr w:type="spellStart"/>
      <w:r w:rsidR="003E2537">
        <w:rPr>
          <w:rFonts w:ascii="Book Antiqua" w:hAnsi="Book Antiqua"/>
        </w:rPr>
        <w:t>Tufan</w:t>
      </w:r>
      <w:proofErr w:type="spellEnd"/>
      <w:r w:rsidR="003E2537">
        <w:rPr>
          <w:rFonts w:ascii="Book Antiqua" w:hAnsi="Book Antiqua"/>
        </w:rPr>
        <w:t xml:space="preserve"> denied that it was </w:t>
      </w:r>
      <w:r w:rsidR="007C1E68">
        <w:rPr>
          <w:rFonts w:ascii="Book Antiqua" w:hAnsi="Book Antiqua"/>
        </w:rPr>
        <w:t xml:space="preserve">a perversity challenge. </w:t>
      </w:r>
      <w:r w:rsidR="003E2537">
        <w:rPr>
          <w:rFonts w:ascii="Book Antiqua" w:hAnsi="Book Antiqua"/>
        </w:rPr>
        <w:t xml:space="preserve">In respect of the caselaw, this was distinguishable in that the applicants in those cases had lived in the United Kingdom since childhood. </w:t>
      </w:r>
    </w:p>
    <w:p w14:paraId="1B605D66" w14:textId="77777777" w:rsidR="00D93E03" w:rsidRDefault="003E2537">
      <w:pPr>
        <w:rPr>
          <w:rFonts w:ascii="Book Antiqua" w:hAnsi="Book Antiqua"/>
        </w:rPr>
      </w:pPr>
      <w:r>
        <w:rPr>
          <w:rFonts w:ascii="Book Antiqua" w:hAnsi="Book Antiqua"/>
          <w:i/>
        </w:rPr>
        <w:t xml:space="preserve">Findings </w:t>
      </w:r>
    </w:p>
    <w:p w14:paraId="5AEBE573" w14:textId="77777777" w:rsidR="00D93E03" w:rsidRDefault="00D93E03">
      <w:pPr>
        <w:rPr>
          <w:rFonts w:ascii="Book Antiqua" w:hAnsi="Book Antiqua"/>
        </w:rPr>
      </w:pPr>
    </w:p>
    <w:p w14:paraId="26CE4CFD" w14:textId="77777777" w:rsidR="00D93E03" w:rsidRDefault="00D93E03">
      <w:pPr>
        <w:rPr>
          <w:rFonts w:ascii="Book Antiqua" w:hAnsi="Book Antiqua"/>
        </w:rPr>
      </w:pPr>
      <w:r>
        <w:rPr>
          <w:rFonts w:ascii="Book Antiqua" w:hAnsi="Book Antiqua"/>
        </w:rPr>
        <w:t>12. I note that, in respect of the</w:t>
      </w:r>
      <w:r w:rsidR="00653C9F">
        <w:rPr>
          <w:rFonts w:ascii="Book Antiqua" w:hAnsi="Book Antiqua"/>
        </w:rPr>
        <w:t xml:space="preserve"> C</w:t>
      </w:r>
      <w:r>
        <w:rPr>
          <w:rFonts w:ascii="Book Antiqua" w:hAnsi="Book Antiqua"/>
        </w:rPr>
        <w:t>l</w:t>
      </w:r>
      <w:r w:rsidR="00653C9F">
        <w:rPr>
          <w:rFonts w:ascii="Book Antiqua" w:hAnsi="Book Antiqua"/>
        </w:rPr>
        <w:t>aim</w:t>
      </w:r>
      <w:r>
        <w:rPr>
          <w:rFonts w:ascii="Book Antiqua" w:hAnsi="Book Antiqua"/>
        </w:rPr>
        <w:t xml:space="preserve">ant’s account </w:t>
      </w:r>
      <w:r w:rsidR="00653C9F">
        <w:rPr>
          <w:rFonts w:ascii="Book Antiqua" w:hAnsi="Book Antiqua"/>
        </w:rPr>
        <w:t xml:space="preserve">of past ill-treatment by his family and others </w:t>
      </w:r>
      <w:r>
        <w:rPr>
          <w:rFonts w:ascii="Book Antiqua" w:hAnsi="Book Antiqua"/>
        </w:rPr>
        <w:t xml:space="preserve">that the Judge did not find it plausible and that he provided sustainable reasons for his findings. This was following </w:t>
      </w:r>
      <w:r w:rsidR="00653C9F">
        <w:rPr>
          <w:rFonts w:ascii="Book Antiqua" w:hAnsi="Book Antiqua"/>
        </w:rPr>
        <w:t xml:space="preserve">a careful note of the difficulties in obtaining evidence from the Claimant, due to the lack of availability </w:t>
      </w:r>
      <w:r w:rsidR="00653C9F">
        <w:rPr>
          <w:rFonts w:ascii="Book Antiqua" w:hAnsi="Book Antiqua"/>
        </w:rPr>
        <w:lastRenderedPageBreak/>
        <w:t xml:space="preserve">of an Albanian sign language interpreter and thus the appeal proceeded </w:t>
      </w:r>
      <w:proofErr w:type="gramStart"/>
      <w:r w:rsidR="00653C9F">
        <w:rPr>
          <w:rFonts w:ascii="Book Antiqua" w:hAnsi="Book Antiqua"/>
        </w:rPr>
        <w:t>on the basis of</w:t>
      </w:r>
      <w:proofErr w:type="gramEnd"/>
      <w:r w:rsidR="00653C9F">
        <w:rPr>
          <w:rFonts w:ascii="Book Antiqua" w:hAnsi="Book Antiqua"/>
        </w:rPr>
        <w:t xml:space="preserve"> typing the questions and answers on an Albanian language keyboard.</w:t>
      </w:r>
    </w:p>
    <w:p w14:paraId="536C4214" w14:textId="77777777" w:rsidR="00D93E03" w:rsidRDefault="00D93E03">
      <w:pPr>
        <w:rPr>
          <w:rFonts w:ascii="Book Antiqua" w:hAnsi="Book Antiqua"/>
        </w:rPr>
      </w:pPr>
    </w:p>
    <w:p w14:paraId="7B2FCDA2" w14:textId="77777777" w:rsidR="00653C9F" w:rsidRDefault="00D93E03">
      <w:pPr>
        <w:rPr>
          <w:rFonts w:ascii="Book Antiqua" w:hAnsi="Book Antiqua"/>
        </w:rPr>
      </w:pPr>
      <w:r>
        <w:rPr>
          <w:rFonts w:ascii="Book Antiqua" w:hAnsi="Book Antiqua"/>
        </w:rPr>
        <w:t>13.</w:t>
      </w:r>
      <w:r w:rsidR="00653C9F">
        <w:rPr>
          <w:rFonts w:ascii="Book Antiqua" w:hAnsi="Book Antiqua"/>
        </w:rPr>
        <w:t xml:space="preserve"> In respect of the Claimant’s private life, the Judge made the following findings:</w:t>
      </w:r>
    </w:p>
    <w:p w14:paraId="734D0A20" w14:textId="74873FFD" w:rsidR="00653C9F" w:rsidRPr="00917602" w:rsidRDefault="00653C9F" w:rsidP="00917602">
      <w:pPr>
        <w:tabs>
          <w:tab w:val="left" w:pos="1134"/>
        </w:tabs>
        <w:spacing w:before="120" w:after="120"/>
        <w:ind w:left="567" w:right="567"/>
        <w:jc w:val="both"/>
        <w:rPr>
          <w:rFonts w:ascii="Book Antiqua" w:hAnsi="Book Antiqua"/>
          <w:i/>
          <w:sz w:val="22"/>
        </w:rPr>
      </w:pPr>
      <w:r w:rsidRPr="00917602">
        <w:rPr>
          <w:rFonts w:ascii="Book Antiqua" w:hAnsi="Book Antiqua"/>
          <w:i/>
          <w:sz w:val="22"/>
        </w:rPr>
        <w:t>“103.</w:t>
      </w:r>
      <w:r w:rsidR="00917602">
        <w:rPr>
          <w:rFonts w:ascii="Book Antiqua" w:hAnsi="Book Antiqua"/>
          <w:i/>
          <w:sz w:val="22"/>
        </w:rPr>
        <w:tab/>
      </w:r>
      <w:r w:rsidRPr="00917602">
        <w:rPr>
          <w:rFonts w:ascii="Book Antiqua" w:hAnsi="Book Antiqua"/>
          <w:i/>
          <w:sz w:val="22"/>
        </w:rPr>
        <w:t xml:space="preserve">I saw for myself, at the hearing, the extent of the appellant’s disability which is a total bilateral hearing loss together with speech impairment. There were very significant difficulties experienced in communicating with him notwithstanding the adjustments that were made to assist him. This also included issues of literacy. I have already stated above, the </w:t>
      </w:r>
      <w:proofErr w:type="gramStart"/>
      <w:r w:rsidRPr="00917602">
        <w:rPr>
          <w:rFonts w:ascii="Book Antiqua" w:hAnsi="Book Antiqua"/>
          <w:i/>
          <w:sz w:val="22"/>
        </w:rPr>
        <w:t>particular difficulties</w:t>
      </w:r>
      <w:proofErr w:type="gramEnd"/>
      <w:r w:rsidRPr="00917602">
        <w:rPr>
          <w:rFonts w:ascii="Book Antiqua" w:hAnsi="Book Antiqua"/>
          <w:i/>
          <w:sz w:val="22"/>
        </w:rPr>
        <w:t xml:space="preserve"> that we faced and I am satisfied that these were not exaggerated by him in any way</w:t>
      </w:r>
      <w:r w:rsidR="00917602">
        <w:rPr>
          <w:rFonts w:ascii="Book Antiqua" w:hAnsi="Book Antiqua"/>
          <w:i/>
          <w:sz w:val="22"/>
        </w:rPr>
        <w:t xml:space="preserve"> </w:t>
      </w:r>
      <w:r w:rsidRPr="00917602">
        <w:rPr>
          <w:rFonts w:ascii="Book Antiqua" w:hAnsi="Book Antiqua"/>
          <w:i/>
          <w:sz w:val="22"/>
        </w:rPr>
        <w:t>…</w:t>
      </w:r>
    </w:p>
    <w:p w14:paraId="739B64A3" w14:textId="086FF9EC" w:rsidR="00653C9F" w:rsidRPr="00917602" w:rsidRDefault="00653C9F" w:rsidP="00917602">
      <w:pPr>
        <w:tabs>
          <w:tab w:val="left" w:pos="1134"/>
        </w:tabs>
        <w:spacing w:before="120" w:after="120"/>
        <w:ind w:left="567" w:right="567"/>
        <w:jc w:val="both"/>
        <w:rPr>
          <w:rFonts w:ascii="Book Antiqua" w:hAnsi="Book Antiqua"/>
          <w:i/>
          <w:sz w:val="22"/>
        </w:rPr>
      </w:pPr>
      <w:r w:rsidRPr="00917602">
        <w:rPr>
          <w:rFonts w:ascii="Book Antiqua" w:hAnsi="Book Antiqua"/>
          <w:i/>
          <w:sz w:val="22"/>
        </w:rPr>
        <w:t>105.</w:t>
      </w:r>
      <w:r w:rsidR="00917602">
        <w:rPr>
          <w:rFonts w:ascii="Book Antiqua" w:hAnsi="Book Antiqua"/>
          <w:i/>
          <w:sz w:val="22"/>
        </w:rPr>
        <w:tab/>
      </w:r>
      <w:r w:rsidRPr="00917602">
        <w:rPr>
          <w:rFonts w:ascii="Book Antiqua" w:hAnsi="Book Antiqua"/>
          <w:i/>
          <w:sz w:val="22"/>
        </w:rPr>
        <w:t>… the appellant is severely disabled through his hearing loss and this is, without question, going to place an overlay upon his ability to reintegrate which I find will amount to a very significant obstacle for him.”</w:t>
      </w:r>
    </w:p>
    <w:p w14:paraId="1F573C04" w14:textId="77777777" w:rsidR="00D93E03" w:rsidRPr="00606795" w:rsidRDefault="00653C9F">
      <w:pPr>
        <w:rPr>
          <w:rFonts w:ascii="Book Antiqua" w:hAnsi="Book Antiqua"/>
        </w:rPr>
      </w:pPr>
      <w:r>
        <w:rPr>
          <w:rFonts w:ascii="Book Antiqua" w:hAnsi="Book Antiqua"/>
        </w:rPr>
        <w:t xml:space="preserve">14. The Judge went on to find that </w:t>
      </w:r>
      <w:r w:rsidR="00606795">
        <w:rPr>
          <w:rFonts w:ascii="Book Antiqua" w:hAnsi="Book Antiqua"/>
        </w:rPr>
        <w:t>the Claimant’s problems would start at the airport with difficulty communicating, on the basis that “</w:t>
      </w:r>
      <w:r w:rsidR="00606795" w:rsidRPr="00606795">
        <w:rPr>
          <w:rFonts w:ascii="Book Antiqua" w:hAnsi="Book Antiqua"/>
          <w:i/>
        </w:rPr>
        <w:t>there has been no evidence put to me to establish such a conclusion</w:t>
      </w:r>
      <w:r w:rsidR="00606795">
        <w:rPr>
          <w:rFonts w:ascii="Book Antiqua" w:hAnsi="Book Antiqua"/>
        </w:rPr>
        <w:t>.” [106] And at [107] that: “</w:t>
      </w:r>
      <w:r w:rsidR="00606795">
        <w:rPr>
          <w:rFonts w:ascii="Book Antiqua" w:hAnsi="Book Antiqua"/>
          <w:i/>
        </w:rPr>
        <w:t>I am unable to assume, without evidence, that there would be such support available to the appellant either at the airport, in Tirana or more widely in Albania itself.”</w:t>
      </w:r>
      <w:r w:rsidR="00606795">
        <w:rPr>
          <w:rFonts w:ascii="Book Antiqua" w:hAnsi="Book Antiqua"/>
        </w:rPr>
        <w:t xml:space="preserve"> And at [109]:”</w:t>
      </w:r>
      <w:r w:rsidR="00606795">
        <w:rPr>
          <w:rFonts w:ascii="Book Antiqua" w:hAnsi="Book Antiqua"/>
          <w:i/>
        </w:rPr>
        <w:t xml:space="preserve"> there is no objective evidence before me that there are charitable groups or organizations available in Albania to assist a disabled person in the appellant’s position with their reintegration.”</w:t>
      </w:r>
      <w:r w:rsidR="00606795">
        <w:rPr>
          <w:rFonts w:ascii="Book Antiqua" w:hAnsi="Book Antiqua"/>
        </w:rPr>
        <w:t xml:space="preserve"> I find that the Judge did err in reaching his finding at [112] that there would be very significant obstacles to the Claimant’s reintegration in Albania in that there was no evidential basis </w:t>
      </w:r>
      <w:r w:rsidR="00955160">
        <w:rPr>
          <w:rFonts w:ascii="Book Antiqua" w:hAnsi="Book Antiqua"/>
        </w:rPr>
        <w:t xml:space="preserve">of reception facilities or social support </w:t>
      </w:r>
      <w:r w:rsidR="00606795">
        <w:rPr>
          <w:rFonts w:ascii="Book Antiqua" w:hAnsi="Book Antiqua"/>
        </w:rPr>
        <w:t xml:space="preserve">in the background evidence submitted by either party in support of his conclusion, which </w:t>
      </w:r>
      <w:r w:rsidR="008E1788">
        <w:rPr>
          <w:rFonts w:ascii="Book Antiqua" w:hAnsi="Book Antiqua"/>
        </w:rPr>
        <w:t>t</w:t>
      </w:r>
      <w:r w:rsidR="00606795">
        <w:rPr>
          <w:rFonts w:ascii="Book Antiqua" w:hAnsi="Book Antiqua"/>
        </w:rPr>
        <w:t>he</w:t>
      </w:r>
      <w:r w:rsidR="008E1788">
        <w:rPr>
          <w:rFonts w:ascii="Book Antiqua" w:hAnsi="Book Antiqua"/>
        </w:rPr>
        <w:t xml:space="preserve"> Judge</w:t>
      </w:r>
      <w:r w:rsidR="00606795">
        <w:rPr>
          <w:rFonts w:ascii="Book Antiqua" w:hAnsi="Book Antiqua"/>
        </w:rPr>
        <w:t xml:space="preserve"> ac</w:t>
      </w:r>
      <w:r w:rsidR="008E1788">
        <w:rPr>
          <w:rFonts w:ascii="Book Antiqua" w:hAnsi="Book Antiqua"/>
        </w:rPr>
        <w:t xml:space="preserve">knowledged at [95] and [96]. </w:t>
      </w:r>
      <w:proofErr w:type="gramStart"/>
      <w:r w:rsidR="008E1788">
        <w:rPr>
          <w:rFonts w:ascii="Book Antiqua" w:hAnsi="Book Antiqua"/>
        </w:rPr>
        <w:t>I</w:t>
      </w:r>
      <w:r w:rsidR="00606795">
        <w:rPr>
          <w:rFonts w:ascii="Book Antiqua" w:hAnsi="Book Antiqua"/>
        </w:rPr>
        <w:t>n light of the fact that</w:t>
      </w:r>
      <w:proofErr w:type="gramEnd"/>
      <w:r w:rsidR="00606795">
        <w:rPr>
          <w:rFonts w:ascii="Book Antiqua" w:hAnsi="Book Antiqua"/>
        </w:rPr>
        <w:t xml:space="preserve"> it was for the Claimant to establish his case it cannot be said that the Claimant discharged that burden</w:t>
      </w:r>
      <w:r w:rsidR="00955160">
        <w:rPr>
          <w:rFonts w:ascii="Book Antiqua" w:hAnsi="Book Antiqua"/>
        </w:rPr>
        <w:t xml:space="preserve"> simply on the basis of his oral evidence</w:t>
      </w:r>
      <w:r w:rsidR="00606795">
        <w:rPr>
          <w:rFonts w:ascii="Book Antiqua" w:hAnsi="Book Antiqua"/>
        </w:rPr>
        <w:t>.</w:t>
      </w:r>
    </w:p>
    <w:p w14:paraId="70A63879" w14:textId="77777777" w:rsidR="00606795" w:rsidRDefault="00606795">
      <w:pPr>
        <w:rPr>
          <w:rFonts w:ascii="Book Antiqua" w:hAnsi="Book Antiqua"/>
        </w:rPr>
      </w:pPr>
    </w:p>
    <w:p w14:paraId="33D15DB0" w14:textId="77777777" w:rsidR="008E1788" w:rsidRPr="008E1788" w:rsidRDefault="00606795" w:rsidP="008E1788">
      <w:pPr>
        <w:rPr>
          <w:rFonts w:ascii="Times" w:eastAsiaTheme="minorHAnsi" w:hAnsi="Times" w:cstheme="minorBidi"/>
          <w:sz w:val="20"/>
          <w:szCs w:val="20"/>
          <w:lang w:val="en-GB"/>
        </w:rPr>
      </w:pPr>
      <w:r w:rsidRPr="00EC7447">
        <w:rPr>
          <w:rFonts w:ascii="Book Antiqua" w:hAnsi="Book Antiqua"/>
        </w:rPr>
        <w:t>15. However, the Judge went on to consider Article 8 outside the Rules</w:t>
      </w:r>
      <w:r w:rsidR="00B975F3" w:rsidRPr="00EC7447">
        <w:rPr>
          <w:rFonts w:ascii="Book Antiqua" w:hAnsi="Book Antiqua"/>
        </w:rPr>
        <w:t>, correctly directing himself at [120] that there were compelling circumstances in the case</w:t>
      </w:r>
      <w:r w:rsidRPr="00EC7447">
        <w:rPr>
          <w:rFonts w:ascii="Book Antiqua" w:hAnsi="Book Antiqua"/>
        </w:rPr>
        <w:t xml:space="preserve"> and I consider that his findings in </w:t>
      </w:r>
      <w:r w:rsidR="00955160" w:rsidRPr="00EC7447">
        <w:rPr>
          <w:rFonts w:ascii="Book Antiqua" w:hAnsi="Book Antiqua"/>
        </w:rPr>
        <w:t xml:space="preserve">this </w:t>
      </w:r>
      <w:r w:rsidRPr="00EC7447">
        <w:rPr>
          <w:rFonts w:ascii="Book Antiqua" w:hAnsi="Book Antiqua"/>
        </w:rPr>
        <w:t xml:space="preserve">respect are sustainable. </w:t>
      </w:r>
      <w:r w:rsidR="00B975F3" w:rsidRPr="00EC7447">
        <w:rPr>
          <w:rFonts w:ascii="Book Antiqua" w:hAnsi="Book Antiqua"/>
        </w:rPr>
        <w:t xml:space="preserve">This is because, whilst there was an absence of </w:t>
      </w:r>
      <w:r w:rsidR="000E5482">
        <w:rPr>
          <w:rFonts w:ascii="Book Antiqua" w:hAnsi="Book Antiqua"/>
        </w:rPr>
        <w:t xml:space="preserve">background </w:t>
      </w:r>
      <w:r w:rsidR="00B975F3" w:rsidRPr="00EC7447">
        <w:rPr>
          <w:rFonts w:ascii="Book Antiqua" w:hAnsi="Book Antiqua"/>
        </w:rPr>
        <w:t xml:space="preserve">evidence in support of the contention that the Claimant would face very significant obstacles in Albania, the test in respect of Article 8 is different in that it encompasses a holistic approach, encompassing the public interest considerations, now set out at section 117B of the NIAA 2002. </w:t>
      </w:r>
      <w:r w:rsidR="00EC7447" w:rsidRPr="00EC7447">
        <w:rPr>
          <w:rFonts w:ascii="Book Antiqua" w:hAnsi="Book Antiqua"/>
        </w:rPr>
        <w:t xml:space="preserve">It is clear from </w:t>
      </w:r>
      <w:r w:rsidR="008E1788">
        <w:rPr>
          <w:rFonts w:ascii="Book Antiqua" w:hAnsi="Book Antiqua"/>
        </w:rPr>
        <w:t>the Home Office guidance “</w:t>
      </w:r>
      <w:r w:rsidR="008E1788" w:rsidRPr="008E1788">
        <w:rPr>
          <w:rFonts w:ascii="Book Antiqua" w:eastAsiaTheme="minorHAnsi" w:hAnsi="Book Antiqua" w:cstheme="minorBidi"/>
          <w:i/>
          <w:szCs w:val="20"/>
          <w:lang w:val="en-GB"/>
        </w:rPr>
        <w:t>Family Migration: Appendix FM Section 1.0b Family Life (as a Partner or Parent) and Private Life: 10-Year Routes</w:t>
      </w:r>
      <w:r w:rsidR="008E1788">
        <w:rPr>
          <w:rFonts w:ascii="Book Antiqua" w:eastAsiaTheme="minorHAnsi" w:hAnsi="Book Antiqua" w:cstheme="minorBidi"/>
          <w:szCs w:val="20"/>
          <w:lang w:val="en-GB"/>
        </w:rPr>
        <w:t>”</w:t>
      </w:r>
      <w:r w:rsidR="008E1788" w:rsidRPr="008E1788">
        <w:rPr>
          <w:rFonts w:ascii="Book Antiqua" w:eastAsiaTheme="minorHAnsi" w:hAnsi="Book Antiqua" w:cstheme="minorBidi"/>
          <w:szCs w:val="20"/>
          <w:lang w:val="en-GB"/>
        </w:rPr>
        <w:t xml:space="preserve"> 22.2.18 at page 60 that</w:t>
      </w:r>
      <w:r w:rsidR="008E1788">
        <w:rPr>
          <w:rFonts w:ascii="Book Antiqua" w:eastAsiaTheme="minorHAnsi" w:hAnsi="Book Antiqua" w:cstheme="minorBidi"/>
          <w:szCs w:val="20"/>
          <w:lang w:val="en-GB"/>
        </w:rPr>
        <w:t xml:space="preserve"> the decision maker is not permitted to consider private life established in the UK when considering whether there are very serious obstacles to integration pursuant to paragraph 276ADE (vi) of the Rules:</w:t>
      </w:r>
    </w:p>
    <w:p w14:paraId="6D926D7B" w14:textId="77777777" w:rsidR="008E1788" w:rsidRPr="00917602" w:rsidRDefault="000E5482" w:rsidP="00917602">
      <w:pPr>
        <w:pStyle w:val="NormalWeb"/>
        <w:spacing w:beforeLines="0" w:before="120" w:afterLines="0" w:after="120"/>
        <w:ind w:left="567" w:right="567"/>
        <w:jc w:val="both"/>
        <w:rPr>
          <w:rFonts w:ascii="Book Antiqua" w:hAnsi="Book Antiqua"/>
          <w:i/>
          <w:sz w:val="22"/>
        </w:rPr>
      </w:pPr>
      <w:r w:rsidRPr="00917602">
        <w:rPr>
          <w:rFonts w:ascii="Book Antiqua" w:hAnsi="Book Antiqua"/>
          <w:i/>
          <w:sz w:val="22"/>
        </w:rPr>
        <w:t>“</w:t>
      </w:r>
      <w:r w:rsidR="008E1788" w:rsidRPr="00917602">
        <w:rPr>
          <w:rFonts w:ascii="Book Antiqua" w:hAnsi="Book Antiqua"/>
          <w:i/>
          <w:sz w:val="22"/>
        </w:rPr>
        <w:t>The nature and extent of the private life that an individual has established in the UK is not relevant when the decision maker is considering whether there are very serious obstacles to integration into the country of return. However, where the applicant falls for refusal under the Rules, this will be relevant when considering whether there are exceptional circumstances which would make refusal unjustifiably harsh for the applicant.</w:t>
      </w:r>
      <w:r w:rsidRPr="00917602">
        <w:rPr>
          <w:rFonts w:ascii="Book Antiqua" w:hAnsi="Book Antiqua"/>
          <w:i/>
          <w:sz w:val="22"/>
        </w:rPr>
        <w:t>”</w:t>
      </w:r>
      <w:r w:rsidR="008E1788" w:rsidRPr="00917602">
        <w:rPr>
          <w:rFonts w:ascii="Book Antiqua" w:hAnsi="Book Antiqua"/>
          <w:i/>
          <w:sz w:val="22"/>
        </w:rPr>
        <w:t xml:space="preserve"> </w:t>
      </w:r>
    </w:p>
    <w:p w14:paraId="14AC4029" w14:textId="77777777" w:rsidR="00EC7447" w:rsidRPr="00EC7447" w:rsidRDefault="008E1788" w:rsidP="00EC7447">
      <w:pPr>
        <w:pStyle w:val="NormalWeb"/>
        <w:spacing w:before="2" w:after="2"/>
        <w:rPr>
          <w:rFonts w:ascii="Book Antiqua" w:hAnsi="Book Antiqua"/>
          <w:sz w:val="24"/>
        </w:rPr>
      </w:pPr>
      <w:r>
        <w:rPr>
          <w:rFonts w:ascii="Book Antiqua" w:hAnsi="Book Antiqua"/>
          <w:sz w:val="24"/>
        </w:rPr>
        <w:lastRenderedPageBreak/>
        <w:t xml:space="preserve">In </w:t>
      </w:r>
      <w:r w:rsidR="00EC7447" w:rsidRPr="00EC7447">
        <w:rPr>
          <w:rFonts w:ascii="Book Antiqua" w:hAnsi="Book Antiqua"/>
          <w:sz w:val="24"/>
        </w:rPr>
        <w:t xml:space="preserve">the judgment of the Supreme Court in </w:t>
      </w:r>
      <w:r w:rsidR="00EC7447" w:rsidRPr="00EC7447">
        <w:rPr>
          <w:rFonts w:ascii="Book Antiqua" w:hAnsi="Book Antiqua"/>
          <w:sz w:val="24"/>
          <w:u w:val="single"/>
        </w:rPr>
        <w:t>MM</w:t>
      </w:r>
      <w:r w:rsidR="00EC7447" w:rsidRPr="00EC7447">
        <w:rPr>
          <w:rFonts w:ascii="Book Antiqua" w:hAnsi="Book Antiqua"/>
          <w:sz w:val="24"/>
        </w:rPr>
        <w:t xml:space="preserve"> &amp; others [2017] UKSC </w:t>
      </w:r>
      <w:r w:rsidR="00EC7447">
        <w:rPr>
          <w:rFonts w:ascii="Book Antiqua" w:hAnsi="Book Antiqua"/>
          <w:sz w:val="24"/>
        </w:rPr>
        <w:t>10</w:t>
      </w:r>
      <w:r w:rsidR="00EC7447" w:rsidRPr="00EC7447">
        <w:rPr>
          <w:rFonts w:ascii="Book Antiqua" w:hAnsi="Book Antiqua"/>
          <w:sz w:val="24"/>
        </w:rPr>
        <w:t xml:space="preserve"> at</w:t>
      </w:r>
      <w:r w:rsidR="00EC7447">
        <w:rPr>
          <w:rFonts w:ascii="Book Antiqua" w:hAnsi="Book Antiqua"/>
          <w:sz w:val="24"/>
        </w:rPr>
        <w:t xml:space="preserve"> [61]</w:t>
      </w:r>
      <w:r w:rsidR="00EC7447" w:rsidRPr="00EC7447">
        <w:rPr>
          <w:rFonts w:ascii="Book Antiqua" w:hAnsi="Book Antiqua"/>
          <w:sz w:val="24"/>
        </w:rPr>
        <w:t xml:space="preserve"> that, albeit that </w:t>
      </w:r>
      <w:r w:rsidR="000E5482">
        <w:rPr>
          <w:rFonts w:ascii="Book Antiqua" w:hAnsi="Book Antiqua"/>
          <w:sz w:val="24"/>
        </w:rPr>
        <w:t xml:space="preserve">concerned </w:t>
      </w:r>
      <w:r w:rsidR="00EC7447" w:rsidRPr="00EC7447">
        <w:rPr>
          <w:rFonts w:ascii="Book Antiqua" w:hAnsi="Book Antiqua"/>
          <w:sz w:val="24"/>
        </w:rPr>
        <w:t xml:space="preserve">linked Article 8 family life cases: </w:t>
      </w:r>
      <w:r w:rsidR="00EC7447">
        <w:rPr>
          <w:rFonts w:ascii="Book Antiqua" w:hAnsi="Book Antiqua"/>
          <w:sz w:val="24"/>
        </w:rPr>
        <w:t>“</w:t>
      </w:r>
      <w:r w:rsidR="00EC7447" w:rsidRPr="00EC7447">
        <w:rPr>
          <w:rFonts w:ascii="Book Antiqua" w:hAnsi="Book Antiqua"/>
          <w:i/>
          <w:sz w:val="24"/>
          <w:szCs w:val="26"/>
        </w:rPr>
        <w:t>the ultimate issue is whether a fair balance has been struck between individual and public interests, taking account</w:t>
      </w:r>
      <w:r>
        <w:rPr>
          <w:rFonts w:ascii="Book Antiqua" w:hAnsi="Book Antiqua"/>
          <w:i/>
          <w:sz w:val="24"/>
          <w:szCs w:val="26"/>
        </w:rPr>
        <w:t xml:space="preserve"> of</w:t>
      </w:r>
      <w:r w:rsidR="00EC7447" w:rsidRPr="00EC7447">
        <w:rPr>
          <w:rFonts w:ascii="Book Antiqua" w:hAnsi="Book Antiqua"/>
          <w:i/>
          <w:sz w:val="24"/>
          <w:szCs w:val="26"/>
        </w:rPr>
        <w:t xml:space="preserve"> the various factors identified</w:t>
      </w:r>
      <w:r w:rsidR="00EC7447">
        <w:rPr>
          <w:rFonts w:ascii="Book Antiqua" w:hAnsi="Book Antiqua"/>
          <w:i/>
          <w:sz w:val="24"/>
          <w:szCs w:val="26"/>
        </w:rPr>
        <w:t>.”</w:t>
      </w:r>
      <w:r w:rsidR="00EC7447" w:rsidRPr="00EC7447">
        <w:rPr>
          <w:rFonts w:ascii="Book Antiqua" w:hAnsi="Book Antiqua"/>
          <w:i/>
          <w:sz w:val="24"/>
          <w:szCs w:val="26"/>
        </w:rPr>
        <w:t xml:space="preserve"> </w:t>
      </w:r>
    </w:p>
    <w:p w14:paraId="2F26282E" w14:textId="77777777" w:rsidR="00B975F3" w:rsidRDefault="00B975F3">
      <w:pPr>
        <w:rPr>
          <w:rFonts w:ascii="Book Antiqua" w:hAnsi="Book Antiqua"/>
        </w:rPr>
      </w:pPr>
    </w:p>
    <w:p w14:paraId="65E04AE5" w14:textId="77777777" w:rsidR="008C2603" w:rsidRDefault="00B975F3">
      <w:pPr>
        <w:rPr>
          <w:rFonts w:ascii="Book Antiqua" w:hAnsi="Book Antiqua"/>
        </w:rPr>
      </w:pPr>
      <w:r>
        <w:rPr>
          <w:rFonts w:ascii="Book Antiqua" w:hAnsi="Book Antiqua"/>
        </w:rPr>
        <w:t xml:space="preserve">16. </w:t>
      </w:r>
      <w:r w:rsidR="00606795">
        <w:rPr>
          <w:rFonts w:ascii="Book Antiqua" w:hAnsi="Book Antiqua"/>
        </w:rPr>
        <w:t>At [114] the Judge found that the Claimant had established a private life over the ten years he had been residing in the United Kingdom. In this respect he took account of the Claimant’s oral evidence that he had been able to attend a deaf outreach group, meet other disabled people in the same position and to make associations and friends [97] and that</w:t>
      </w:r>
      <w:r w:rsidR="008E1788">
        <w:rPr>
          <w:rFonts w:ascii="Book Antiqua" w:hAnsi="Book Antiqua"/>
        </w:rPr>
        <w:t>, if removed to Albania,</w:t>
      </w:r>
      <w:r w:rsidR="00606795">
        <w:rPr>
          <w:rFonts w:ascii="Book Antiqua" w:hAnsi="Book Antiqua"/>
        </w:rPr>
        <w:t xml:space="preserve"> he would not have the assistance of someone like Mr G with who</w:t>
      </w:r>
      <w:r w:rsidR="008C2603">
        <w:rPr>
          <w:rFonts w:ascii="Book Antiqua" w:hAnsi="Book Antiqua"/>
        </w:rPr>
        <w:t>m</w:t>
      </w:r>
      <w:r w:rsidR="00606795">
        <w:rPr>
          <w:rFonts w:ascii="Book Antiqua" w:hAnsi="Book Antiqua"/>
        </w:rPr>
        <w:t xml:space="preserve"> he resides</w:t>
      </w:r>
      <w:r w:rsidR="008E1788">
        <w:rPr>
          <w:rFonts w:ascii="Book Antiqua" w:hAnsi="Book Antiqua"/>
        </w:rPr>
        <w:t xml:space="preserve"> and communicates</w:t>
      </w:r>
      <w:r w:rsidR="008C2603">
        <w:rPr>
          <w:rFonts w:ascii="Book Antiqua" w:hAnsi="Book Antiqua"/>
        </w:rPr>
        <w:t xml:space="preserve"> with in the Albanian sign language on a day to day basis. </w:t>
      </w:r>
    </w:p>
    <w:p w14:paraId="68A61964" w14:textId="77777777" w:rsidR="008C2603" w:rsidRDefault="008C2603">
      <w:pPr>
        <w:rPr>
          <w:rFonts w:ascii="Book Antiqua" w:hAnsi="Book Antiqua"/>
        </w:rPr>
      </w:pPr>
    </w:p>
    <w:p w14:paraId="4729083D" w14:textId="77777777" w:rsidR="008C2603" w:rsidRDefault="00B975F3" w:rsidP="008C2603">
      <w:pPr>
        <w:pStyle w:val="NormalWeb"/>
        <w:spacing w:beforeLines="0" w:afterLines="0"/>
        <w:rPr>
          <w:rFonts w:ascii="Book Antiqua" w:hAnsi="Book Antiqua"/>
          <w:sz w:val="24"/>
        </w:rPr>
      </w:pPr>
      <w:r>
        <w:rPr>
          <w:rFonts w:ascii="Book Antiqua" w:hAnsi="Book Antiqua"/>
          <w:sz w:val="24"/>
        </w:rPr>
        <w:t>17</w:t>
      </w:r>
      <w:r w:rsidR="008C2603" w:rsidRPr="008C2603">
        <w:rPr>
          <w:rFonts w:ascii="Book Antiqua" w:hAnsi="Book Antiqua"/>
          <w:sz w:val="24"/>
        </w:rPr>
        <w:t xml:space="preserve">. The Judge went on to consider the section 117B public interest considerations and concluded </w:t>
      </w:r>
      <w:r w:rsidR="00955160">
        <w:rPr>
          <w:rFonts w:ascii="Book Antiqua" w:hAnsi="Book Antiqua"/>
          <w:sz w:val="24"/>
        </w:rPr>
        <w:t xml:space="preserve">at [119] </w:t>
      </w:r>
      <w:r w:rsidR="008C2603" w:rsidRPr="008C2603">
        <w:rPr>
          <w:rFonts w:ascii="Book Antiqua" w:hAnsi="Book Antiqua"/>
          <w:sz w:val="24"/>
        </w:rPr>
        <w:t>that his removal would be a disproportionate interference with the Claimant’s private life. This finding was subject to challenge in the grounds of appeal on</w:t>
      </w:r>
      <w:r w:rsidR="008E1788">
        <w:rPr>
          <w:rFonts w:ascii="Book Antiqua" w:hAnsi="Book Antiqua"/>
          <w:sz w:val="24"/>
        </w:rPr>
        <w:t>ly to the extent</w:t>
      </w:r>
      <w:r w:rsidR="008C2603" w:rsidRPr="008C2603">
        <w:rPr>
          <w:rFonts w:ascii="Book Antiqua" w:hAnsi="Book Antiqua"/>
          <w:sz w:val="24"/>
        </w:rPr>
        <w:t xml:space="preserve"> that there was no evidence that the Claimant had mental health issues and no argument was put forward on this basis. I find that this ground of appeal is misconceived and is based on a very narrow interpretation of the private life aspect of Article 8. It is clear from the judgment of the </w:t>
      </w:r>
      <w:r w:rsidR="008C2603">
        <w:rPr>
          <w:rFonts w:ascii="Book Antiqua" w:hAnsi="Book Antiqua"/>
          <w:sz w:val="24"/>
        </w:rPr>
        <w:t xml:space="preserve">Strasbourg Court </w:t>
      </w:r>
      <w:r w:rsidR="008C2603" w:rsidRPr="008C2603">
        <w:rPr>
          <w:rFonts w:ascii="Book Antiqua" w:hAnsi="Book Antiqua"/>
          <w:sz w:val="24"/>
        </w:rPr>
        <w:t xml:space="preserve">in </w:t>
      </w:r>
      <w:proofErr w:type="spellStart"/>
      <w:r w:rsidR="008C2603" w:rsidRPr="00955160">
        <w:rPr>
          <w:rFonts w:ascii="Book Antiqua" w:hAnsi="Book Antiqua"/>
          <w:sz w:val="24"/>
          <w:u w:val="single"/>
        </w:rPr>
        <w:t>Bensaid</w:t>
      </w:r>
      <w:proofErr w:type="spellEnd"/>
      <w:r w:rsidR="008C2603" w:rsidRPr="008C2603">
        <w:rPr>
          <w:rFonts w:ascii="Book Antiqua" w:hAnsi="Book Antiqua"/>
          <w:sz w:val="24"/>
        </w:rPr>
        <w:t xml:space="preserve"> [2001] 33 EHRR 10 that</w:t>
      </w:r>
      <w:r w:rsidR="008C2603">
        <w:rPr>
          <w:rFonts w:ascii="Book Antiqua" w:hAnsi="Book Antiqua"/>
          <w:sz w:val="24"/>
        </w:rPr>
        <w:t>:</w:t>
      </w:r>
    </w:p>
    <w:p w14:paraId="59616E36" w14:textId="22DE0AD1" w:rsidR="008C2603" w:rsidRPr="00917602" w:rsidRDefault="008C2603" w:rsidP="00917602">
      <w:pPr>
        <w:pStyle w:val="NormalWeb"/>
        <w:tabs>
          <w:tab w:val="left" w:pos="1134"/>
        </w:tabs>
        <w:spacing w:beforeLines="0" w:before="120" w:afterLines="0" w:after="120"/>
        <w:ind w:left="567" w:right="567"/>
        <w:jc w:val="both"/>
        <w:rPr>
          <w:rFonts w:ascii="Book Antiqua" w:hAnsi="Book Antiqua"/>
          <w:i/>
          <w:color w:val="010101"/>
          <w:sz w:val="22"/>
          <w:szCs w:val="23"/>
        </w:rPr>
      </w:pPr>
      <w:r w:rsidRPr="00917602">
        <w:rPr>
          <w:rFonts w:ascii="Book Antiqua" w:hAnsi="Book Antiqua"/>
          <w:i/>
          <w:color w:val="010101"/>
          <w:sz w:val="22"/>
          <w:szCs w:val="23"/>
        </w:rPr>
        <w:t>“47.</w:t>
      </w:r>
      <w:r w:rsidR="00917602">
        <w:rPr>
          <w:rFonts w:ascii="Book Antiqua" w:hAnsi="Book Antiqua"/>
          <w:i/>
          <w:color w:val="010101"/>
          <w:sz w:val="22"/>
          <w:szCs w:val="23"/>
        </w:rPr>
        <w:tab/>
      </w:r>
      <w:r w:rsidRPr="00917602">
        <w:rPr>
          <w:rFonts w:ascii="Book Antiqua" w:hAnsi="Book Antiqua"/>
          <w:i/>
          <w:color w:val="010101"/>
          <w:sz w:val="22"/>
          <w:szCs w:val="23"/>
        </w:rPr>
        <w:t>"Private life" is a broad term not susceptible to exhaustive definition. The Court has already held that elements such as gender identification, name and sexual orientation and sexual life are important elements of the personal sphere protected by Article 8 (see, for example,</w:t>
      </w:r>
      <w:r w:rsidRPr="00917602">
        <w:rPr>
          <w:rStyle w:val="apple-converted-space"/>
          <w:rFonts w:ascii="Book Antiqua" w:hAnsi="Book Antiqua"/>
          <w:i/>
          <w:color w:val="010101"/>
          <w:sz w:val="22"/>
          <w:szCs w:val="23"/>
        </w:rPr>
        <w:t> </w:t>
      </w:r>
      <w:r w:rsidRPr="00917602">
        <w:rPr>
          <w:rFonts w:ascii="Book Antiqua" w:hAnsi="Book Antiqua"/>
          <w:i/>
          <w:color w:val="010101"/>
          <w:sz w:val="22"/>
          <w:szCs w:val="23"/>
        </w:rPr>
        <w:t>Dudgeon v. the United Kingdom, judgment of 22 October 1981, Series A no. 45, pp. 18-19, § 41;</w:t>
      </w:r>
      <w:r w:rsidRPr="00917602">
        <w:rPr>
          <w:rStyle w:val="apple-converted-space"/>
          <w:rFonts w:ascii="Book Antiqua" w:hAnsi="Book Antiqua"/>
          <w:i/>
          <w:color w:val="010101"/>
          <w:sz w:val="22"/>
          <w:szCs w:val="23"/>
        </w:rPr>
        <w:t> </w:t>
      </w:r>
      <w:r w:rsidRPr="00917602">
        <w:rPr>
          <w:rFonts w:ascii="Book Antiqua" w:hAnsi="Book Antiqua"/>
          <w:i/>
          <w:color w:val="010101"/>
          <w:sz w:val="22"/>
          <w:szCs w:val="23"/>
        </w:rPr>
        <w:t>B. v. France, judgment of 25 March 1992, Series A no. 232-C, pp. 53-54, § 63;</w:t>
      </w:r>
      <w:r w:rsidRPr="00917602">
        <w:rPr>
          <w:rStyle w:val="apple-converted-space"/>
          <w:rFonts w:ascii="Book Antiqua" w:hAnsi="Book Antiqua"/>
          <w:i/>
          <w:color w:val="010101"/>
          <w:sz w:val="22"/>
          <w:szCs w:val="23"/>
        </w:rPr>
        <w:t> </w:t>
      </w:r>
      <w:proofErr w:type="spellStart"/>
      <w:r w:rsidRPr="00917602">
        <w:rPr>
          <w:rFonts w:ascii="Book Antiqua" w:hAnsi="Book Antiqua"/>
          <w:i/>
          <w:color w:val="010101"/>
          <w:sz w:val="22"/>
          <w:szCs w:val="23"/>
        </w:rPr>
        <w:t>Burghartz</w:t>
      </w:r>
      <w:proofErr w:type="spellEnd"/>
      <w:r w:rsidRPr="00917602">
        <w:rPr>
          <w:rFonts w:ascii="Book Antiqua" w:hAnsi="Book Antiqua"/>
          <w:i/>
          <w:color w:val="010101"/>
          <w:sz w:val="22"/>
          <w:szCs w:val="23"/>
        </w:rPr>
        <w:t xml:space="preserve"> v. Switzerland, judgment of 22 February 1994, Series A no. 280-B, p. 28, § 24; and</w:t>
      </w:r>
      <w:r w:rsidRPr="00917602">
        <w:rPr>
          <w:rStyle w:val="apple-converted-space"/>
          <w:rFonts w:ascii="Book Antiqua" w:hAnsi="Book Antiqua"/>
          <w:i/>
          <w:color w:val="010101"/>
          <w:sz w:val="22"/>
          <w:szCs w:val="23"/>
        </w:rPr>
        <w:t> </w:t>
      </w:r>
      <w:proofErr w:type="spellStart"/>
      <w:r w:rsidRPr="00917602">
        <w:rPr>
          <w:rFonts w:ascii="Book Antiqua" w:hAnsi="Book Antiqua"/>
          <w:i/>
          <w:color w:val="010101"/>
          <w:sz w:val="22"/>
          <w:szCs w:val="23"/>
        </w:rPr>
        <w:t>Laskey</w:t>
      </w:r>
      <w:proofErr w:type="spellEnd"/>
      <w:r w:rsidRPr="00917602">
        <w:rPr>
          <w:rFonts w:ascii="Book Antiqua" w:hAnsi="Book Antiqua"/>
          <w:i/>
          <w:color w:val="010101"/>
          <w:sz w:val="22"/>
          <w:szCs w:val="23"/>
        </w:rPr>
        <w:t xml:space="preserve">, </w:t>
      </w:r>
      <w:proofErr w:type="spellStart"/>
      <w:r w:rsidRPr="00917602">
        <w:rPr>
          <w:rFonts w:ascii="Book Antiqua" w:hAnsi="Book Antiqua"/>
          <w:i/>
          <w:color w:val="010101"/>
          <w:sz w:val="22"/>
          <w:szCs w:val="23"/>
        </w:rPr>
        <w:t>Jaggard</w:t>
      </w:r>
      <w:proofErr w:type="spellEnd"/>
      <w:r w:rsidRPr="00917602">
        <w:rPr>
          <w:rFonts w:ascii="Book Antiqua" w:hAnsi="Book Antiqua"/>
          <w:i/>
          <w:color w:val="010101"/>
          <w:sz w:val="22"/>
          <w:szCs w:val="23"/>
        </w:rPr>
        <w:t xml:space="preserve"> and Brown v. the United Kingdom, judgment of 19 February 1997,</w:t>
      </w:r>
      <w:r w:rsidRPr="00917602">
        <w:rPr>
          <w:rStyle w:val="apple-converted-space"/>
          <w:rFonts w:ascii="Book Antiqua" w:hAnsi="Book Antiqua"/>
          <w:i/>
          <w:color w:val="010101"/>
          <w:sz w:val="22"/>
          <w:szCs w:val="23"/>
        </w:rPr>
        <w:t> </w:t>
      </w:r>
      <w:r w:rsidRPr="00917602">
        <w:rPr>
          <w:rFonts w:ascii="Book Antiqua" w:hAnsi="Book Antiqua"/>
          <w:i/>
          <w:color w:val="010101"/>
          <w:sz w:val="22"/>
          <w:szCs w:val="23"/>
        </w:rPr>
        <w:t>Reports</w:t>
      </w:r>
      <w:r w:rsidRPr="00917602">
        <w:rPr>
          <w:rStyle w:val="apple-converted-space"/>
          <w:rFonts w:ascii="Book Antiqua" w:hAnsi="Book Antiqua"/>
          <w:i/>
          <w:color w:val="010101"/>
          <w:sz w:val="22"/>
          <w:szCs w:val="23"/>
        </w:rPr>
        <w:t> </w:t>
      </w:r>
      <w:r w:rsidRPr="00917602">
        <w:rPr>
          <w:rFonts w:ascii="Book Antiqua" w:hAnsi="Book Antiqua"/>
          <w:i/>
          <w:color w:val="010101"/>
          <w:sz w:val="22"/>
          <w:szCs w:val="23"/>
        </w:rPr>
        <w:t>1997-I, p. 131, § 36). Mental health must also be regarded as a crucial part of private life associated with the aspect of moral integrity. Article 8 protects a right to identity and personal development, and the right to establish and develop relationships with other human beings and the outside world (see, for example,</w:t>
      </w:r>
      <w:r w:rsidRPr="00917602">
        <w:rPr>
          <w:rStyle w:val="apple-converted-space"/>
          <w:rFonts w:ascii="Book Antiqua" w:hAnsi="Book Antiqua"/>
          <w:i/>
          <w:color w:val="010101"/>
          <w:sz w:val="22"/>
          <w:szCs w:val="23"/>
        </w:rPr>
        <w:t> </w:t>
      </w:r>
      <w:proofErr w:type="spellStart"/>
      <w:r w:rsidRPr="00917602">
        <w:rPr>
          <w:rFonts w:ascii="Book Antiqua" w:hAnsi="Book Antiqua"/>
          <w:i/>
          <w:color w:val="010101"/>
          <w:sz w:val="22"/>
          <w:szCs w:val="23"/>
        </w:rPr>
        <w:t>Burghartz</w:t>
      </w:r>
      <w:proofErr w:type="spellEnd"/>
      <w:r w:rsidRPr="00917602">
        <w:rPr>
          <w:rFonts w:ascii="Book Antiqua" w:hAnsi="Book Antiqua"/>
          <w:i/>
          <w:color w:val="010101"/>
          <w:sz w:val="22"/>
          <w:szCs w:val="23"/>
        </w:rPr>
        <w:t>, cited above, opinion of the Commission, p. 37, § 47, and</w:t>
      </w:r>
      <w:r w:rsidRPr="00917602">
        <w:rPr>
          <w:rStyle w:val="apple-converted-space"/>
          <w:rFonts w:ascii="Book Antiqua" w:hAnsi="Book Antiqua"/>
          <w:i/>
          <w:color w:val="010101"/>
          <w:sz w:val="22"/>
          <w:szCs w:val="23"/>
        </w:rPr>
        <w:t> </w:t>
      </w:r>
      <w:proofErr w:type="spellStart"/>
      <w:r w:rsidRPr="00917602">
        <w:rPr>
          <w:rFonts w:ascii="Book Antiqua" w:hAnsi="Book Antiqua"/>
          <w:i/>
          <w:color w:val="010101"/>
          <w:sz w:val="22"/>
          <w:szCs w:val="23"/>
        </w:rPr>
        <w:t>Friedl</w:t>
      </w:r>
      <w:proofErr w:type="spellEnd"/>
      <w:r w:rsidRPr="00917602">
        <w:rPr>
          <w:rFonts w:ascii="Book Antiqua" w:hAnsi="Book Antiqua"/>
          <w:i/>
          <w:color w:val="010101"/>
          <w:sz w:val="22"/>
          <w:szCs w:val="23"/>
        </w:rPr>
        <w:t xml:space="preserve"> v. Austria, judgment of 31 January 1995, Series A no. 305-B, p. 20, § 45). The preservation of mental stability is in that context an indispensable precondition to effective enjoyment of the right to respect for private life.”</w:t>
      </w:r>
    </w:p>
    <w:p w14:paraId="3E0104F9" w14:textId="77777777" w:rsidR="00955160" w:rsidRDefault="00B975F3">
      <w:pPr>
        <w:rPr>
          <w:rFonts w:ascii="Book Antiqua" w:hAnsi="Book Antiqua"/>
        </w:rPr>
      </w:pPr>
      <w:r>
        <w:rPr>
          <w:rFonts w:ascii="Book Antiqua" w:hAnsi="Book Antiqua"/>
        </w:rPr>
        <w:t>18</w:t>
      </w:r>
      <w:r w:rsidR="008C2603">
        <w:rPr>
          <w:rFonts w:ascii="Book Antiqua" w:hAnsi="Book Antiqua"/>
        </w:rPr>
        <w:t xml:space="preserve">. It is clear from this paragraph that the Claimant’s disability is clearly capable of founding a basis for protection of his private life, given that his inability to hear and his accepted difficulties in communication has a serious impact on his ability to establish and develop relationships with others and the outside world. </w:t>
      </w:r>
      <w:r w:rsidR="00955160">
        <w:rPr>
          <w:rFonts w:ascii="Book Antiqua" w:hAnsi="Book Antiqua"/>
        </w:rPr>
        <w:t xml:space="preserve">The Judge </w:t>
      </w:r>
      <w:r w:rsidR="008E1788">
        <w:rPr>
          <w:rFonts w:ascii="Book Antiqua" w:hAnsi="Book Antiqua"/>
        </w:rPr>
        <w:t xml:space="preserve">referred to this judgment as “B” at [119] and </w:t>
      </w:r>
      <w:r w:rsidR="00955160">
        <w:rPr>
          <w:rFonts w:ascii="Book Antiqua" w:hAnsi="Book Antiqua"/>
        </w:rPr>
        <w:t>held as follows at [119]:</w:t>
      </w:r>
    </w:p>
    <w:p w14:paraId="5AAF2B5F" w14:textId="77777777" w:rsidR="00B975F3" w:rsidRPr="00917602" w:rsidRDefault="00955160" w:rsidP="00917602">
      <w:pPr>
        <w:spacing w:before="120" w:after="120"/>
        <w:ind w:left="567" w:right="567"/>
        <w:jc w:val="both"/>
        <w:rPr>
          <w:rFonts w:ascii="Book Antiqua" w:hAnsi="Book Antiqua"/>
          <w:i/>
          <w:sz w:val="22"/>
        </w:rPr>
      </w:pPr>
      <w:r w:rsidRPr="00917602">
        <w:rPr>
          <w:rFonts w:ascii="Book Antiqua" w:hAnsi="Book Antiqua"/>
          <w:i/>
          <w:sz w:val="22"/>
        </w:rPr>
        <w:t>“His situation is not a typical one because he suffers from a severe disability. I am therefore satisfied that to disrupt his private life here and to expect him to return to his uncertain situation in Albania will have a negative impact upon his physical, moral and psychological integrity as held in B.”</w:t>
      </w:r>
    </w:p>
    <w:p w14:paraId="18F23C07" w14:textId="77777777" w:rsidR="00955160" w:rsidRDefault="00B975F3">
      <w:pPr>
        <w:rPr>
          <w:rFonts w:ascii="Book Antiqua" w:hAnsi="Book Antiqua"/>
        </w:rPr>
      </w:pPr>
      <w:r>
        <w:rPr>
          <w:rFonts w:ascii="Book Antiqua" w:hAnsi="Book Antiqua"/>
        </w:rPr>
        <w:t>19</w:t>
      </w:r>
      <w:r w:rsidR="00D93E03">
        <w:rPr>
          <w:rFonts w:ascii="Book Antiqua" w:hAnsi="Book Antiqua"/>
        </w:rPr>
        <w:t>. In terms of the Judge’s use</w:t>
      </w:r>
      <w:r w:rsidR="00606795">
        <w:rPr>
          <w:rFonts w:ascii="Book Antiqua" w:hAnsi="Book Antiqua"/>
        </w:rPr>
        <w:t xml:space="preserve"> of jurisprudence, </w:t>
      </w:r>
      <w:r w:rsidR="00955160">
        <w:rPr>
          <w:rFonts w:ascii="Book Antiqua" w:hAnsi="Book Antiqua"/>
        </w:rPr>
        <w:t>his practice appear</w:t>
      </w:r>
      <w:r w:rsidR="00D93E03">
        <w:rPr>
          <w:rFonts w:ascii="Book Antiqua" w:hAnsi="Book Antiqua"/>
        </w:rPr>
        <w:t xml:space="preserve">s to </w:t>
      </w:r>
      <w:r w:rsidR="00955160">
        <w:rPr>
          <w:rFonts w:ascii="Book Antiqua" w:hAnsi="Book Antiqua"/>
        </w:rPr>
        <w:t xml:space="preserve">have been to </w:t>
      </w:r>
      <w:r w:rsidR="00D93E03">
        <w:rPr>
          <w:rFonts w:ascii="Book Antiqua" w:hAnsi="Book Antiqua"/>
        </w:rPr>
        <w:t xml:space="preserve">set out the full name and citation of the cases he considered at [14] and then to </w:t>
      </w:r>
      <w:r w:rsidR="00D93E03">
        <w:rPr>
          <w:rFonts w:ascii="Book Antiqua" w:hAnsi="Book Antiqua"/>
        </w:rPr>
        <w:lastRenderedPageBreak/>
        <w:t xml:space="preserve">apply those cases by reference to their initial in the body of the determination. Whilst this may have </w:t>
      </w:r>
      <w:proofErr w:type="spellStart"/>
      <w:r w:rsidR="00D93E03">
        <w:rPr>
          <w:rFonts w:ascii="Book Antiqua" w:hAnsi="Book Antiqua"/>
        </w:rPr>
        <w:t>lead</w:t>
      </w:r>
      <w:proofErr w:type="spellEnd"/>
      <w:r w:rsidR="00D93E03">
        <w:rPr>
          <w:rFonts w:ascii="Book Antiqua" w:hAnsi="Book Antiqua"/>
        </w:rPr>
        <w:t xml:space="preserve"> </w:t>
      </w:r>
      <w:r w:rsidR="008E1788">
        <w:rPr>
          <w:rFonts w:ascii="Book Antiqua" w:hAnsi="Book Antiqua"/>
        </w:rPr>
        <w:t xml:space="preserve">to </w:t>
      </w:r>
      <w:r w:rsidR="00D93E03">
        <w:rPr>
          <w:rFonts w:ascii="Book Antiqua" w:hAnsi="Book Antiqua"/>
        </w:rPr>
        <w:t xml:space="preserve">some confusion, it is not an erroneous approach. </w:t>
      </w:r>
      <w:r w:rsidR="00955160">
        <w:rPr>
          <w:rFonts w:ascii="Book Antiqua" w:hAnsi="Book Antiqua"/>
        </w:rPr>
        <w:t xml:space="preserve">Moreover, none of the cases he </w:t>
      </w:r>
      <w:r>
        <w:rPr>
          <w:rFonts w:ascii="Book Antiqua" w:hAnsi="Book Antiqua"/>
        </w:rPr>
        <w:t xml:space="preserve">sought to rely on </w:t>
      </w:r>
      <w:r w:rsidR="00955160">
        <w:rPr>
          <w:rFonts w:ascii="Book Antiqua" w:hAnsi="Book Antiqua"/>
        </w:rPr>
        <w:t xml:space="preserve">are comparable given that the applicants in those cases, whilst they may have resided in the United Kingdom for longer, did not suffer from a serious disability as in the </w:t>
      </w:r>
      <w:proofErr w:type="gramStart"/>
      <w:r w:rsidR="00955160">
        <w:rPr>
          <w:rFonts w:ascii="Book Antiqua" w:hAnsi="Book Antiqua"/>
        </w:rPr>
        <w:t>parti</w:t>
      </w:r>
      <w:r w:rsidR="008E1788">
        <w:rPr>
          <w:rFonts w:ascii="Book Antiqua" w:hAnsi="Book Antiqua"/>
        </w:rPr>
        <w:t>cular case</w:t>
      </w:r>
      <w:proofErr w:type="gramEnd"/>
      <w:r w:rsidR="00955160">
        <w:rPr>
          <w:rFonts w:ascii="Book Antiqua" w:hAnsi="Book Antiqua"/>
        </w:rPr>
        <w:t xml:space="preserve"> of this Claimant.</w:t>
      </w:r>
    </w:p>
    <w:p w14:paraId="1FF59922" w14:textId="77777777" w:rsidR="00955160" w:rsidRDefault="00955160">
      <w:pPr>
        <w:rPr>
          <w:rFonts w:ascii="Book Antiqua" w:hAnsi="Book Antiqua"/>
        </w:rPr>
      </w:pPr>
    </w:p>
    <w:p w14:paraId="2C0076DC" w14:textId="77777777" w:rsidR="00955160" w:rsidRPr="00955160" w:rsidRDefault="00955160">
      <w:pPr>
        <w:rPr>
          <w:rFonts w:ascii="Book Antiqua" w:hAnsi="Book Antiqua"/>
          <w:i/>
        </w:rPr>
      </w:pPr>
      <w:r>
        <w:rPr>
          <w:rFonts w:ascii="Book Antiqua" w:hAnsi="Book Antiqua"/>
          <w:i/>
        </w:rPr>
        <w:t>Decision</w:t>
      </w:r>
    </w:p>
    <w:p w14:paraId="28DC90AB" w14:textId="77777777" w:rsidR="00955160" w:rsidRDefault="00955160">
      <w:pPr>
        <w:rPr>
          <w:rFonts w:ascii="Book Antiqua" w:hAnsi="Book Antiqua"/>
        </w:rPr>
      </w:pPr>
    </w:p>
    <w:p w14:paraId="30A6B32F" w14:textId="77777777" w:rsidR="00B975F3" w:rsidRDefault="00B975F3">
      <w:pPr>
        <w:rPr>
          <w:rFonts w:ascii="Book Antiqua" w:hAnsi="Book Antiqua"/>
        </w:rPr>
      </w:pPr>
      <w:r>
        <w:rPr>
          <w:rFonts w:ascii="Book Antiqua" w:hAnsi="Book Antiqua"/>
        </w:rPr>
        <w:t>20</w:t>
      </w:r>
      <w:r w:rsidR="00955160">
        <w:rPr>
          <w:rFonts w:ascii="Book Antiqua" w:hAnsi="Book Antiqua"/>
        </w:rPr>
        <w:t>. For the reasons set out above, whilst the Judge’s findings in respect of the Claimant’s ability to meet the requirements of paragraph 276ADE(vi) of the Immigration Rules are flawed</w:t>
      </w:r>
      <w:r>
        <w:rPr>
          <w:rFonts w:ascii="Book Antiqua" w:hAnsi="Book Antiqua"/>
        </w:rPr>
        <w:t xml:space="preserve"> by error of law</w:t>
      </w:r>
      <w:r w:rsidR="00955160">
        <w:rPr>
          <w:rFonts w:ascii="Book Antiqua" w:hAnsi="Book Antiqua"/>
        </w:rPr>
        <w:t xml:space="preserve">, his findings in respect of the proportionality of removal of the Claimant due to the impact on his established private life in the United Kingdom are sustainable. </w:t>
      </w:r>
    </w:p>
    <w:p w14:paraId="0634DB5C" w14:textId="77777777" w:rsidR="00B975F3" w:rsidRDefault="00B975F3">
      <w:pPr>
        <w:rPr>
          <w:rFonts w:ascii="Book Antiqua" w:hAnsi="Book Antiqua"/>
        </w:rPr>
      </w:pPr>
    </w:p>
    <w:p w14:paraId="34CFFE43" w14:textId="77777777" w:rsidR="00955160" w:rsidRDefault="00B975F3">
      <w:pPr>
        <w:rPr>
          <w:rFonts w:ascii="Book Antiqua" w:hAnsi="Book Antiqua"/>
        </w:rPr>
      </w:pPr>
      <w:r>
        <w:rPr>
          <w:rFonts w:ascii="Book Antiqua" w:hAnsi="Book Antiqua"/>
        </w:rPr>
        <w:t xml:space="preserve">21. </w:t>
      </w:r>
      <w:r w:rsidR="00955160">
        <w:rPr>
          <w:rFonts w:ascii="Book Antiqua" w:hAnsi="Book Antiqua"/>
        </w:rPr>
        <w:t xml:space="preserve">Consequently, I dismiss the appeal by the Secretary of State and upheld the decision of First </w:t>
      </w:r>
      <w:proofErr w:type="gramStart"/>
      <w:r w:rsidR="00955160">
        <w:rPr>
          <w:rFonts w:ascii="Book Antiqua" w:hAnsi="Book Antiqua"/>
        </w:rPr>
        <w:t>tier</w:t>
      </w:r>
      <w:proofErr w:type="gramEnd"/>
      <w:r w:rsidR="00955160">
        <w:rPr>
          <w:rFonts w:ascii="Book Antiqua" w:hAnsi="Book Antiqua"/>
        </w:rPr>
        <w:t xml:space="preserve"> Tribunal Judge Coutts in that respect, with the result that his findings and conclusions in respect of </w:t>
      </w:r>
      <w:r>
        <w:rPr>
          <w:rFonts w:ascii="Book Antiqua" w:hAnsi="Book Antiqua"/>
        </w:rPr>
        <w:t xml:space="preserve">the Claimant’s private life pursuant to </w:t>
      </w:r>
      <w:r w:rsidR="00955160">
        <w:rPr>
          <w:rFonts w:ascii="Book Antiqua" w:hAnsi="Book Antiqua"/>
        </w:rPr>
        <w:t xml:space="preserve">Article 8 </w:t>
      </w:r>
      <w:r>
        <w:rPr>
          <w:rFonts w:ascii="Book Antiqua" w:hAnsi="Book Antiqua"/>
        </w:rPr>
        <w:t xml:space="preserve">of ECHR </w:t>
      </w:r>
      <w:r w:rsidR="00955160">
        <w:rPr>
          <w:rFonts w:ascii="Book Antiqua" w:hAnsi="Book Antiqua"/>
        </w:rPr>
        <w:t>stand.</w:t>
      </w:r>
    </w:p>
    <w:p w14:paraId="2A5A1FC4" w14:textId="15175C47" w:rsidR="00955160" w:rsidRDefault="00955160">
      <w:pPr>
        <w:rPr>
          <w:rFonts w:ascii="Book Antiqua" w:hAnsi="Book Antiqua"/>
        </w:rPr>
      </w:pPr>
    </w:p>
    <w:p w14:paraId="3C3BC9A3" w14:textId="77777777" w:rsidR="00917602" w:rsidRDefault="00917602">
      <w:pPr>
        <w:rPr>
          <w:rFonts w:ascii="Book Antiqua" w:hAnsi="Book Antiqua"/>
        </w:rPr>
      </w:pPr>
    </w:p>
    <w:p w14:paraId="5E816A5C" w14:textId="77777777" w:rsidR="00955160" w:rsidRPr="00955160" w:rsidRDefault="00955160">
      <w:pPr>
        <w:rPr>
          <w:rFonts w:ascii="Lucida Calligraphy" w:hAnsi="Lucida Calligraphy"/>
        </w:rPr>
      </w:pPr>
      <w:r>
        <w:rPr>
          <w:rFonts w:ascii="Lucida Calligraphy" w:hAnsi="Lucida Calligraphy"/>
        </w:rPr>
        <w:t>Rebecca Chapman</w:t>
      </w:r>
    </w:p>
    <w:p w14:paraId="3C5E7251" w14:textId="77777777" w:rsidR="00955160" w:rsidRDefault="00955160">
      <w:pPr>
        <w:rPr>
          <w:rFonts w:ascii="Book Antiqua" w:hAnsi="Book Antiqua"/>
        </w:rPr>
      </w:pPr>
      <w:r>
        <w:rPr>
          <w:rFonts w:ascii="Book Antiqua" w:hAnsi="Book Antiqua"/>
        </w:rPr>
        <w:t>Deputy Upper Tribunal Judge Chapman</w:t>
      </w:r>
    </w:p>
    <w:p w14:paraId="0E544FF7" w14:textId="77777777" w:rsidR="00955160" w:rsidRDefault="00955160">
      <w:pPr>
        <w:rPr>
          <w:rFonts w:ascii="Book Antiqua" w:hAnsi="Book Antiqua"/>
        </w:rPr>
      </w:pPr>
    </w:p>
    <w:p w14:paraId="538C7598" w14:textId="77777777" w:rsidR="00456DB8" w:rsidRPr="00D93E03" w:rsidRDefault="00955160">
      <w:pPr>
        <w:rPr>
          <w:rFonts w:ascii="Book Antiqua" w:hAnsi="Book Antiqua"/>
        </w:rPr>
      </w:pPr>
      <w:r>
        <w:rPr>
          <w:rFonts w:ascii="Book Antiqua" w:hAnsi="Book Antiqua"/>
        </w:rPr>
        <w:t>17 June 2018</w:t>
      </w:r>
    </w:p>
    <w:sectPr w:rsidR="00456DB8" w:rsidRPr="00D93E03" w:rsidSect="00BE2A35">
      <w:headerReference w:type="default" r:id="rId7"/>
      <w:footerReference w:type="even" r:id="rId8"/>
      <w:footerReference w:type="default" r:id="rId9"/>
      <w:footerReference w:type="first" r:id="rId10"/>
      <w:pgSz w:w="11900" w:h="16840"/>
      <w:pgMar w:top="1418" w:right="1531" w:bottom="1418" w:left="153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B0B4" w14:textId="77777777" w:rsidR="00413265" w:rsidRDefault="00413265">
      <w:r>
        <w:separator/>
      </w:r>
    </w:p>
  </w:endnote>
  <w:endnote w:type="continuationSeparator" w:id="0">
    <w:p w14:paraId="13F5DC3F" w14:textId="77777777" w:rsidR="00413265" w:rsidRDefault="00413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7F21" w14:textId="77777777" w:rsidR="008E1788" w:rsidRDefault="008E1788" w:rsidP="00456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DC012F" w14:textId="77777777" w:rsidR="008E1788" w:rsidRDefault="008E1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335813500"/>
      <w:docPartObj>
        <w:docPartGallery w:val="Page Numbers (Bottom of Page)"/>
        <w:docPartUnique/>
      </w:docPartObj>
    </w:sdtPr>
    <w:sdtEndPr>
      <w:rPr>
        <w:noProof/>
      </w:rPr>
    </w:sdtEndPr>
    <w:sdtContent>
      <w:p w14:paraId="6964EC8A" w14:textId="6BEC8A32" w:rsidR="00A15EE9" w:rsidRPr="00917602" w:rsidRDefault="00A15EE9">
        <w:pPr>
          <w:pStyle w:val="Footer"/>
          <w:jc w:val="center"/>
          <w:rPr>
            <w:rFonts w:ascii="Book Antiqua" w:hAnsi="Book Antiqua"/>
            <w:sz w:val="20"/>
            <w:szCs w:val="20"/>
          </w:rPr>
        </w:pPr>
        <w:r w:rsidRPr="00917602">
          <w:rPr>
            <w:rFonts w:ascii="Book Antiqua" w:hAnsi="Book Antiqua"/>
            <w:sz w:val="20"/>
            <w:szCs w:val="20"/>
          </w:rPr>
          <w:fldChar w:fldCharType="begin"/>
        </w:r>
        <w:r w:rsidRPr="00917602">
          <w:rPr>
            <w:rFonts w:ascii="Book Antiqua" w:hAnsi="Book Antiqua"/>
            <w:sz w:val="20"/>
            <w:szCs w:val="20"/>
          </w:rPr>
          <w:instrText xml:space="preserve"> PAGE   \* MERGEFORMAT </w:instrText>
        </w:r>
        <w:r w:rsidRPr="00917602">
          <w:rPr>
            <w:rFonts w:ascii="Book Antiqua" w:hAnsi="Book Antiqua"/>
            <w:sz w:val="20"/>
            <w:szCs w:val="20"/>
          </w:rPr>
          <w:fldChar w:fldCharType="separate"/>
        </w:r>
        <w:r w:rsidR="00135A3E">
          <w:rPr>
            <w:rFonts w:ascii="Book Antiqua" w:hAnsi="Book Antiqua"/>
            <w:noProof/>
            <w:sz w:val="20"/>
            <w:szCs w:val="20"/>
          </w:rPr>
          <w:t>6</w:t>
        </w:r>
        <w:r w:rsidRPr="00917602">
          <w:rPr>
            <w:rFonts w:ascii="Book Antiqua" w:hAnsi="Book Antiqua"/>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1C758" w14:textId="77777777" w:rsidR="00A15EE9" w:rsidRPr="00917602" w:rsidRDefault="00A15EE9" w:rsidP="00A15EE9">
    <w:pPr>
      <w:pStyle w:val="Footer"/>
      <w:jc w:val="center"/>
      <w:rPr>
        <w:rFonts w:ascii="Book Antiqua" w:hAnsi="Book Antiqua"/>
        <w:b/>
      </w:rPr>
    </w:pPr>
    <w:r w:rsidRPr="00917602">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70104" w14:textId="77777777" w:rsidR="00413265" w:rsidRDefault="00413265">
      <w:r>
        <w:separator/>
      </w:r>
    </w:p>
  </w:footnote>
  <w:footnote w:type="continuationSeparator" w:id="0">
    <w:p w14:paraId="72503028" w14:textId="77777777" w:rsidR="00413265" w:rsidRDefault="00413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A7578" w14:textId="77777777" w:rsidR="00A15EE9" w:rsidRPr="00917602" w:rsidRDefault="00A15EE9" w:rsidP="00A15EE9">
    <w:pPr>
      <w:pStyle w:val="Header"/>
      <w:jc w:val="right"/>
      <w:rPr>
        <w:rFonts w:ascii="Book Antiqua" w:hAnsi="Book Antiqua"/>
        <w:sz w:val="20"/>
        <w:szCs w:val="20"/>
      </w:rPr>
    </w:pPr>
    <w:r w:rsidRPr="00917602">
      <w:rPr>
        <w:rFonts w:ascii="Book Antiqua" w:hAnsi="Book Antiqua"/>
        <w:sz w:val="20"/>
        <w:szCs w:val="20"/>
      </w:rPr>
      <w:t>PA/05904/2017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09"/>
    <w:rsid w:val="000E3097"/>
    <w:rsid w:val="000E5482"/>
    <w:rsid w:val="00135A3E"/>
    <w:rsid w:val="001A421B"/>
    <w:rsid w:val="003E2537"/>
    <w:rsid w:val="00413265"/>
    <w:rsid w:val="00456DB8"/>
    <w:rsid w:val="00606795"/>
    <w:rsid w:val="00653C9F"/>
    <w:rsid w:val="007B1DDA"/>
    <w:rsid w:val="007C1E68"/>
    <w:rsid w:val="007D2CBB"/>
    <w:rsid w:val="00842598"/>
    <w:rsid w:val="008C2603"/>
    <w:rsid w:val="008E1788"/>
    <w:rsid w:val="00917602"/>
    <w:rsid w:val="00955160"/>
    <w:rsid w:val="0099311D"/>
    <w:rsid w:val="00A15EE9"/>
    <w:rsid w:val="00A77509"/>
    <w:rsid w:val="00B975F3"/>
    <w:rsid w:val="00BE2A35"/>
    <w:rsid w:val="00D30F3F"/>
    <w:rsid w:val="00D93E03"/>
    <w:rsid w:val="00DB0D96"/>
    <w:rsid w:val="00EC7447"/>
    <w:rsid w:val="00F13E1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3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509"/>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DB8"/>
    <w:pPr>
      <w:tabs>
        <w:tab w:val="center" w:pos="4320"/>
        <w:tab w:val="right" w:pos="8640"/>
      </w:tabs>
    </w:pPr>
  </w:style>
  <w:style w:type="character" w:customStyle="1" w:styleId="FooterChar">
    <w:name w:val="Footer Char"/>
    <w:basedOn w:val="DefaultParagraphFont"/>
    <w:link w:val="Footer"/>
    <w:uiPriority w:val="99"/>
    <w:rsid w:val="00456DB8"/>
    <w:rPr>
      <w:rFonts w:ascii="Cambria" w:eastAsia="Cambria" w:hAnsi="Cambria" w:cs="Times New Roman"/>
    </w:rPr>
  </w:style>
  <w:style w:type="character" w:styleId="PageNumber">
    <w:name w:val="page number"/>
    <w:basedOn w:val="DefaultParagraphFont"/>
    <w:uiPriority w:val="99"/>
    <w:semiHidden/>
    <w:unhideWhenUsed/>
    <w:rsid w:val="00456DB8"/>
  </w:style>
  <w:style w:type="paragraph" w:styleId="NormalWeb">
    <w:name w:val="Normal (Web)"/>
    <w:basedOn w:val="Normal"/>
    <w:uiPriority w:val="99"/>
    <w:rsid w:val="008C2603"/>
    <w:pPr>
      <w:spacing w:beforeLines="1" w:afterLines="1"/>
    </w:pPr>
    <w:rPr>
      <w:rFonts w:ascii="Times" w:eastAsiaTheme="minorHAnsi" w:hAnsi="Times"/>
      <w:sz w:val="20"/>
      <w:szCs w:val="20"/>
      <w:lang w:val="en-GB"/>
    </w:rPr>
  </w:style>
  <w:style w:type="character" w:customStyle="1" w:styleId="apple-converted-space">
    <w:name w:val="apple-converted-space"/>
    <w:basedOn w:val="DefaultParagraphFont"/>
    <w:rsid w:val="008C2603"/>
  </w:style>
  <w:style w:type="paragraph" w:styleId="Header">
    <w:name w:val="header"/>
    <w:basedOn w:val="Normal"/>
    <w:link w:val="HeaderChar"/>
    <w:uiPriority w:val="99"/>
    <w:unhideWhenUsed/>
    <w:rsid w:val="00A15EE9"/>
    <w:pPr>
      <w:tabs>
        <w:tab w:val="center" w:pos="4513"/>
        <w:tab w:val="right" w:pos="9026"/>
      </w:tabs>
    </w:pPr>
  </w:style>
  <w:style w:type="character" w:customStyle="1" w:styleId="HeaderChar">
    <w:name w:val="Header Char"/>
    <w:basedOn w:val="DefaultParagraphFont"/>
    <w:link w:val="Header"/>
    <w:uiPriority w:val="99"/>
    <w:rsid w:val="00A15EE9"/>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30754">
      <w:bodyDiv w:val="1"/>
      <w:marLeft w:val="0"/>
      <w:marRight w:val="0"/>
      <w:marTop w:val="0"/>
      <w:marBottom w:val="0"/>
      <w:divBdr>
        <w:top w:val="none" w:sz="0" w:space="0" w:color="auto"/>
        <w:left w:val="none" w:sz="0" w:space="0" w:color="auto"/>
        <w:bottom w:val="none" w:sz="0" w:space="0" w:color="auto"/>
        <w:right w:val="none" w:sz="0" w:space="0" w:color="auto"/>
      </w:divBdr>
    </w:div>
    <w:div w:id="643588526">
      <w:bodyDiv w:val="1"/>
      <w:marLeft w:val="0"/>
      <w:marRight w:val="0"/>
      <w:marTop w:val="0"/>
      <w:marBottom w:val="0"/>
      <w:divBdr>
        <w:top w:val="none" w:sz="0" w:space="0" w:color="auto"/>
        <w:left w:val="none" w:sz="0" w:space="0" w:color="auto"/>
        <w:bottom w:val="none" w:sz="0" w:space="0" w:color="auto"/>
        <w:right w:val="none" w:sz="0" w:space="0" w:color="auto"/>
      </w:divBdr>
    </w:div>
    <w:div w:id="1502701652">
      <w:bodyDiv w:val="1"/>
      <w:marLeft w:val="0"/>
      <w:marRight w:val="0"/>
      <w:marTop w:val="0"/>
      <w:marBottom w:val="0"/>
      <w:divBdr>
        <w:top w:val="none" w:sz="0" w:space="0" w:color="auto"/>
        <w:left w:val="none" w:sz="0" w:space="0" w:color="auto"/>
        <w:bottom w:val="none" w:sz="0" w:space="0" w:color="auto"/>
        <w:right w:val="none" w:sz="0" w:space="0" w:color="auto"/>
      </w:divBdr>
      <w:divsChild>
        <w:div w:id="1937522054">
          <w:marLeft w:val="0"/>
          <w:marRight w:val="0"/>
          <w:marTop w:val="0"/>
          <w:marBottom w:val="0"/>
          <w:divBdr>
            <w:top w:val="none" w:sz="0" w:space="0" w:color="auto"/>
            <w:left w:val="none" w:sz="0" w:space="0" w:color="auto"/>
            <w:bottom w:val="none" w:sz="0" w:space="0" w:color="auto"/>
            <w:right w:val="none" w:sz="0" w:space="0" w:color="auto"/>
          </w:divBdr>
          <w:divsChild>
            <w:div w:id="229536749">
              <w:marLeft w:val="0"/>
              <w:marRight w:val="0"/>
              <w:marTop w:val="0"/>
              <w:marBottom w:val="0"/>
              <w:divBdr>
                <w:top w:val="none" w:sz="0" w:space="0" w:color="auto"/>
                <w:left w:val="none" w:sz="0" w:space="0" w:color="auto"/>
                <w:bottom w:val="none" w:sz="0" w:space="0" w:color="auto"/>
                <w:right w:val="none" w:sz="0" w:space="0" w:color="auto"/>
              </w:divBdr>
              <w:divsChild>
                <w:div w:id="15250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2269</Words>
  <Characters>12935</Characters>
  <Application>Microsoft Office Word</Application>
  <DocSecurity>0</DocSecurity>
  <Lines>107</Lines>
  <Paragraphs>30</Paragraphs>
  <ScaleCrop>false</ScaleCrop>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2018-07-13T11:00:00Z</dcterms:created>
  <dcterms:modified xsi:type="dcterms:W3CDTF">2018-07-13T11:00:00Z</dcterms:modified>
</cp:coreProperties>
</file>