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84B" w14:textId="77777777" w:rsidR="008A6059" w:rsidRPr="00401514" w:rsidRDefault="00BF642F" w:rsidP="00401514">
      <w:pPr>
        <w:jc w:val="center"/>
        <w:rPr>
          <w:rFonts w:ascii="Book Antiqua" w:hAnsi="Book Antiqua" w:cs="Arial"/>
          <w:caps/>
          <w:color w:val="000000"/>
          <w:sz w:val="16"/>
          <w:szCs w:val="16"/>
        </w:rPr>
      </w:pPr>
      <w:r w:rsidRPr="00401514">
        <w:rPr>
          <w:rFonts w:ascii="Book Antiqua" w:hAnsi="Book Antiqua"/>
          <w:noProof/>
          <w:sz w:val="16"/>
          <w:szCs w:val="16"/>
        </w:rPr>
        <w:drawing>
          <wp:inline distT="0" distB="0" distL="0" distR="0" wp14:anchorId="29AB7291" wp14:editId="3156FF6A">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303C4C4" w14:textId="77777777" w:rsidR="00D94AFC" w:rsidRPr="00401514" w:rsidRDefault="00D94AFC" w:rsidP="00401514">
      <w:pPr>
        <w:rPr>
          <w:rFonts w:ascii="Book Antiqua" w:hAnsi="Book Antiqua" w:cs="Arial"/>
          <w:color w:val="000000"/>
          <w:sz w:val="16"/>
          <w:szCs w:val="16"/>
        </w:rPr>
      </w:pPr>
    </w:p>
    <w:p w14:paraId="32A07117" w14:textId="5D905F4F" w:rsidR="008A6059" w:rsidRPr="00401514" w:rsidRDefault="007A09D1" w:rsidP="00401514">
      <w:pPr>
        <w:rPr>
          <w:rFonts w:ascii="Book Antiqua" w:hAnsi="Book Antiqua" w:cs="Arial"/>
          <w:b/>
          <w:color w:val="000000"/>
        </w:rPr>
      </w:pPr>
      <w:r w:rsidRPr="00401514">
        <w:rPr>
          <w:rFonts w:ascii="Book Antiqua" w:hAnsi="Book Antiqua" w:cs="Arial"/>
          <w:b/>
          <w:color w:val="000000"/>
        </w:rPr>
        <w:t>Upper Tribunal</w:t>
      </w:r>
    </w:p>
    <w:p w14:paraId="501F49AF" w14:textId="6E45A74C" w:rsidR="007B0824" w:rsidRPr="00401514" w:rsidRDefault="008A6059" w:rsidP="00401514">
      <w:pPr>
        <w:tabs>
          <w:tab w:val="right" w:pos="9638"/>
        </w:tabs>
        <w:rPr>
          <w:rFonts w:ascii="Book Antiqua" w:hAnsi="Book Antiqua" w:cs="Arial"/>
          <w:color w:val="000000"/>
        </w:rPr>
      </w:pPr>
      <w:r w:rsidRPr="00401514">
        <w:rPr>
          <w:rFonts w:ascii="Book Antiqua" w:hAnsi="Book Antiqua" w:cs="Arial"/>
          <w:b/>
          <w:color w:val="000000"/>
        </w:rPr>
        <w:t>(Immigration and Asylum Chamber)</w:t>
      </w:r>
      <w:r w:rsidR="00DB70AE" w:rsidRPr="00401514">
        <w:rPr>
          <w:rFonts w:ascii="Book Antiqua" w:hAnsi="Book Antiqua" w:cs="Arial"/>
          <w:b/>
          <w:color w:val="000000"/>
        </w:rPr>
        <w:tab/>
      </w:r>
      <w:r w:rsidR="00B3524D" w:rsidRPr="00401514">
        <w:rPr>
          <w:rFonts w:ascii="Book Antiqua" w:hAnsi="Book Antiqua" w:cs="Arial"/>
          <w:color w:val="000000"/>
        </w:rPr>
        <w:t>Appeal Number</w:t>
      </w:r>
      <w:r w:rsidR="00D53769" w:rsidRPr="00401514">
        <w:rPr>
          <w:rFonts w:ascii="Book Antiqua" w:hAnsi="Book Antiqua" w:cs="Arial"/>
          <w:color w:val="000000"/>
        </w:rPr>
        <w:t>:</w:t>
      </w:r>
      <w:r w:rsidR="00B3524D" w:rsidRPr="00401514">
        <w:rPr>
          <w:rFonts w:ascii="Book Antiqua" w:hAnsi="Book Antiqua" w:cs="Arial"/>
          <w:color w:val="000000"/>
        </w:rPr>
        <w:t xml:space="preserve"> </w:t>
      </w:r>
      <w:bookmarkStart w:id="0" w:name="_GoBack"/>
      <w:r w:rsidR="00571B86" w:rsidRPr="00401514">
        <w:rPr>
          <w:rFonts w:ascii="Book Antiqua" w:hAnsi="Book Antiqua" w:cs="Arial"/>
          <w:caps/>
          <w:color w:val="000000"/>
        </w:rPr>
        <w:t>PA/05931</w:t>
      </w:r>
      <w:r w:rsidR="00990A9B" w:rsidRPr="00401514">
        <w:rPr>
          <w:rFonts w:ascii="Book Antiqua" w:hAnsi="Book Antiqua" w:cs="Arial"/>
          <w:caps/>
          <w:color w:val="000000"/>
        </w:rPr>
        <w:t>/201</w:t>
      </w:r>
      <w:r w:rsidR="00571B86" w:rsidRPr="00401514">
        <w:rPr>
          <w:rFonts w:ascii="Book Antiqua" w:hAnsi="Book Antiqua" w:cs="Arial"/>
          <w:caps/>
          <w:color w:val="000000"/>
        </w:rPr>
        <w:t>8</w:t>
      </w:r>
      <w:bookmarkEnd w:id="0"/>
    </w:p>
    <w:p w14:paraId="5B5A9F9B" w14:textId="77777777" w:rsidR="00C345E1" w:rsidRPr="00401514" w:rsidRDefault="00C345E1" w:rsidP="00401514">
      <w:pPr>
        <w:jc w:val="center"/>
        <w:rPr>
          <w:rFonts w:ascii="Book Antiqua" w:hAnsi="Book Antiqua" w:cs="Arial"/>
          <w:color w:val="000000"/>
        </w:rPr>
      </w:pPr>
    </w:p>
    <w:p w14:paraId="3EA9DFC4" w14:textId="77777777" w:rsidR="00C345E1" w:rsidRPr="00401514" w:rsidRDefault="00C345E1" w:rsidP="00401514">
      <w:pPr>
        <w:jc w:val="center"/>
        <w:rPr>
          <w:rFonts w:ascii="Book Antiqua" w:hAnsi="Book Antiqua" w:cs="Arial"/>
          <w:color w:val="000000"/>
        </w:rPr>
      </w:pPr>
    </w:p>
    <w:p w14:paraId="15FA2F9B" w14:textId="124A71E6" w:rsidR="00C345E1" w:rsidRPr="00401514" w:rsidRDefault="00C8354A" w:rsidP="00401514">
      <w:pPr>
        <w:jc w:val="center"/>
        <w:rPr>
          <w:rFonts w:ascii="Book Antiqua" w:hAnsi="Book Antiqua" w:cs="Arial"/>
          <w:b/>
          <w:color w:val="000000"/>
          <w:u w:val="single"/>
        </w:rPr>
      </w:pPr>
      <w:r w:rsidRPr="00401514">
        <w:rPr>
          <w:rFonts w:ascii="Book Antiqua" w:hAnsi="Book Antiqua" w:cs="Arial"/>
          <w:b/>
          <w:color w:val="000000"/>
          <w:u w:val="single"/>
        </w:rPr>
        <w:t>THE IMMIGRATION ACTS</w:t>
      </w:r>
    </w:p>
    <w:p w14:paraId="3A011923" w14:textId="77777777" w:rsidR="00C345E1" w:rsidRPr="00401514" w:rsidRDefault="00C345E1" w:rsidP="00401514">
      <w:pPr>
        <w:jc w:val="center"/>
        <w:rPr>
          <w:rFonts w:ascii="Book Antiqua" w:hAnsi="Book Antiqua" w:cs="Arial"/>
          <w:b/>
          <w:u w:val="single"/>
        </w:rPr>
      </w:pPr>
    </w:p>
    <w:p w14:paraId="572E26A9" w14:textId="77777777" w:rsidR="00C345E1" w:rsidRPr="00401514" w:rsidRDefault="00C345E1" w:rsidP="00401514">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401514" w14:paraId="22483CB9" w14:textId="77777777" w:rsidTr="00401514">
        <w:tc>
          <w:tcPr>
            <w:tcW w:w="2500" w:type="pct"/>
            <w:shd w:val="clear" w:color="auto" w:fill="auto"/>
          </w:tcPr>
          <w:p w14:paraId="208DFE28" w14:textId="5376E44D" w:rsidR="00D22636" w:rsidRPr="00401514" w:rsidRDefault="00D22636" w:rsidP="00401514">
            <w:pPr>
              <w:jc w:val="both"/>
              <w:rPr>
                <w:rFonts w:ascii="Book Antiqua" w:hAnsi="Book Antiqua" w:cs="Arial"/>
                <w:b/>
              </w:rPr>
            </w:pPr>
            <w:r w:rsidRPr="00401514">
              <w:rPr>
                <w:rFonts w:ascii="Book Antiqua" w:hAnsi="Book Antiqua" w:cs="Arial"/>
                <w:b/>
              </w:rPr>
              <w:t xml:space="preserve">Heard at </w:t>
            </w:r>
            <w:r w:rsidR="00571B86" w:rsidRPr="00401514">
              <w:rPr>
                <w:rFonts w:ascii="Book Antiqua" w:hAnsi="Book Antiqua" w:cs="Arial"/>
                <w:b/>
              </w:rPr>
              <w:t>Field House</w:t>
            </w:r>
          </w:p>
        </w:tc>
        <w:tc>
          <w:tcPr>
            <w:tcW w:w="2500" w:type="pct"/>
            <w:shd w:val="clear" w:color="auto" w:fill="auto"/>
          </w:tcPr>
          <w:p w14:paraId="025C196E" w14:textId="746213BD" w:rsidR="00D22636" w:rsidRPr="00401514" w:rsidRDefault="00506E33" w:rsidP="00401514">
            <w:pPr>
              <w:jc w:val="right"/>
              <w:rPr>
                <w:rFonts w:ascii="Book Antiqua" w:hAnsi="Book Antiqua" w:cs="Arial"/>
                <w:b/>
                <w:color w:val="000000"/>
              </w:rPr>
            </w:pPr>
            <w:r w:rsidRPr="00401514">
              <w:rPr>
                <w:rFonts w:ascii="Book Antiqua" w:hAnsi="Book Antiqua" w:cs="Arial"/>
                <w:b/>
                <w:color w:val="000000"/>
              </w:rPr>
              <w:t>Decisions</w:t>
            </w:r>
            <w:r w:rsidR="00571B86" w:rsidRPr="00401514">
              <w:rPr>
                <w:rFonts w:ascii="Book Antiqua" w:hAnsi="Book Antiqua" w:cs="Arial"/>
                <w:b/>
                <w:color w:val="000000"/>
              </w:rPr>
              <w:t xml:space="preserve"> </w:t>
            </w:r>
            <w:r w:rsidR="00D949B7" w:rsidRPr="00401514">
              <w:rPr>
                <w:rFonts w:ascii="Book Antiqua" w:hAnsi="Book Antiqua" w:cs="Arial"/>
                <w:b/>
                <w:color w:val="000000"/>
              </w:rPr>
              <w:t>&amp; Reasons</w:t>
            </w:r>
            <w:r w:rsidR="009B1796" w:rsidRPr="00401514">
              <w:rPr>
                <w:rFonts w:ascii="Book Antiqua" w:hAnsi="Book Antiqua" w:cs="Arial"/>
                <w:b/>
                <w:color w:val="000000"/>
              </w:rPr>
              <w:t xml:space="preserve"> </w:t>
            </w:r>
            <w:r w:rsidR="00897A77" w:rsidRPr="00401514">
              <w:rPr>
                <w:rFonts w:ascii="Book Antiqua" w:hAnsi="Book Antiqua" w:cs="Arial"/>
                <w:b/>
                <w:color w:val="000000"/>
              </w:rPr>
              <w:t>Promulgated</w:t>
            </w:r>
          </w:p>
        </w:tc>
      </w:tr>
      <w:tr w:rsidR="00D22636" w:rsidRPr="00401514" w14:paraId="4F1C4533" w14:textId="77777777" w:rsidTr="00401514">
        <w:tc>
          <w:tcPr>
            <w:tcW w:w="2500" w:type="pct"/>
            <w:shd w:val="clear" w:color="auto" w:fill="auto"/>
          </w:tcPr>
          <w:p w14:paraId="484E3BAF" w14:textId="3A1B5750" w:rsidR="00D22636" w:rsidRPr="00401514" w:rsidRDefault="00D22636" w:rsidP="00401514">
            <w:pPr>
              <w:jc w:val="both"/>
              <w:rPr>
                <w:rFonts w:ascii="Book Antiqua" w:hAnsi="Book Antiqua" w:cs="Arial"/>
                <w:b/>
              </w:rPr>
            </w:pPr>
            <w:r w:rsidRPr="00401514">
              <w:rPr>
                <w:rFonts w:ascii="Book Antiqua" w:hAnsi="Book Antiqua" w:cs="Arial"/>
                <w:b/>
              </w:rPr>
              <w:t xml:space="preserve">On </w:t>
            </w:r>
            <w:r w:rsidR="00571B86" w:rsidRPr="00401514">
              <w:rPr>
                <w:rFonts w:ascii="Book Antiqua" w:hAnsi="Book Antiqua" w:cs="Arial"/>
                <w:b/>
              </w:rPr>
              <w:t>6 June 2019</w:t>
            </w:r>
          </w:p>
        </w:tc>
        <w:tc>
          <w:tcPr>
            <w:tcW w:w="2500" w:type="pct"/>
            <w:shd w:val="clear" w:color="auto" w:fill="auto"/>
          </w:tcPr>
          <w:p w14:paraId="7C547513" w14:textId="22CB6471" w:rsidR="00D22636" w:rsidRPr="00401514" w:rsidRDefault="00EC6DC8" w:rsidP="00401514">
            <w:pPr>
              <w:jc w:val="right"/>
              <w:rPr>
                <w:rFonts w:ascii="Book Antiqua" w:hAnsi="Book Antiqua" w:cs="Arial"/>
                <w:b/>
              </w:rPr>
            </w:pPr>
            <w:r w:rsidRPr="00401514">
              <w:rPr>
                <w:rFonts w:ascii="Book Antiqua" w:hAnsi="Book Antiqua" w:cs="Arial"/>
                <w:b/>
              </w:rPr>
              <w:t>On 7 October 2019</w:t>
            </w:r>
          </w:p>
        </w:tc>
      </w:tr>
      <w:tr w:rsidR="00D22636" w:rsidRPr="00401514" w14:paraId="7835AD8D" w14:textId="77777777" w:rsidTr="00401514">
        <w:tc>
          <w:tcPr>
            <w:tcW w:w="2500" w:type="pct"/>
            <w:shd w:val="clear" w:color="auto" w:fill="auto"/>
          </w:tcPr>
          <w:p w14:paraId="0A979391" w14:textId="77777777" w:rsidR="00D22636" w:rsidRPr="00401514" w:rsidRDefault="00D22636" w:rsidP="00401514">
            <w:pPr>
              <w:jc w:val="both"/>
              <w:rPr>
                <w:rFonts w:ascii="Book Antiqua" w:hAnsi="Book Antiqua" w:cs="Arial"/>
                <w:b/>
              </w:rPr>
            </w:pPr>
          </w:p>
        </w:tc>
        <w:tc>
          <w:tcPr>
            <w:tcW w:w="2500" w:type="pct"/>
            <w:shd w:val="clear" w:color="auto" w:fill="auto"/>
          </w:tcPr>
          <w:p w14:paraId="7404D393" w14:textId="46CDDA18" w:rsidR="00D22636" w:rsidRPr="00401514" w:rsidRDefault="00D22636" w:rsidP="00401514">
            <w:pPr>
              <w:jc w:val="right"/>
              <w:rPr>
                <w:rFonts w:ascii="Book Antiqua" w:hAnsi="Book Antiqua" w:cs="Arial"/>
                <w:b/>
              </w:rPr>
            </w:pPr>
          </w:p>
        </w:tc>
      </w:tr>
    </w:tbl>
    <w:p w14:paraId="1EB1290D" w14:textId="77777777" w:rsidR="00A15234" w:rsidRPr="00401514" w:rsidRDefault="00A15234" w:rsidP="00401514">
      <w:pPr>
        <w:jc w:val="center"/>
        <w:rPr>
          <w:rFonts w:ascii="Book Antiqua" w:hAnsi="Book Antiqua" w:cs="Arial"/>
        </w:rPr>
      </w:pPr>
    </w:p>
    <w:p w14:paraId="0D80A38E" w14:textId="77777777" w:rsidR="00A15234" w:rsidRPr="00401514" w:rsidRDefault="00207617" w:rsidP="00401514">
      <w:pPr>
        <w:jc w:val="center"/>
        <w:rPr>
          <w:rFonts w:ascii="Book Antiqua" w:hAnsi="Book Antiqua" w:cs="Arial"/>
          <w:b/>
        </w:rPr>
      </w:pPr>
      <w:r w:rsidRPr="00401514">
        <w:rPr>
          <w:rFonts w:ascii="Book Antiqua" w:hAnsi="Book Antiqua" w:cs="Arial"/>
          <w:b/>
        </w:rPr>
        <w:t>Befo</w:t>
      </w:r>
      <w:r w:rsidR="00A15234" w:rsidRPr="00401514">
        <w:rPr>
          <w:rFonts w:ascii="Book Antiqua" w:hAnsi="Book Antiqua" w:cs="Arial"/>
          <w:b/>
        </w:rPr>
        <w:t>re</w:t>
      </w:r>
    </w:p>
    <w:p w14:paraId="1B0F2B2C" w14:textId="77777777" w:rsidR="00A15234" w:rsidRPr="00401514" w:rsidRDefault="00A15234" w:rsidP="00401514">
      <w:pPr>
        <w:jc w:val="center"/>
        <w:rPr>
          <w:rFonts w:ascii="Book Antiqua" w:hAnsi="Book Antiqua" w:cs="Arial"/>
          <w:b/>
        </w:rPr>
      </w:pPr>
    </w:p>
    <w:p w14:paraId="2FF7ED62" w14:textId="1F801AFC" w:rsidR="004A2D15" w:rsidRPr="00401514" w:rsidRDefault="00342DE4" w:rsidP="00401514">
      <w:pPr>
        <w:jc w:val="center"/>
        <w:rPr>
          <w:rFonts w:ascii="Book Antiqua" w:hAnsi="Book Antiqua" w:cs="Arial"/>
          <w:b/>
          <w:color w:val="000000"/>
        </w:rPr>
      </w:pPr>
      <w:r w:rsidRPr="00401514">
        <w:rPr>
          <w:rFonts w:ascii="Book Antiqua" w:hAnsi="Book Antiqua" w:cs="Arial"/>
          <w:b/>
          <w:color w:val="000000"/>
        </w:rPr>
        <w:t>MR C</w:t>
      </w:r>
      <w:r w:rsidR="00990A9B" w:rsidRPr="00401514">
        <w:rPr>
          <w:rFonts w:ascii="Book Antiqua" w:hAnsi="Book Antiqua" w:cs="Arial"/>
          <w:b/>
          <w:color w:val="000000"/>
        </w:rPr>
        <w:t>.</w:t>
      </w:r>
      <w:r w:rsidRPr="00401514">
        <w:rPr>
          <w:rFonts w:ascii="Book Antiqua" w:hAnsi="Book Antiqua" w:cs="Arial"/>
          <w:b/>
          <w:color w:val="000000"/>
        </w:rPr>
        <w:t xml:space="preserve"> M</w:t>
      </w:r>
      <w:r w:rsidR="00990A9B" w:rsidRPr="00401514">
        <w:rPr>
          <w:rFonts w:ascii="Book Antiqua" w:hAnsi="Book Antiqua" w:cs="Arial"/>
          <w:b/>
          <w:color w:val="000000"/>
        </w:rPr>
        <w:t>.</w:t>
      </w:r>
      <w:r w:rsidRPr="00401514">
        <w:rPr>
          <w:rFonts w:ascii="Book Antiqua" w:hAnsi="Book Antiqua" w:cs="Arial"/>
          <w:b/>
          <w:color w:val="000000"/>
        </w:rPr>
        <w:t xml:space="preserve"> G</w:t>
      </w:r>
      <w:r w:rsidR="00990A9B" w:rsidRPr="00401514">
        <w:rPr>
          <w:rFonts w:ascii="Book Antiqua" w:hAnsi="Book Antiqua" w:cs="Arial"/>
          <w:b/>
          <w:color w:val="000000"/>
        </w:rPr>
        <w:t>.</w:t>
      </w:r>
      <w:r w:rsidRPr="00401514">
        <w:rPr>
          <w:rFonts w:ascii="Book Antiqua" w:hAnsi="Book Antiqua" w:cs="Arial"/>
          <w:b/>
          <w:color w:val="000000"/>
        </w:rPr>
        <w:t xml:space="preserve"> OCKELTON, VICE PRESIDENT</w:t>
      </w:r>
    </w:p>
    <w:p w14:paraId="1097EE59" w14:textId="5CCFF241" w:rsidR="00571B86" w:rsidRPr="00401514" w:rsidRDefault="00571B86" w:rsidP="00401514">
      <w:pPr>
        <w:jc w:val="center"/>
        <w:rPr>
          <w:rFonts w:ascii="Book Antiqua" w:hAnsi="Book Antiqua" w:cs="Arial"/>
          <w:b/>
          <w:color w:val="000000"/>
        </w:rPr>
      </w:pPr>
      <w:r w:rsidRPr="00401514">
        <w:rPr>
          <w:rFonts w:ascii="Book Antiqua" w:hAnsi="Book Antiqua" w:cs="Arial"/>
          <w:b/>
          <w:color w:val="000000"/>
        </w:rPr>
        <w:t>UPPER TRIBUNAL JUDGE O’CONNOR</w:t>
      </w:r>
    </w:p>
    <w:p w14:paraId="555A9D7F" w14:textId="77777777" w:rsidR="00D20757" w:rsidRPr="00401514" w:rsidRDefault="00D20757" w:rsidP="00401514">
      <w:pPr>
        <w:jc w:val="center"/>
        <w:rPr>
          <w:rFonts w:ascii="Book Antiqua" w:hAnsi="Book Antiqua" w:cs="Arial"/>
          <w:b/>
        </w:rPr>
      </w:pPr>
    </w:p>
    <w:p w14:paraId="4897CA6A" w14:textId="77777777" w:rsidR="00401514" w:rsidRDefault="00401514" w:rsidP="00401514">
      <w:pPr>
        <w:jc w:val="center"/>
        <w:rPr>
          <w:rFonts w:ascii="Book Antiqua" w:hAnsi="Book Antiqua" w:cs="Arial"/>
          <w:b/>
        </w:rPr>
      </w:pPr>
    </w:p>
    <w:p w14:paraId="1058E343" w14:textId="588A3172" w:rsidR="00A845DC" w:rsidRPr="00401514" w:rsidRDefault="00A845DC" w:rsidP="00401514">
      <w:pPr>
        <w:jc w:val="center"/>
        <w:rPr>
          <w:rFonts w:ascii="Book Antiqua" w:hAnsi="Book Antiqua" w:cs="Arial"/>
          <w:b/>
        </w:rPr>
      </w:pPr>
      <w:r w:rsidRPr="00401514">
        <w:rPr>
          <w:rFonts w:ascii="Book Antiqua" w:hAnsi="Book Antiqua" w:cs="Arial"/>
          <w:b/>
        </w:rPr>
        <w:t>Between</w:t>
      </w:r>
    </w:p>
    <w:p w14:paraId="3D1337D0" w14:textId="77777777" w:rsidR="00A845DC" w:rsidRPr="00401514" w:rsidRDefault="00A845DC" w:rsidP="00401514">
      <w:pPr>
        <w:jc w:val="center"/>
        <w:rPr>
          <w:rFonts w:ascii="Book Antiqua" w:hAnsi="Book Antiqua" w:cs="Arial"/>
          <w:b/>
        </w:rPr>
      </w:pPr>
    </w:p>
    <w:p w14:paraId="2551026D" w14:textId="5E17CC2B" w:rsidR="00A845DC" w:rsidRPr="00401514" w:rsidRDefault="00571B86" w:rsidP="00401514">
      <w:pPr>
        <w:jc w:val="center"/>
        <w:rPr>
          <w:rFonts w:ascii="Book Antiqua" w:hAnsi="Book Antiqua" w:cs="Arial"/>
          <w:b/>
          <w:caps/>
        </w:rPr>
      </w:pPr>
      <w:r w:rsidRPr="00401514">
        <w:rPr>
          <w:rFonts w:ascii="Book Antiqua" w:hAnsi="Book Antiqua" w:cs="Arial"/>
          <w:b/>
          <w:caps/>
        </w:rPr>
        <w:t xml:space="preserve">the secretary of state for the home department </w:t>
      </w:r>
    </w:p>
    <w:p w14:paraId="5B042B16" w14:textId="77777777" w:rsidR="00704B61" w:rsidRPr="00401514" w:rsidRDefault="00704B61" w:rsidP="00401514">
      <w:pPr>
        <w:jc w:val="right"/>
        <w:rPr>
          <w:rFonts w:ascii="Book Antiqua" w:hAnsi="Book Antiqua" w:cs="Arial"/>
          <w:u w:val="single"/>
        </w:rPr>
      </w:pPr>
      <w:r w:rsidRPr="00401514">
        <w:rPr>
          <w:rFonts w:ascii="Book Antiqua" w:hAnsi="Book Antiqua" w:cs="Arial"/>
          <w:u w:val="single"/>
        </w:rPr>
        <w:t>Appellant</w:t>
      </w:r>
    </w:p>
    <w:p w14:paraId="49F5CAC0" w14:textId="77777777" w:rsidR="00704B61" w:rsidRPr="00401514" w:rsidRDefault="00DD5071" w:rsidP="00401514">
      <w:pPr>
        <w:jc w:val="center"/>
        <w:rPr>
          <w:rFonts w:ascii="Book Antiqua" w:hAnsi="Book Antiqua" w:cs="Arial"/>
          <w:b/>
        </w:rPr>
      </w:pPr>
      <w:r w:rsidRPr="00401514">
        <w:rPr>
          <w:rFonts w:ascii="Book Antiqua" w:hAnsi="Book Antiqua" w:cs="Arial"/>
          <w:b/>
        </w:rPr>
        <w:t>and</w:t>
      </w:r>
    </w:p>
    <w:p w14:paraId="757006D5" w14:textId="77777777" w:rsidR="00DD5071" w:rsidRPr="00401514" w:rsidRDefault="00DD5071" w:rsidP="00401514">
      <w:pPr>
        <w:jc w:val="center"/>
        <w:rPr>
          <w:rFonts w:ascii="Book Antiqua" w:hAnsi="Book Antiqua" w:cs="Arial"/>
          <w:b/>
        </w:rPr>
      </w:pPr>
    </w:p>
    <w:p w14:paraId="65C30679" w14:textId="69ED2D9E" w:rsidR="00DD5071" w:rsidRPr="00401514" w:rsidRDefault="002E6B7F" w:rsidP="00401514">
      <w:pPr>
        <w:jc w:val="center"/>
        <w:rPr>
          <w:rFonts w:ascii="Book Antiqua" w:hAnsi="Book Antiqua" w:cs="Arial"/>
          <w:b/>
        </w:rPr>
      </w:pPr>
      <w:r w:rsidRPr="00401514">
        <w:rPr>
          <w:rFonts w:ascii="Book Antiqua" w:hAnsi="Book Antiqua" w:cs="Arial"/>
          <w:b/>
        </w:rPr>
        <w:t>JENNIFER AGALED TULINGAN</w:t>
      </w:r>
    </w:p>
    <w:p w14:paraId="6CEE29BE" w14:textId="77777777" w:rsidR="00DD5071" w:rsidRPr="00401514" w:rsidRDefault="00DD5071" w:rsidP="00401514">
      <w:pPr>
        <w:jc w:val="right"/>
        <w:rPr>
          <w:rFonts w:ascii="Book Antiqua" w:hAnsi="Book Antiqua" w:cs="Arial"/>
          <w:u w:val="single"/>
        </w:rPr>
      </w:pPr>
      <w:r w:rsidRPr="00401514">
        <w:rPr>
          <w:rFonts w:ascii="Book Antiqua" w:hAnsi="Book Antiqua" w:cs="Arial"/>
          <w:u w:val="single"/>
        </w:rPr>
        <w:t>Respondent</w:t>
      </w:r>
    </w:p>
    <w:p w14:paraId="07C43FCF" w14:textId="77777777" w:rsidR="00DD5071" w:rsidRPr="00401514" w:rsidRDefault="00DD5071" w:rsidP="00401514">
      <w:pPr>
        <w:rPr>
          <w:rFonts w:ascii="Book Antiqua" w:hAnsi="Book Antiqua" w:cs="Arial"/>
          <w:u w:val="single"/>
        </w:rPr>
      </w:pPr>
    </w:p>
    <w:p w14:paraId="0ED09D54" w14:textId="77777777" w:rsidR="00DD5071" w:rsidRPr="00401514" w:rsidRDefault="00DD5071" w:rsidP="00401514">
      <w:pPr>
        <w:rPr>
          <w:rFonts w:ascii="Book Antiqua" w:hAnsi="Book Antiqua" w:cs="Arial"/>
          <w:u w:val="single"/>
        </w:rPr>
      </w:pPr>
    </w:p>
    <w:p w14:paraId="74304AAC" w14:textId="77777777" w:rsidR="00DD5071" w:rsidRPr="00401514" w:rsidRDefault="00DE7DB7" w:rsidP="00401514">
      <w:pPr>
        <w:rPr>
          <w:rFonts w:ascii="Book Antiqua" w:hAnsi="Book Antiqua" w:cs="Arial"/>
        </w:rPr>
      </w:pPr>
      <w:r w:rsidRPr="00401514">
        <w:rPr>
          <w:rFonts w:ascii="Book Antiqua" w:hAnsi="Book Antiqua" w:cs="Arial"/>
          <w:b/>
          <w:u w:val="single"/>
        </w:rPr>
        <w:t>Representation</w:t>
      </w:r>
      <w:r w:rsidRPr="00401514">
        <w:rPr>
          <w:rFonts w:ascii="Book Antiqua" w:hAnsi="Book Antiqua" w:cs="Arial"/>
          <w:b/>
        </w:rPr>
        <w:t>:</w:t>
      </w:r>
    </w:p>
    <w:p w14:paraId="4E055284" w14:textId="142C9956" w:rsidR="00DE7DB7" w:rsidRPr="00401514" w:rsidRDefault="00DE7DB7" w:rsidP="00401514">
      <w:pPr>
        <w:tabs>
          <w:tab w:val="left" w:pos="2552"/>
        </w:tabs>
        <w:rPr>
          <w:rFonts w:ascii="Book Antiqua" w:hAnsi="Book Antiqua" w:cs="Arial"/>
        </w:rPr>
      </w:pPr>
      <w:r w:rsidRPr="00401514">
        <w:rPr>
          <w:rFonts w:ascii="Book Antiqua" w:hAnsi="Book Antiqua" w:cs="Arial"/>
        </w:rPr>
        <w:t>For the Appellant:</w:t>
      </w:r>
      <w:r w:rsidRPr="00401514">
        <w:rPr>
          <w:rFonts w:ascii="Book Antiqua" w:hAnsi="Book Antiqua" w:cs="Arial"/>
        </w:rPr>
        <w:tab/>
      </w:r>
      <w:r w:rsidR="002E6B7F" w:rsidRPr="00401514">
        <w:rPr>
          <w:rFonts w:ascii="Book Antiqua" w:hAnsi="Book Antiqua" w:cs="Arial"/>
        </w:rPr>
        <w:t>Mr D Clarke, Senior Home Office Presenting Officer</w:t>
      </w:r>
      <w:r w:rsidR="003878C2" w:rsidRPr="00401514">
        <w:rPr>
          <w:rFonts w:ascii="Book Antiqua" w:hAnsi="Book Antiqua" w:cs="Arial"/>
        </w:rPr>
        <w:t xml:space="preserve"> </w:t>
      </w:r>
    </w:p>
    <w:p w14:paraId="3D3B6400" w14:textId="2BF048F3" w:rsidR="00990A9B" w:rsidRPr="00401514" w:rsidRDefault="00DE7DB7" w:rsidP="00401514">
      <w:pPr>
        <w:tabs>
          <w:tab w:val="left" w:pos="2552"/>
        </w:tabs>
        <w:rPr>
          <w:rFonts w:ascii="Book Antiqua" w:hAnsi="Book Antiqua" w:cs="Arial"/>
        </w:rPr>
      </w:pPr>
      <w:r w:rsidRPr="00401514">
        <w:rPr>
          <w:rFonts w:ascii="Book Antiqua" w:hAnsi="Book Antiqua" w:cs="Arial"/>
        </w:rPr>
        <w:t>For the Respondent:</w:t>
      </w:r>
      <w:r w:rsidRPr="00401514">
        <w:rPr>
          <w:rFonts w:ascii="Book Antiqua" w:hAnsi="Book Antiqua" w:cs="Arial"/>
        </w:rPr>
        <w:tab/>
      </w:r>
      <w:r w:rsidR="002E6B7F" w:rsidRPr="00401514">
        <w:rPr>
          <w:rFonts w:ascii="Book Antiqua" w:hAnsi="Book Antiqua" w:cs="Arial"/>
        </w:rPr>
        <w:t>Mr G Franco</w:t>
      </w:r>
      <w:r w:rsidR="00990A9B" w:rsidRPr="00401514">
        <w:rPr>
          <w:rFonts w:ascii="Book Antiqua" w:hAnsi="Book Antiqua" w:cs="Arial"/>
        </w:rPr>
        <w:t xml:space="preserve">, </w:t>
      </w:r>
      <w:r w:rsidR="002E6B7F" w:rsidRPr="00401514">
        <w:rPr>
          <w:rFonts w:ascii="Book Antiqua" w:hAnsi="Book Antiqua" w:cs="Arial"/>
        </w:rPr>
        <w:t>instructed by Schneider Goldstein Immigration Law</w:t>
      </w:r>
    </w:p>
    <w:p w14:paraId="2A7829DF" w14:textId="77777777" w:rsidR="00DE7DB7" w:rsidRPr="00401514" w:rsidRDefault="00DE7DB7" w:rsidP="00401514">
      <w:pPr>
        <w:tabs>
          <w:tab w:val="left" w:pos="2520"/>
        </w:tabs>
        <w:jc w:val="center"/>
        <w:rPr>
          <w:rFonts w:ascii="Book Antiqua" w:hAnsi="Book Antiqua" w:cs="Arial"/>
        </w:rPr>
      </w:pPr>
    </w:p>
    <w:p w14:paraId="5EEB09A1" w14:textId="77777777" w:rsidR="00DE7DB7" w:rsidRPr="00401514" w:rsidRDefault="00DE7DB7" w:rsidP="00401514">
      <w:pPr>
        <w:jc w:val="center"/>
        <w:rPr>
          <w:rFonts w:ascii="Book Antiqua" w:hAnsi="Book Antiqua" w:cs="Arial"/>
        </w:rPr>
      </w:pPr>
    </w:p>
    <w:p w14:paraId="79DD5979" w14:textId="77777777" w:rsidR="00402B9E" w:rsidRPr="00401514" w:rsidRDefault="00D949B7" w:rsidP="00401514">
      <w:pPr>
        <w:tabs>
          <w:tab w:val="left" w:pos="2520"/>
        </w:tabs>
        <w:jc w:val="center"/>
        <w:rPr>
          <w:rFonts w:ascii="Book Antiqua" w:hAnsi="Book Antiqua" w:cs="Arial"/>
        </w:rPr>
      </w:pPr>
      <w:r w:rsidRPr="00401514">
        <w:rPr>
          <w:rFonts w:ascii="Book Antiqua" w:hAnsi="Book Antiqua" w:cs="Arial"/>
          <w:b/>
          <w:u w:val="single"/>
        </w:rPr>
        <w:t xml:space="preserve">DECISION </w:t>
      </w:r>
      <w:r w:rsidR="00402B9E" w:rsidRPr="00401514">
        <w:rPr>
          <w:rFonts w:ascii="Book Antiqua" w:hAnsi="Book Antiqua" w:cs="Arial"/>
          <w:b/>
          <w:u w:val="single"/>
        </w:rPr>
        <w:t>AND REASONS</w:t>
      </w:r>
    </w:p>
    <w:p w14:paraId="2A1296D8" w14:textId="200446A7" w:rsidR="000D46DE" w:rsidRDefault="00506E33"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The appellant is the Secretary of State.  The respondent, whom we shall call “the claimant” is a national of the Philippines.  The </w:t>
      </w:r>
      <w:r w:rsidR="00897A77">
        <w:rPr>
          <w:rFonts w:ascii="Book Antiqua" w:hAnsi="Book Antiqua" w:cs="Arial"/>
        </w:rPr>
        <w:t xml:space="preserve">Secretary of State </w:t>
      </w:r>
      <w:r>
        <w:rPr>
          <w:rFonts w:ascii="Book Antiqua" w:hAnsi="Book Antiqua" w:cs="Arial"/>
        </w:rPr>
        <w:t>appeals to</w:t>
      </w:r>
      <w:r w:rsidR="000D46DE">
        <w:rPr>
          <w:rFonts w:ascii="Book Antiqua" w:hAnsi="Book Antiqua" w:cs="Arial"/>
        </w:rPr>
        <w:t xml:space="preserve"> this Tribunal, with permission, against the decision of a First-tier Tribunal Judge, Judge Davidson, allowing the claimant’s appeal against the decision of the respondent on 30 April 2008 refusing her asylum and article 8 claims.  </w:t>
      </w:r>
    </w:p>
    <w:p w14:paraId="15F6A5BF" w14:textId="08FFF6A5" w:rsidR="009D348A" w:rsidRDefault="00D10DD6"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The claimant </w:t>
      </w:r>
      <w:r w:rsidR="000D46DE">
        <w:rPr>
          <w:rFonts w:ascii="Book Antiqua" w:hAnsi="Book Antiqua" w:cs="Arial"/>
        </w:rPr>
        <w:t xml:space="preserve">came to the United Kingdom as a student on 30 November 2009.  She had further leave to remain until 30 November 2014, but it was curtailed on 29 </w:t>
      </w:r>
      <w:r w:rsidR="000D46DE">
        <w:rPr>
          <w:rFonts w:ascii="Book Antiqua" w:hAnsi="Book Antiqua" w:cs="Arial"/>
        </w:rPr>
        <w:lastRenderedPageBreak/>
        <w:t>December 2012.  She applied for leave to remain in February 2013,</w:t>
      </w:r>
      <w:r w:rsidR="00056D12">
        <w:rPr>
          <w:rFonts w:ascii="Book Antiqua" w:hAnsi="Book Antiqua" w:cs="Arial"/>
        </w:rPr>
        <w:t xml:space="preserve"> </w:t>
      </w:r>
      <w:r w:rsidR="00B7387A">
        <w:rPr>
          <w:rFonts w:ascii="Book Antiqua" w:hAnsi="Book Antiqua" w:cs="Arial"/>
        </w:rPr>
        <w:t>but</w:t>
      </w:r>
      <w:r w:rsidR="000D46DE">
        <w:rPr>
          <w:rFonts w:ascii="Book Antiqua" w:hAnsi="Book Antiqua" w:cs="Arial"/>
        </w:rPr>
        <w:t xml:space="preserve"> this was refused.  She then remained without leave, claiming asylum on 23 March 2017.  Her claim was that she had a well-founded fear of persecution in the Philippines on the basis of being a lesbian.  She also claimed that removing her to the Philippines would be a breach of her article 8 right to a private life.  </w:t>
      </w:r>
    </w:p>
    <w:p w14:paraId="3859EA35" w14:textId="0EEE1EAA" w:rsidR="000D46DE" w:rsidRDefault="000D46DE" w:rsidP="00401514">
      <w:pPr>
        <w:numPr>
          <w:ilvl w:val="0"/>
          <w:numId w:val="1"/>
        </w:numPr>
        <w:tabs>
          <w:tab w:val="clear" w:pos="567"/>
        </w:tabs>
        <w:spacing w:before="160" w:after="160"/>
        <w:jc w:val="both"/>
        <w:rPr>
          <w:rFonts w:ascii="Book Antiqua" w:hAnsi="Book Antiqua" w:cs="Arial"/>
        </w:rPr>
      </w:pPr>
      <w:r>
        <w:rPr>
          <w:rFonts w:ascii="Book Antiqua" w:hAnsi="Book Antiqua" w:cs="Arial"/>
        </w:rPr>
        <w:t>The judge concl</w:t>
      </w:r>
      <w:r w:rsidR="00D10DD6">
        <w:rPr>
          <w:rFonts w:ascii="Book Antiqua" w:hAnsi="Book Antiqua" w:cs="Arial"/>
        </w:rPr>
        <w:t>uded, on the basis of the claim</w:t>
      </w:r>
      <w:r>
        <w:rPr>
          <w:rFonts w:ascii="Book Antiqua" w:hAnsi="Book Antiqua" w:cs="Arial"/>
        </w:rPr>
        <w:t xml:space="preserve">ant’s evidence, that she is indeed lesbian. </w:t>
      </w:r>
      <w:r w:rsidR="00B858F1">
        <w:rPr>
          <w:rFonts w:ascii="Book Antiqua" w:hAnsi="Book Antiqua" w:cs="Arial"/>
        </w:rPr>
        <w:t xml:space="preserve">  </w:t>
      </w:r>
      <w:r w:rsidR="00A83936">
        <w:rPr>
          <w:rFonts w:ascii="Book Antiqua" w:hAnsi="Book Antiqua" w:cs="Arial"/>
        </w:rPr>
        <w:t>He decided also</w:t>
      </w:r>
      <w:r>
        <w:rPr>
          <w:rFonts w:ascii="Book Antiqua" w:hAnsi="Book Antiqua" w:cs="Arial"/>
        </w:rPr>
        <w:t xml:space="preserve"> that she had failed to show that she was at risk of persecution as a result of her sexual orientation </w:t>
      </w:r>
      <w:r w:rsidR="00F45083">
        <w:rPr>
          <w:rFonts w:ascii="Book Antiqua" w:hAnsi="Book Antiqua" w:cs="Arial"/>
        </w:rPr>
        <w:t xml:space="preserve">in the Philippines.  </w:t>
      </w:r>
      <w:r w:rsidR="00AF38FD">
        <w:rPr>
          <w:rFonts w:ascii="Book Antiqua" w:hAnsi="Book Antiqua" w:cs="Arial"/>
        </w:rPr>
        <w:t>He wrote as follows:</w:t>
      </w:r>
    </w:p>
    <w:p w14:paraId="4F25B085" w14:textId="3759F46F" w:rsidR="00AF38FD" w:rsidRDefault="00AF38FD"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“43.</w:t>
      </w:r>
      <w:r w:rsidR="00401514">
        <w:rPr>
          <w:rFonts w:ascii="Book Antiqua" w:hAnsi="Book Antiqua" w:cs="Arial"/>
          <w:sz w:val="22"/>
          <w:szCs w:val="22"/>
        </w:rPr>
        <w:tab/>
      </w:r>
      <w:r>
        <w:rPr>
          <w:rFonts w:ascii="Book Antiqua" w:hAnsi="Book Antiqua" w:cs="Arial"/>
          <w:sz w:val="22"/>
          <w:szCs w:val="22"/>
        </w:rPr>
        <w:t xml:space="preserve">… Homosexuality is not illegal and, although there may be instances of violence, this is not sufficient to constitute persecution. </w:t>
      </w:r>
    </w:p>
    <w:p w14:paraId="6A152F34" w14:textId="3ED929BC" w:rsidR="00AF38FD" w:rsidRDefault="00AF38FD"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44.</w:t>
      </w:r>
      <w:r w:rsidR="00401514">
        <w:rPr>
          <w:rFonts w:ascii="Book Antiqua" w:hAnsi="Book Antiqua" w:cs="Arial"/>
          <w:sz w:val="22"/>
          <w:szCs w:val="22"/>
        </w:rPr>
        <w:tab/>
      </w:r>
      <w:r>
        <w:rPr>
          <w:rFonts w:ascii="Book Antiqua" w:hAnsi="Book Antiqua" w:cs="Arial"/>
          <w:sz w:val="22"/>
          <w:szCs w:val="22"/>
        </w:rPr>
        <w:t>In addition, such violence is prohibited in the Philippines and she would therefore have sufficiency of protection from local law enforcement agencies who, according to the objective evidence before me, are more aware of the issues and more inclined to assist than had been the case previously.</w:t>
      </w:r>
    </w:p>
    <w:p w14:paraId="4DC3ADDB" w14:textId="5078A859" w:rsidR="00AF38FD" w:rsidRDefault="00AF38FD"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45.</w:t>
      </w:r>
      <w:r w:rsidR="00401514">
        <w:rPr>
          <w:rFonts w:ascii="Book Antiqua" w:hAnsi="Book Antiqua" w:cs="Arial"/>
          <w:sz w:val="22"/>
          <w:szCs w:val="22"/>
        </w:rPr>
        <w:tab/>
      </w:r>
      <w:r>
        <w:rPr>
          <w:rFonts w:ascii="Book Antiqua" w:hAnsi="Book Antiqua" w:cs="Arial"/>
          <w:sz w:val="22"/>
          <w:szCs w:val="22"/>
        </w:rPr>
        <w:t xml:space="preserve">I find that the Appellant has failed to provide any evidence that she would be persecuted by her ex-husband or members of his family.  She is not in touch with him and does not know where he is.  All her information about him is unreliable and based on rumours and I find that there is no credible threat to her.  In any event, she has sufficiency of protection as her ex-husband is not a state actor. </w:t>
      </w:r>
    </w:p>
    <w:p w14:paraId="78A54133" w14:textId="6FDFB426" w:rsidR="00AF38FD" w:rsidRPr="00AF38FD" w:rsidRDefault="00AF38FD"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46.</w:t>
      </w:r>
      <w:r w:rsidR="00401514">
        <w:rPr>
          <w:rFonts w:ascii="Book Antiqua" w:hAnsi="Book Antiqua" w:cs="Arial"/>
          <w:sz w:val="22"/>
          <w:szCs w:val="22"/>
        </w:rPr>
        <w:tab/>
      </w:r>
      <w:r>
        <w:rPr>
          <w:rFonts w:ascii="Book Antiqua" w:hAnsi="Book Antiqua" w:cs="Arial"/>
          <w:sz w:val="22"/>
          <w:szCs w:val="22"/>
        </w:rPr>
        <w:t>I find that she would face discrimination, both at a societal level generally and in finding employment if she were to live openly as a gay woman in the Philippines.  She would face having to conceal her orientation, but this would be due to societal pressures or to avoid discrimination, not to avoid persecution.”</w:t>
      </w:r>
    </w:p>
    <w:p w14:paraId="32414EE1" w14:textId="0DBFE3DF" w:rsidR="00086A20" w:rsidRDefault="00AF38FD"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So far as concerns the article 8 </w:t>
      </w:r>
      <w:r w:rsidR="006239BB">
        <w:rPr>
          <w:rFonts w:ascii="Book Antiqua" w:hAnsi="Book Antiqua" w:cs="Arial"/>
        </w:rPr>
        <w:t>claim, the judge had summarised the relevant part of</w:t>
      </w:r>
      <w:r w:rsidR="00701725">
        <w:rPr>
          <w:rFonts w:ascii="Book Antiqua" w:hAnsi="Book Antiqua" w:cs="Arial"/>
        </w:rPr>
        <w:t xml:space="preserve"> paragraph </w:t>
      </w:r>
      <w:r w:rsidR="006239BB">
        <w:rPr>
          <w:rFonts w:ascii="Book Antiqua" w:hAnsi="Book Antiqua" w:cs="Arial"/>
        </w:rPr>
        <w:t>276ADE (1)(vi) of the Immigratio</w:t>
      </w:r>
      <w:r w:rsidR="00701725">
        <w:rPr>
          <w:rFonts w:ascii="Book Antiqua" w:hAnsi="Book Antiqua" w:cs="Arial"/>
        </w:rPr>
        <w:t xml:space="preserve">n Rules.  Judge Davidson said that </w:t>
      </w:r>
      <w:r w:rsidR="006239BB">
        <w:rPr>
          <w:rFonts w:ascii="Book Antiqua" w:hAnsi="Book Antiqua" w:cs="Arial"/>
        </w:rPr>
        <w:t xml:space="preserve">that paragraph: </w:t>
      </w:r>
    </w:p>
    <w:p w14:paraId="5C9B472E" w14:textId="11B6F312" w:rsidR="006A4E89" w:rsidRPr="006A4E89" w:rsidRDefault="006A4E89" w:rsidP="00951A09">
      <w:pPr>
        <w:spacing w:before="120" w:after="120"/>
        <w:ind w:left="1134" w:right="567"/>
        <w:jc w:val="both"/>
        <w:rPr>
          <w:rFonts w:ascii="Book Antiqua" w:hAnsi="Book Antiqua" w:cs="Arial"/>
          <w:sz w:val="22"/>
          <w:szCs w:val="22"/>
        </w:rPr>
      </w:pPr>
      <w:r>
        <w:rPr>
          <w:rFonts w:ascii="Book Antiqua" w:hAnsi="Book Antiqua" w:cs="Arial"/>
          <w:sz w:val="22"/>
          <w:szCs w:val="22"/>
        </w:rPr>
        <w:t xml:space="preserve">“Sets out the requirements to be met by an applicant for leave to remain </w:t>
      </w:r>
      <w:r w:rsidR="00836D4D">
        <w:rPr>
          <w:rFonts w:ascii="Book Antiqua" w:hAnsi="Book Antiqua" w:cs="Arial"/>
          <w:sz w:val="22"/>
          <w:szCs w:val="22"/>
        </w:rPr>
        <w:t xml:space="preserve">on the grounds of private life </w:t>
      </w:r>
      <w:r w:rsidR="003B4A4B">
        <w:rPr>
          <w:rFonts w:ascii="Book Antiqua" w:hAnsi="Book Antiqua" w:cs="Arial"/>
          <w:sz w:val="22"/>
          <w:szCs w:val="22"/>
        </w:rPr>
        <w:t>and applies to applicants who, at the date of the application, are aged 18 years or above, have lived continuously in the UK for less than 20 years where there would be very significant obstacles to the applicant’s integration into the country to which she would have to go if required to leave the UK.”</w:t>
      </w:r>
    </w:p>
    <w:p w14:paraId="28EBD7B3" w14:textId="6A1CAF03" w:rsidR="006A4E89" w:rsidRDefault="003B4A4B"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The judge’s assessment </w:t>
      </w:r>
      <w:r w:rsidR="006C7C4B">
        <w:rPr>
          <w:rFonts w:ascii="Book Antiqua" w:hAnsi="Book Antiqua" w:cs="Arial"/>
        </w:rPr>
        <w:t>of the article 8 claim, in full, is as follows:</w:t>
      </w:r>
    </w:p>
    <w:p w14:paraId="6972F74E" w14:textId="2CA82DD8" w:rsidR="006C7C4B" w:rsidRDefault="006C7C4B"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“48.</w:t>
      </w:r>
      <w:r w:rsidR="00401514">
        <w:rPr>
          <w:rFonts w:ascii="Book Antiqua" w:hAnsi="Book Antiqua" w:cs="Arial"/>
          <w:sz w:val="22"/>
          <w:szCs w:val="22"/>
        </w:rPr>
        <w:tab/>
      </w:r>
      <w:r>
        <w:rPr>
          <w:rFonts w:ascii="Book Antiqua" w:hAnsi="Book Antiqua" w:cs="Arial"/>
          <w:sz w:val="22"/>
          <w:szCs w:val="22"/>
        </w:rPr>
        <w:t xml:space="preserve">I go on to consider her article 8 claim under Rule 276ADE of the Immigration Rules.  I find that there would be significant obstacles to her living her life as a gay woman in that she would face societal disapproval and discrimination.  To this extent I find that she would face significant obstacles to integration in the Philippines as she would not be able to live as a gay woman.  </w:t>
      </w:r>
    </w:p>
    <w:p w14:paraId="5F0AD762" w14:textId="7BC444C2" w:rsidR="006C7C4B" w:rsidRDefault="006C7C4B"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49.</w:t>
      </w:r>
      <w:r w:rsidR="00401514">
        <w:rPr>
          <w:rFonts w:ascii="Book Antiqua" w:hAnsi="Book Antiqua" w:cs="Arial"/>
          <w:sz w:val="22"/>
          <w:szCs w:val="22"/>
        </w:rPr>
        <w:tab/>
      </w:r>
      <w:r>
        <w:rPr>
          <w:rFonts w:ascii="Book Antiqua" w:hAnsi="Book Antiqua" w:cs="Arial"/>
          <w:sz w:val="22"/>
          <w:szCs w:val="22"/>
        </w:rPr>
        <w:t xml:space="preserve">In the light of my finding that the Immigration Rules are met, I go on to find it would be a disproportionate interference with the Appellant’s right to a private life under Article 8 to remove her from the United Kingdom.  The Secretary of State has set out in the Immigration Rules his interpretation of the UK’s human rights obligations and UK immigration policy permits those </w:t>
      </w:r>
      <w:r>
        <w:rPr>
          <w:rFonts w:ascii="Book Antiqua" w:hAnsi="Book Antiqua" w:cs="Arial"/>
          <w:sz w:val="22"/>
          <w:szCs w:val="22"/>
        </w:rPr>
        <w:lastRenderedPageBreak/>
        <w:t>who comply with the rules to be given leave to remain.  As I have found that the Appellant complies with those requirements, I find that the refusal to give her leave to remain is a disproportionate interruption [sic] with the Appellant’s right to a private life, having taken into account the need for effective immigration controls.”</w:t>
      </w:r>
    </w:p>
    <w:p w14:paraId="48E57CA4" w14:textId="7790578D" w:rsidR="006A4E89" w:rsidRDefault="006C7C4B" w:rsidP="00401514">
      <w:pPr>
        <w:spacing w:before="160" w:after="160"/>
        <w:ind w:left="567"/>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judge dismissed </w:t>
      </w:r>
      <w:r w:rsidR="002D547E">
        <w:rPr>
          <w:rFonts w:ascii="Book Antiqua" w:hAnsi="Book Antiqua" w:cs="Arial"/>
        </w:rPr>
        <w:t xml:space="preserve">the appeal on asylum grounds but allowed it on </w:t>
      </w:r>
      <w:r w:rsidR="000D6475">
        <w:rPr>
          <w:rFonts w:ascii="Book Antiqua" w:hAnsi="Book Antiqua" w:cs="Arial"/>
        </w:rPr>
        <w:t xml:space="preserve">article 8 grounds. </w:t>
      </w:r>
    </w:p>
    <w:p w14:paraId="3A04910A" w14:textId="0E26CB4B" w:rsidR="006A4E89" w:rsidRDefault="000D6475"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The Secretary of State’s grounds of appeal, on the basis on which permission was granted, </w:t>
      </w:r>
      <w:r w:rsidR="008E70E7">
        <w:rPr>
          <w:rFonts w:ascii="Book Antiqua" w:hAnsi="Book Antiqua" w:cs="Arial"/>
        </w:rPr>
        <w:t xml:space="preserve">take issue </w:t>
      </w:r>
      <w:r w:rsidR="00387140">
        <w:rPr>
          <w:rFonts w:ascii="Book Antiqua" w:hAnsi="Book Antiqua" w:cs="Arial"/>
        </w:rPr>
        <w:t>with those two paragraphs.  The grounds</w:t>
      </w:r>
      <w:r w:rsidR="008E70E7">
        <w:rPr>
          <w:rFonts w:ascii="Book Antiqua" w:hAnsi="Book Antiqua" w:cs="Arial"/>
        </w:rPr>
        <w:t xml:space="preserve"> raise three points.  First, they argue that the judge’s conclusion that the claimant would face significant obstacles in the Philippines is wholly unreasoned and appears to contradict his finding in relation to the asylum claim a few paragraphs above.  Secondly, although </w:t>
      </w:r>
      <w:r w:rsidR="000F78EE">
        <w:rPr>
          <w:rFonts w:ascii="Book Antiqua" w:hAnsi="Book Antiqua" w:cs="Arial"/>
        </w:rPr>
        <w:t xml:space="preserve">earlier </w:t>
      </w:r>
      <w:r w:rsidR="008E70E7">
        <w:rPr>
          <w:rFonts w:ascii="Book Antiqua" w:hAnsi="Book Antiqua" w:cs="Arial"/>
        </w:rPr>
        <w:t xml:space="preserve">he stated the correct test, including the </w:t>
      </w:r>
      <w:r w:rsidR="00B364FA">
        <w:rPr>
          <w:rFonts w:ascii="Book Antiqua" w:hAnsi="Book Antiqua" w:cs="Arial"/>
        </w:rPr>
        <w:t>need to show “very significant obstacles”</w:t>
      </w:r>
      <w:r w:rsidR="00BE68F1">
        <w:rPr>
          <w:rFonts w:ascii="Book Antiqua" w:hAnsi="Book Antiqua" w:cs="Arial"/>
        </w:rPr>
        <w:t xml:space="preserve"> to integration, in paragraph 48 he applies a lesser test, looking only for “significant obstacles”.  Thirdly, t</w:t>
      </w:r>
      <w:r w:rsidR="00701725">
        <w:rPr>
          <w:rFonts w:ascii="Book Antiqua" w:hAnsi="Book Antiqua" w:cs="Arial"/>
        </w:rPr>
        <w:t>he Secretary of State argues</w:t>
      </w:r>
      <w:r w:rsidR="00BE68F1">
        <w:rPr>
          <w:rFonts w:ascii="Book Antiqua" w:hAnsi="Book Antiqua" w:cs="Arial"/>
        </w:rPr>
        <w:t xml:space="preserve"> that as the article 8 conclusion is based solely on t</w:t>
      </w:r>
      <w:r w:rsidR="00DA4AEB">
        <w:rPr>
          <w:rFonts w:ascii="Book Antiqua" w:hAnsi="Book Antiqua" w:cs="Arial"/>
        </w:rPr>
        <w:t>he conclusion that the claimant</w:t>
      </w:r>
      <w:r w:rsidR="00BE68F1">
        <w:rPr>
          <w:rFonts w:ascii="Book Antiqua" w:hAnsi="Book Antiqua" w:cs="Arial"/>
        </w:rPr>
        <w:t xml:space="preserve"> met the requirements of the Immigration Rules, it is flawed for the same reason.</w:t>
      </w:r>
    </w:p>
    <w:p w14:paraId="2CF8D1C4" w14:textId="24C40B12" w:rsidR="00BE68F1" w:rsidRDefault="00BE68F1"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Before us, Mr Clarke expanded on the grounds.  He drew attention to the fact that the judge had not cited any of the authorities on the meaning of the phrase “very significant obstacles”.   In </w:t>
      </w:r>
      <w:r w:rsidRPr="00BE68F1">
        <w:rPr>
          <w:rFonts w:ascii="Book Antiqua" w:hAnsi="Book Antiqua" w:cs="Arial"/>
          <w:u w:val="single"/>
        </w:rPr>
        <w:t>SSHD v Kamara</w:t>
      </w:r>
      <w:r w:rsidR="00AB2853">
        <w:rPr>
          <w:rFonts w:ascii="Book Antiqua" w:hAnsi="Book Antiqua" w:cs="Arial"/>
        </w:rPr>
        <w:t xml:space="preserve"> [2016] EWCA </w:t>
      </w:r>
      <w:proofErr w:type="spellStart"/>
      <w:r w:rsidR="00AB2853">
        <w:rPr>
          <w:rFonts w:ascii="Book Antiqua" w:hAnsi="Book Antiqua" w:cs="Arial"/>
        </w:rPr>
        <w:t>C</w:t>
      </w:r>
      <w:r>
        <w:rPr>
          <w:rFonts w:ascii="Book Antiqua" w:hAnsi="Book Antiqua" w:cs="Arial"/>
        </w:rPr>
        <w:t>iv</w:t>
      </w:r>
      <w:proofErr w:type="spellEnd"/>
      <w:r>
        <w:rPr>
          <w:rFonts w:ascii="Book Antiqua" w:hAnsi="Book Antiqua" w:cs="Arial"/>
        </w:rPr>
        <w:t xml:space="preserve"> 813, Sales</w:t>
      </w:r>
      <w:r w:rsidR="00F1129F">
        <w:rPr>
          <w:rFonts w:ascii="Book Antiqua" w:hAnsi="Book Antiqua" w:cs="Arial"/>
        </w:rPr>
        <w:t xml:space="preserve"> LJ said this in the context of the deportation of a foreign criminal, where </w:t>
      </w:r>
      <w:r w:rsidR="00DA4AEB">
        <w:rPr>
          <w:rFonts w:ascii="Book Antiqua" w:hAnsi="Book Antiqua" w:cs="Arial"/>
        </w:rPr>
        <w:t>the same phrase appears in the R</w:t>
      </w:r>
      <w:r w:rsidR="00F1129F">
        <w:rPr>
          <w:rFonts w:ascii="Book Antiqua" w:hAnsi="Book Antiqua" w:cs="Arial"/>
        </w:rPr>
        <w:t>ules:</w:t>
      </w:r>
    </w:p>
    <w:p w14:paraId="7BC1A81D" w14:textId="0618822B" w:rsidR="00F1129F" w:rsidRPr="00F1129F" w:rsidRDefault="00F1129F" w:rsidP="00401514">
      <w:pPr>
        <w:tabs>
          <w:tab w:val="left" w:pos="1701"/>
        </w:tabs>
        <w:spacing w:before="120" w:after="120"/>
        <w:ind w:left="1701" w:right="567" w:hanging="567"/>
        <w:jc w:val="both"/>
        <w:rPr>
          <w:rFonts w:ascii="Book Antiqua" w:hAnsi="Book Antiqua" w:cs="Arial"/>
          <w:sz w:val="22"/>
          <w:szCs w:val="22"/>
        </w:rPr>
      </w:pPr>
      <w:r>
        <w:rPr>
          <w:rFonts w:ascii="Book Antiqua" w:hAnsi="Book Antiqua" w:cs="Arial"/>
          <w:sz w:val="22"/>
          <w:szCs w:val="22"/>
        </w:rPr>
        <w:t>“14.</w:t>
      </w:r>
      <w:r w:rsidR="00401514">
        <w:rPr>
          <w:rFonts w:ascii="Book Antiqua" w:hAnsi="Book Antiqua" w:cs="Arial"/>
          <w:sz w:val="22"/>
          <w:szCs w:val="22"/>
        </w:rPr>
        <w:tab/>
      </w:r>
      <w:r>
        <w:rPr>
          <w:rFonts w:ascii="Book Antiqua" w:hAnsi="Book Antiqua" w:cs="Arial"/>
          <w:sz w:val="22"/>
          <w:szCs w:val="22"/>
        </w:rPr>
        <w:t>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w:t>
      </w:r>
      <w:r w:rsidR="00431A34">
        <w:rPr>
          <w:rFonts w:ascii="Book Antiqua" w:hAnsi="Book Antiqua" w:cs="Arial"/>
          <w:sz w:val="22"/>
          <w:szCs w:val="22"/>
        </w:rPr>
        <w:t xml:space="preserve">lly be sufficient for a Court or </w:t>
      </w:r>
      <w:r>
        <w:rPr>
          <w:rFonts w:ascii="Book Antiqua" w:hAnsi="Book Antiqua" w:cs="Arial"/>
          <w:sz w:val="22"/>
          <w:szCs w:val="22"/>
        </w:rPr>
        <w:t xml:space="preserve">Tribunal simply to direct itself in the terms that </w:t>
      </w:r>
      <w:r w:rsidR="002A3438">
        <w:rPr>
          <w:rFonts w:ascii="Book Antiqua" w:hAnsi="Book Antiqua" w:cs="Arial"/>
          <w:sz w:val="22"/>
          <w:szCs w:val="22"/>
        </w:rPr>
        <w:t>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 to day basis in that society and to build up within a reasonable time a variety of human relationships to give substance to the individual’s private or family life.</w:t>
      </w:r>
      <w:r w:rsidR="0087622A">
        <w:rPr>
          <w:rFonts w:ascii="Book Antiqua" w:hAnsi="Book Antiqua" w:cs="Arial"/>
          <w:sz w:val="22"/>
          <w:szCs w:val="22"/>
        </w:rPr>
        <w:t>”</w:t>
      </w:r>
    </w:p>
    <w:p w14:paraId="56CB3041" w14:textId="7451B31A" w:rsidR="00F1129F" w:rsidRDefault="002A3438"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In </w:t>
      </w:r>
      <w:proofErr w:type="spellStart"/>
      <w:r w:rsidR="00BB40B5" w:rsidRPr="003C1B9A">
        <w:rPr>
          <w:rFonts w:ascii="Book Antiqua" w:hAnsi="Book Antiqua" w:cs="Arial"/>
          <w:u w:val="single"/>
        </w:rPr>
        <w:t>Khalida</w:t>
      </w:r>
      <w:proofErr w:type="spellEnd"/>
      <w:r w:rsidR="00BB40B5" w:rsidRPr="003C1B9A">
        <w:rPr>
          <w:rFonts w:ascii="Book Antiqua" w:hAnsi="Book Antiqua" w:cs="Arial"/>
          <w:u w:val="single"/>
        </w:rPr>
        <w:t xml:space="preserve"> Parveen v SSHD</w:t>
      </w:r>
      <w:r w:rsidR="00BB40B5">
        <w:rPr>
          <w:rFonts w:ascii="Book Antiqua" w:hAnsi="Book Antiqua" w:cs="Arial"/>
        </w:rPr>
        <w:t xml:space="preserve"> [</w:t>
      </w:r>
      <w:r w:rsidR="003C1B9A">
        <w:rPr>
          <w:rFonts w:ascii="Book Antiqua" w:hAnsi="Book Antiqua" w:cs="Arial"/>
        </w:rPr>
        <w:t xml:space="preserve">2018] EWCA </w:t>
      </w:r>
      <w:proofErr w:type="spellStart"/>
      <w:r w:rsidR="003C1B9A">
        <w:rPr>
          <w:rFonts w:ascii="Book Antiqua" w:hAnsi="Book Antiqua" w:cs="Arial"/>
        </w:rPr>
        <w:t>Civ</w:t>
      </w:r>
      <w:proofErr w:type="spellEnd"/>
      <w:r w:rsidR="003C1B9A">
        <w:rPr>
          <w:rFonts w:ascii="Book Antiqua" w:hAnsi="Book Antiqua" w:cs="Arial"/>
        </w:rPr>
        <w:t xml:space="preserve"> 932, a case concerned with paragraph 276ADE, Underhill LJ after citing that passage from </w:t>
      </w:r>
      <w:r w:rsidR="003C1B9A" w:rsidRPr="003C1B9A">
        <w:rPr>
          <w:rFonts w:ascii="Book Antiqua" w:hAnsi="Book Antiqua" w:cs="Arial"/>
          <w:u w:val="single"/>
        </w:rPr>
        <w:t>Kamara</w:t>
      </w:r>
      <w:r w:rsidR="002A5735">
        <w:rPr>
          <w:rFonts w:ascii="Book Antiqua" w:hAnsi="Book Antiqua" w:cs="Arial"/>
        </w:rPr>
        <w:t xml:space="preserve">, </w:t>
      </w:r>
      <w:r w:rsidR="003C1B9A">
        <w:rPr>
          <w:rFonts w:ascii="Book Antiqua" w:hAnsi="Book Antiqua" w:cs="Arial"/>
        </w:rPr>
        <w:t xml:space="preserve">and indicating that it had not found the dicta of this Tribunal in </w:t>
      </w:r>
      <w:proofErr w:type="spellStart"/>
      <w:r w:rsidR="003C1B9A" w:rsidRPr="003C1B9A">
        <w:rPr>
          <w:rFonts w:ascii="Book Antiqua" w:hAnsi="Book Antiqua" w:cs="Arial"/>
          <w:u w:val="single"/>
        </w:rPr>
        <w:t>Treebhawon</w:t>
      </w:r>
      <w:proofErr w:type="spellEnd"/>
      <w:r w:rsidR="003C1B9A" w:rsidRPr="003C1B9A">
        <w:rPr>
          <w:rFonts w:ascii="Book Antiqua" w:hAnsi="Book Antiqua" w:cs="Arial"/>
          <w:u w:val="single"/>
        </w:rPr>
        <w:t xml:space="preserve"> v SSHD</w:t>
      </w:r>
      <w:r w:rsidR="003C1B9A">
        <w:rPr>
          <w:rFonts w:ascii="Book Antiqua" w:hAnsi="Book Antiqua" w:cs="Arial"/>
        </w:rPr>
        <w:t xml:space="preserve"> [2017] UKUT 13 (IAC) very useful, said that:</w:t>
      </w:r>
    </w:p>
    <w:p w14:paraId="6560F5C7" w14:textId="642081D4" w:rsidR="003C1B9A" w:rsidRPr="003C1B9A" w:rsidRDefault="003C1B9A" w:rsidP="00951A09">
      <w:pPr>
        <w:spacing w:before="120" w:after="120"/>
        <w:ind w:left="1134" w:right="567"/>
        <w:jc w:val="both"/>
        <w:rPr>
          <w:rFonts w:ascii="Book Antiqua" w:hAnsi="Book Antiqua" w:cs="Arial"/>
          <w:sz w:val="22"/>
          <w:szCs w:val="22"/>
        </w:rPr>
      </w:pPr>
      <w:r>
        <w:rPr>
          <w:rFonts w:ascii="Book Antiqua" w:hAnsi="Book Antiqua" w:cs="Arial"/>
          <w:sz w:val="22"/>
          <w:szCs w:val="22"/>
        </w:rPr>
        <w:t>“The task of the Secr</w:t>
      </w:r>
      <w:r w:rsidR="00C05687">
        <w:rPr>
          <w:rFonts w:ascii="Book Antiqua" w:hAnsi="Book Antiqua" w:cs="Arial"/>
          <w:sz w:val="22"/>
          <w:szCs w:val="22"/>
        </w:rPr>
        <w:t xml:space="preserve">etary of State, or the Tribunal, in any given case is simply to assess the obstacles to integration relied on, whether characterised as hardship or difficulty or anything else, and to decide whether they regard them as “very significant”.  </w:t>
      </w:r>
    </w:p>
    <w:p w14:paraId="74DC1CA9" w14:textId="570613AF" w:rsidR="00F1129F" w:rsidRDefault="00C05687" w:rsidP="00401514">
      <w:pPr>
        <w:numPr>
          <w:ilvl w:val="0"/>
          <w:numId w:val="1"/>
        </w:numPr>
        <w:tabs>
          <w:tab w:val="clear" w:pos="567"/>
        </w:tabs>
        <w:spacing w:before="160" w:after="160"/>
        <w:jc w:val="both"/>
        <w:rPr>
          <w:rFonts w:ascii="Book Antiqua" w:hAnsi="Book Antiqua" w:cs="Arial"/>
        </w:rPr>
      </w:pPr>
      <w:r>
        <w:rPr>
          <w:rFonts w:ascii="Book Antiqua" w:hAnsi="Book Antiqua" w:cs="Arial"/>
        </w:rPr>
        <w:lastRenderedPageBreak/>
        <w:t xml:space="preserve">Mr Clarke reminded us that </w:t>
      </w:r>
      <w:r w:rsidR="00DE64D8">
        <w:rPr>
          <w:rFonts w:ascii="Book Antiqua" w:hAnsi="Book Antiqua" w:cs="Arial"/>
        </w:rPr>
        <w:t>when dealing with this test, the learned Lord</w:t>
      </w:r>
      <w:r w:rsidR="00492F5A">
        <w:rPr>
          <w:rFonts w:ascii="Book Antiqua" w:hAnsi="Book Antiqua" w:cs="Arial"/>
        </w:rPr>
        <w:t>s Justice</w:t>
      </w:r>
      <w:r w:rsidR="00DE64D8">
        <w:rPr>
          <w:rFonts w:ascii="Book Antiqua" w:hAnsi="Book Antiqua" w:cs="Arial"/>
        </w:rPr>
        <w:t xml:space="preserve"> refer always to the phrase foun</w:t>
      </w:r>
      <w:r w:rsidR="002A5735">
        <w:rPr>
          <w:rFonts w:ascii="Book Antiqua" w:hAnsi="Book Antiqua" w:cs="Arial"/>
        </w:rPr>
        <w:t>d in the rule “very significant”</w:t>
      </w:r>
      <w:r w:rsidR="00DE64D8">
        <w:rPr>
          <w:rFonts w:ascii="Book Antiqua" w:hAnsi="Book Antiqua" w:cs="Arial"/>
        </w:rPr>
        <w:t xml:space="preserve">.  </w:t>
      </w:r>
      <w:r w:rsidR="002A5735">
        <w:rPr>
          <w:rFonts w:ascii="Book Antiqua" w:hAnsi="Book Antiqua" w:cs="Arial"/>
        </w:rPr>
        <w:t xml:space="preserve"> </w:t>
      </w:r>
      <w:r w:rsidR="00DE64D8">
        <w:rPr>
          <w:rFonts w:ascii="Book Antiqua" w:hAnsi="Book Antiqua" w:cs="Arial"/>
        </w:rPr>
        <w:t>So far as concerns the judge’s reasoning, it is clear from the phrase “in that she would face” in paragraph [48], that the “societal disapproval and discrimination” were the “significant obstacles” which the judge found allowed her to meet the requirements</w:t>
      </w:r>
      <w:r w:rsidR="004067D9">
        <w:rPr>
          <w:rFonts w:ascii="Book Antiqua" w:hAnsi="Book Antiqua" w:cs="Arial"/>
        </w:rPr>
        <w:t xml:space="preserve"> </w:t>
      </w:r>
      <w:r w:rsidR="009E7737">
        <w:rPr>
          <w:rFonts w:ascii="Book Antiqua" w:hAnsi="Book Antiqua" w:cs="Arial"/>
        </w:rPr>
        <w:t xml:space="preserve">of paragraph 276ADE.  The judge had made no finding on whether </w:t>
      </w:r>
      <w:r w:rsidR="0076684C">
        <w:rPr>
          <w:rFonts w:ascii="Book Antiqua" w:hAnsi="Book Antiqua" w:cs="Arial"/>
        </w:rPr>
        <w:t xml:space="preserve">the claimant would or would not live openly as a lesbian, and there has been no consideration of the level of the discrimination that she would find in either case.  In Mr Clarke’s submission, the judge’s reasons were simply inadequate to support the conclusions.  Mr Franco accepted that the judge had made no finding on what the claimant would do in terms of her openness: he told us that there was indeed no evidence on that point, because the claimant did not indicate what she would do in the circumstances.  He argued that the word “very” in the phrase in question adds nothing of substance to the test; and he queried whether it was right to apply the words of </w:t>
      </w:r>
      <w:r w:rsidR="0076684C" w:rsidRPr="0076684C">
        <w:rPr>
          <w:rFonts w:ascii="Book Antiqua" w:hAnsi="Book Antiqua" w:cs="Arial"/>
          <w:u w:val="single"/>
        </w:rPr>
        <w:t>Kamara</w:t>
      </w:r>
      <w:r w:rsidR="0076684C">
        <w:rPr>
          <w:rFonts w:ascii="Book Antiqua" w:hAnsi="Book Antiqua" w:cs="Arial"/>
        </w:rPr>
        <w:t xml:space="preserve"> t</w:t>
      </w:r>
      <w:r w:rsidR="00D54E68">
        <w:rPr>
          <w:rFonts w:ascii="Book Antiqua" w:hAnsi="Book Antiqua" w:cs="Arial"/>
        </w:rPr>
        <w:t>o a c</w:t>
      </w:r>
      <w:r w:rsidR="00B40E27">
        <w:rPr>
          <w:rFonts w:ascii="Book Antiqua" w:hAnsi="Book Antiqua" w:cs="Arial"/>
        </w:rPr>
        <w:t>a</w:t>
      </w:r>
      <w:r w:rsidR="00F875D1">
        <w:rPr>
          <w:rFonts w:ascii="Book Antiqua" w:hAnsi="Book Antiqua" w:cs="Arial"/>
        </w:rPr>
        <w:t>s</w:t>
      </w:r>
      <w:r w:rsidR="00B40E27">
        <w:rPr>
          <w:rFonts w:ascii="Book Antiqua" w:hAnsi="Book Antiqua" w:cs="Arial"/>
        </w:rPr>
        <w:t xml:space="preserve">e that did not involve deportation of a criminal.  </w:t>
      </w:r>
    </w:p>
    <w:p w14:paraId="5D31766F" w14:textId="263ECB19" w:rsidR="0004450A" w:rsidRDefault="00E966F4" w:rsidP="00401514">
      <w:pPr>
        <w:numPr>
          <w:ilvl w:val="0"/>
          <w:numId w:val="1"/>
        </w:numPr>
        <w:tabs>
          <w:tab w:val="clear" w:pos="567"/>
        </w:tabs>
        <w:spacing w:before="160" w:after="160"/>
        <w:jc w:val="both"/>
        <w:rPr>
          <w:rFonts w:ascii="Book Antiqua" w:hAnsi="Book Antiqua" w:cs="Arial"/>
        </w:rPr>
      </w:pPr>
      <w:r>
        <w:rPr>
          <w:rFonts w:ascii="Book Antiqua" w:hAnsi="Book Antiqua" w:cs="Arial"/>
        </w:rPr>
        <w:t>We regard</w:t>
      </w:r>
      <w:r w:rsidR="00B40E27">
        <w:rPr>
          <w:rFonts w:ascii="Book Antiqua" w:hAnsi="Book Antiqua" w:cs="Arial"/>
        </w:rPr>
        <w:t xml:space="preserve"> Mr Franco’s submissions on the interpretation </w:t>
      </w:r>
      <w:r>
        <w:rPr>
          <w:rFonts w:ascii="Book Antiqua" w:hAnsi="Book Antiqua" w:cs="Arial"/>
        </w:rPr>
        <w:t xml:space="preserve">of paragraph 276ADE </w:t>
      </w:r>
      <w:r w:rsidR="00BA0738">
        <w:rPr>
          <w:rFonts w:ascii="Book Antiqua" w:hAnsi="Book Antiqua" w:cs="Arial"/>
        </w:rPr>
        <w:t>as wholly unsustainable in the light of t</w:t>
      </w:r>
      <w:r w:rsidR="007260F0">
        <w:rPr>
          <w:rFonts w:ascii="Book Antiqua" w:hAnsi="Book Antiqua" w:cs="Arial"/>
        </w:rPr>
        <w:t>he authorities.  The task of a</w:t>
      </w:r>
      <w:r w:rsidR="00BA0738">
        <w:rPr>
          <w:rFonts w:ascii="Book Antiqua" w:hAnsi="Book Antiqua" w:cs="Arial"/>
        </w:rPr>
        <w:t xml:space="preserve"> decision-maker is to apply the tests found in the rules, not some other test.  That is amply demonstrated by the way in which the Court of Appeal approach the issue in both </w:t>
      </w:r>
      <w:r w:rsidR="00BA0738" w:rsidRPr="00BA0738">
        <w:rPr>
          <w:rFonts w:ascii="Book Antiqua" w:hAnsi="Book Antiqua" w:cs="Arial"/>
          <w:u w:val="single"/>
        </w:rPr>
        <w:t>Kamara</w:t>
      </w:r>
      <w:r w:rsidR="00BA0738">
        <w:rPr>
          <w:rFonts w:ascii="Book Antiqua" w:hAnsi="Book Antiqua" w:cs="Arial"/>
        </w:rPr>
        <w:t xml:space="preserve"> and </w:t>
      </w:r>
      <w:r w:rsidR="00BA0738" w:rsidRPr="00BA0738">
        <w:rPr>
          <w:rFonts w:ascii="Book Antiqua" w:hAnsi="Book Antiqua" w:cs="Arial"/>
          <w:u w:val="single"/>
        </w:rPr>
        <w:t>Parveen</w:t>
      </w:r>
      <w:r w:rsidR="00BA0738">
        <w:rPr>
          <w:rFonts w:ascii="Book Antiqua" w:hAnsi="Book Antiqua" w:cs="Arial"/>
        </w:rPr>
        <w:t xml:space="preserve">, as </w:t>
      </w:r>
      <w:r w:rsidR="0016285E">
        <w:rPr>
          <w:rFonts w:ascii="Book Antiqua" w:hAnsi="Book Antiqua" w:cs="Arial"/>
        </w:rPr>
        <w:t xml:space="preserve">Mr Clarke pointed out.  If higher authority were needed, it can no doubt be found in paragraph 23 of </w:t>
      </w:r>
      <w:r w:rsidR="0016285E" w:rsidRPr="0016285E">
        <w:rPr>
          <w:rFonts w:ascii="Book Antiqua" w:hAnsi="Book Antiqua" w:cs="Arial"/>
          <w:u w:val="single"/>
        </w:rPr>
        <w:t>KO (Nigeria) v SSHD</w:t>
      </w:r>
      <w:r w:rsidR="0016285E">
        <w:rPr>
          <w:rFonts w:ascii="Book Antiqua" w:hAnsi="Book Antiqua" w:cs="Arial"/>
        </w:rPr>
        <w:t xml:space="preserve"> [2018] UKSC 53, where </w:t>
      </w:r>
      <w:proofErr w:type="spellStart"/>
      <w:r w:rsidR="0016285E">
        <w:rPr>
          <w:rFonts w:ascii="Book Antiqua" w:hAnsi="Book Antiqua" w:cs="Arial"/>
        </w:rPr>
        <w:t>Carnwath</w:t>
      </w:r>
      <w:proofErr w:type="spellEnd"/>
      <w:r w:rsidR="0016285E">
        <w:rPr>
          <w:rFonts w:ascii="Book Antiqua" w:hAnsi="Book Antiqua" w:cs="Arial"/>
        </w:rPr>
        <w:t xml:space="preserve"> LJ, with whom all other members of the Court agreed, gives an exegesis </w:t>
      </w:r>
      <w:r w:rsidR="0004450A">
        <w:rPr>
          <w:rFonts w:ascii="Book Antiqua" w:hAnsi="Book Antiqua" w:cs="Arial"/>
        </w:rPr>
        <w:t>of the phrase “unduly harsh” in s 117C(5) and paragraph 399 of the Immigration Rules: it is clear that the Supreme Court also regard</w:t>
      </w:r>
      <w:r w:rsidR="00991412">
        <w:rPr>
          <w:rFonts w:ascii="Book Antiqua" w:hAnsi="Book Antiqua" w:cs="Arial"/>
        </w:rPr>
        <w:t>s</w:t>
      </w:r>
      <w:r w:rsidR="0004450A">
        <w:rPr>
          <w:rFonts w:ascii="Book Antiqua" w:hAnsi="Book Antiqua" w:cs="Arial"/>
        </w:rPr>
        <w:t xml:space="preserve"> the actual wording of the rules as incorporating the test to be applied.  </w:t>
      </w:r>
    </w:p>
    <w:p w14:paraId="46AEC3F9" w14:textId="51BFB162" w:rsidR="00B40E27" w:rsidRDefault="0004450A"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Mr Franco’s submission based on the fact that </w:t>
      </w:r>
      <w:r w:rsidRPr="0004450A">
        <w:rPr>
          <w:rFonts w:ascii="Book Antiqua" w:hAnsi="Book Antiqua" w:cs="Arial"/>
          <w:u w:val="single"/>
        </w:rPr>
        <w:t>Kamara</w:t>
      </w:r>
      <w:r>
        <w:rPr>
          <w:rFonts w:ascii="Book Antiqua" w:hAnsi="Book Antiqua" w:cs="Arial"/>
        </w:rPr>
        <w:t xml:space="preserve"> was a case about deportation ignores the decision in </w:t>
      </w:r>
      <w:r w:rsidRPr="0004450A">
        <w:rPr>
          <w:rFonts w:ascii="Book Antiqua" w:hAnsi="Book Antiqua" w:cs="Arial"/>
          <w:u w:val="single"/>
        </w:rPr>
        <w:t>Parveen</w:t>
      </w:r>
      <w:r>
        <w:rPr>
          <w:rFonts w:ascii="Book Antiqua" w:hAnsi="Book Antiqua" w:cs="Arial"/>
        </w:rPr>
        <w:t xml:space="preserve">.  </w:t>
      </w:r>
    </w:p>
    <w:p w14:paraId="7DA6370B" w14:textId="40F81E99" w:rsidR="00F1129F" w:rsidRDefault="00A473CB"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In our judgment, Judge Davidson’s decision has the defects attributed to it by the Secretary of State’s grounds.  Although the appropriate test is correctly set out earlier in the decision, in paragraph </w:t>
      </w:r>
      <w:r w:rsidR="00687C77">
        <w:rPr>
          <w:rFonts w:ascii="Book Antiqua" w:hAnsi="Book Antiqua" w:cs="Arial"/>
        </w:rPr>
        <w:t>[</w:t>
      </w:r>
      <w:r>
        <w:rPr>
          <w:rFonts w:ascii="Book Antiqua" w:hAnsi="Book Antiqua" w:cs="Arial"/>
        </w:rPr>
        <w:t>48</w:t>
      </w:r>
      <w:r w:rsidR="00687C77">
        <w:rPr>
          <w:rFonts w:ascii="Book Antiqua" w:hAnsi="Book Antiqua" w:cs="Arial"/>
        </w:rPr>
        <w:t>]</w:t>
      </w:r>
      <w:r>
        <w:rPr>
          <w:rFonts w:ascii="Book Antiqua" w:hAnsi="Book Antiqua" w:cs="Arial"/>
        </w:rPr>
        <w:t xml:space="preserve"> a less stringent test i</w:t>
      </w:r>
      <w:r w:rsidR="00687C77">
        <w:rPr>
          <w:rFonts w:ascii="Book Antiqua" w:hAnsi="Book Antiqua" w:cs="Arial"/>
        </w:rPr>
        <w:t>s set out, twice, and the claim</w:t>
      </w:r>
      <w:r>
        <w:rPr>
          <w:rFonts w:ascii="Book Antiqua" w:hAnsi="Book Antiqua" w:cs="Arial"/>
        </w:rPr>
        <w:t xml:space="preserve">ant’s circumstances are said to meet that less stringent test.  As there is no other reason given for the finding either that the </w:t>
      </w:r>
      <w:r w:rsidR="00211787">
        <w:rPr>
          <w:rFonts w:ascii="Book Antiqua" w:hAnsi="Book Antiqua" w:cs="Arial"/>
        </w:rPr>
        <w:t>claima</w:t>
      </w:r>
      <w:r w:rsidR="00EF1746">
        <w:rPr>
          <w:rFonts w:ascii="Book Antiqua" w:hAnsi="Book Antiqua" w:cs="Arial"/>
        </w:rPr>
        <w:t>nt met the requirements of the R</w:t>
      </w:r>
      <w:r w:rsidR="00211787">
        <w:rPr>
          <w:rFonts w:ascii="Book Antiqua" w:hAnsi="Book Antiqua" w:cs="Arial"/>
        </w:rPr>
        <w:t xml:space="preserve">ules, or that her appeal should consequently be allowed on article 8 grounds, that would be sufficient in itself to show that the judge’s decision contained an error of law. </w:t>
      </w:r>
    </w:p>
    <w:p w14:paraId="23EFF266" w14:textId="1B25579A" w:rsidR="00A83FF8" w:rsidRDefault="00211787"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We consider also, however, that the grounds are made out in their assertion that the judge’s conclusion is not sufficiently reasoned.  The judge had before him a considerable bundle of documents: the part of the bundle marked “Country Evidence” runs to </w:t>
      </w:r>
      <w:r w:rsidR="00A37826">
        <w:rPr>
          <w:rFonts w:ascii="Book Antiqua" w:hAnsi="Book Antiqua" w:cs="Arial"/>
        </w:rPr>
        <w:t xml:space="preserve">about 180 pages.  Particular parts of the evidence were specifically relied upon by the claimant, as the written skeleton argument shows.  The judge’s decision does not refer to any of that material save at the very highest level.  He says that there was before him “objective country evidence”, and he records submissions such as that made on behalf of the appellant that “there is significant discrimination against homosexuals”.  It is not easy to detect whether the judge looked at the country evidence at all.  What is clear is that there was considerable dispute before him about the impact of the country evidence.  He records submissions by the respondent, in </w:t>
      </w:r>
      <w:r w:rsidR="00A37826">
        <w:rPr>
          <w:rFonts w:ascii="Book Antiqua" w:hAnsi="Book Antiqua" w:cs="Arial"/>
        </w:rPr>
        <w:lastRenderedPageBreak/>
        <w:t xml:space="preserve">particular in paragraphs [12] – [14], [18] and [20] and on behalf of the claimant in [25], and [29] – [30].  This was a case in which it is clear that in order to </w:t>
      </w:r>
      <w:r w:rsidR="00A83FF8">
        <w:rPr>
          <w:rFonts w:ascii="Book Antiqua" w:hAnsi="Book Antiqua" w:cs="Arial"/>
        </w:rPr>
        <w:t xml:space="preserve">give to the parties an indication of why the decision was made in the way it was, it was necessary to identify, </w:t>
      </w:r>
      <w:r w:rsidR="00DC3995">
        <w:rPr>
          <w:rFonts w:ascii="Book Antiqua" w:hAnsi="Book Antiqua" w:cs="Arial"/>
        </w:rPr>
        <w:t>and express clear judicial views on,</w:t>
      </w:r>
      <w:r w:rsidR="00A83FF8">
        <w:rPr>
          <w:rFonts w:ascii="Book Antiqua" w:hAnsi="Book Antiqua" w:cs="Arial"/>
        </w:rPr>
        <w:t xml:space="preserve"> the evidence going to this contested issue.  The failure to do so amounts to a further error of law.  </w:t>
      </w:r>
    </w:p>
    <w:p w14:paraId="7D3D8677" w14:textId="77777777" w:rsidR="00A83FF8" w:rsidRDefault="00A83FF8" w:rsidP="00401514">
      <w:pPr>
        <w:numPr>
          <w:ilvl w:val="0"/>
          <w:numId w:val="1"/>
        </w:numPr>
        <w:tabs>
          <w:tab w:val="clear" w:pos="567"/>
        </w:tabs>
        <w:spacing w:before="160" w:after="160"/>
        <w:jc w:val="both"/>
        <w:rPr>
          <w:rFonts w:ascii="Book Antiqua" w:hAnsi="Book Antiqua" w:cs="Arial"/>
        </w:rPr>
      </w:pPr>
      <w:r>
        <w:rPr>
          <w:rFonts w:ascii="Book Antiqua" w:hAnsi="Book Antiqua" w:cs="Arial"/>
        </w:rPr>
        <w:t>The determination cannot stand and we set it aside.</w:t>
      </w:r>
    </w:p>
    <w:p w14:paraId="65666B4E" w14:textId="663C9C4C" w:rsidR="00A647B3" w:rsidRDefault="00A83FF8" w:rsidP="00401514">
      <w:pPr>
        <w:numPr>
          <w:ilvl w:val="0"/>
          <w:numId w:val="1"/>
        </w:numPr>
        <w:tabs>
          <w:tab w:val="clear" w:pos="567"/>
        </w:tabs>
        <w:spacing w:before="160" w:after="160"/>
        <w:jc w:val="both"/>
        <w:rPr>
          <w:rFonts w:ascii="Book Antiqua" w:hAnsi="Book Antiqua" w:cs="Arial"/>
        </w:rPr>
      </w:pPr>
      <w:r>
        <w:rPr>
          <w:rFonts w:ascii="Book Antiqua" w:hAnsi="Book Antiqua" w:cs="Arial"/>
        </w:rPr>
        <w:t>We turn to remake the decision.   There is no rule 2</w:t>
      </w:r>
      <w:r w:rsidR="0087517A">
        <w:rPr>
          <w:rFonts w:ascii="Book Antiqua" w:hAnsi="Book Antiqua" w:cs="Arial"/>
        </w:rPr>
        <w:t>4 notice, and no cross-</w:t>
      </w:r>
      <w:r w:rsidR="00004CCE">
        <w:rPr>
          <w:rFonts w:ascii="Book Antiqua" w:hAnsi="Book Antiqua" w:cs="Arial"/>
        </w:rPr>
        <w:t>appeal.  T</w:t>
      </w:r>
      <w:r>
        <w:rPr>
          <w:rFonts w:ascii="Book Antiqua" w:hAnsi="Book Antiqua" w:cs="Arial"/>
        </w:rPr>
        <w:t xml:space="preserve">here has been no application to adduce further evidence.  The only question therefore remains whether the claimant, having failed in her asylum claim, </w:t>
      </w:r>
      <w:r w:rsidR="00E003CD">
        <w:rPr>
          <w:rFonts w:ascii="Book Antiqua" w:hAnsi="Book Antiqua" w:cs="Arial"/>
        </w:rPr>
        <w:t>is entitled to succeed under article 8, on the basis of the evidence before the Tribunal.  The claimant’s own oral ev</w:t>
      </w:r>
      <w:r w:rsidR="0087517A">
        <w:rPr>
          <w:rFonts w:ascii="Book Antiqua" w:hAnsi="Book Antiqua" w:cs="Arial"/>
        </w:rPr>
        <w:t xml:space="preserve">idence was accepted by the judge, </w:t>
      </w:r>
      <w:r w:rsidR="00E003CD">
        <w:rPr>
          <w:rFonts w:ascii="Book Antiqua" w:hAnsi="Book Antiqua" w:cs="Arial"/>
        </w:rPr>
        <w:t xml:space="preserve">no issue arises about it.  The issue is the extent to which the evidence adduced </w:t>
      </w:r>
      <w:r w:rsidR="00A647B3">
        <w:rPr>
          <w:rFonts w:ascii="Book Antiqua" w:hAnsi="Book Antiqua" w:cs="Arial"/>
        </w:rPr>
        <w:t>demonstrates that the claimant would face “very significant obstacles to her integration” in the Philippines, and, if not, whether there is any other reason why her removal</w:t>
      </w:r>
      <w:r w:rsidR="00BC0EF9">
        <w:rPr>
          <w:rFonts w:ascii="Book Antiqua" w:hAnsi="Book Antiqua" w:cs="Arial"/>
        </w:rPr>
        <w:t xml:space="preserve"> there would be disproportionate. </w:t>
      </w:r>
    </w:p>
    <w:p w14:paraId="56F1AE3B" w14:textId="62E6FB88" w:rsidR="00F1129F" w:rsidRDefault="00A647B3"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Mr Franco relied on the country evidence, although he indicated that he preferred us to read it for ourselves in order to discover whether there was anything that might support his case.  </w:t>
      </w:r>
      <w:r w:rsidR="009E6868">
        <w:rPr>
          <w:rFonts w:ascii="Book Antiqua" w:hAnsi="Book Antiqua" w:cs="Arial"/>
        </w:rPr>
        <w:t>Mr Clarke drew specific attention t</w:t>
      </w:r>
      <w:r w:rsidR="003D2CD9">
        <w:rPr>
          <w:rFonts w:ascii="Book Antiqua" w:hAnsi="Book Antiqua" w:cs="Arial"/>
        </w:rPr>
        <w:t xml:space="preserve">o what he regarded as defects in </w:t>
      </w:r>
      <w:r w:rsidR="009E6868">
        <w:rPr>
          <w:rFonts w:ascii="Book Antiqua" w:hAnsi="Book Antiqua" w:cs="Arial"/>
        </w:rPr>
        <w:t>it.  In these circumstances we have done o</w:t>
      </w:r>
      <w:r w:rsidR="003D2CD9">
        <w:rPr>
          <w:rFonts w:ascii="Book Antiqua" w:hAnsi="Book Antiqua" w:cs="Arial"/>
        </w:rPr>
        <w:t>u</w:t>
      </w:r>
      <w:r w:rsidR="009E6868">
        <w:rPr>
          <w:rFonts w:ascii="Book Antiqua" w:hAnsi="Book Antiqua" w:cs="Arial"/>
        </w:rPr>
        <w:t>r best to assess the overall impact of the evidence.</w:t>
      </w:r>
    </w:p>
    <w:p w14:paraId="2EBA812E" w14:textId="6E6E506D" w:rsidR="009E6868" w:rsidRDefault="009E6868"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We assume that it is represented at its strongest in the skeleton argument prepared for the hearing before the First-tier Tribunal.  That relies on a </w:t>
      </w:r>
      <w:r w:rsidR="00CC3379">
        <w:rPr>
          <w:rFonts w:ascii="Book Antiqua" w:hAnsi="Book Antiqua" w:cs="Arial"/>
        </w:rPr>
        <w:t>number of documents</w:t>
      </w:r>
      <w:r w:rsidR="00067FCB">
        <w:rPr>
          <w:rFonts w:ascii="Book Antiqua" w:hAnsi="Book Antiqua" w:cs="Arial"/>
        </w:rPr>
        <w:t>,</w:t>
      </w:r>
      <w:r w:rsidR="00CC3379">
        <w:rPr>
          <w:rFonts w:ascii="Book Antiqua" w:hAnsi="Book Antiqua" w:cs="Arial"/>
        </w:rPr>
        <w:t xml:space="preserve"> as follows.  First, </w:t>
      </w:r>
      <w:r w:rsidR="00EF1746">
        <w:rPr>
          <w:rFonts w:ascii="Book Antiqua" w:hAnsi="Book Antiqua" w:cs="Arial"/>
        </w:rPr>
        <w:t>it is said that the claim</w:t>
      </w:r>
      <w:r w:rsidR="00D02851">
        <w:rPr>
          <w:rFonts w:ascii="Book Antiqua" w:hAnsi="Book Antiqua" w:cs="Arial"/>
        </w:rPr>
        <w:t>ant’s contention</w:t>
      </w:r>
      <w:r w:rsidR="00CC3379">
        <w:rPr>
          <w:rFonts w:ascii="Book Antiqua" w:hAnsi="Book Antiqua" w:cs="Arial"/>
        </w:rPr>
        <w:t xml:space="preserve"> that there is societal discrimination against LGBT group</w:t>
      </w:r>
      <w:r w:rsidR="00E11A61">
        <w:rPr>
          <w:rFonts w:ascii="Book Antiqua" w:hAnsi="Book Antiqua" w:cs="Arial"/>
        </w:rPr>
        <w:t>s is supported by Human Rights W</w:t>
      </w:r>
      <w:r w:rsidR="00CC3379">
        <w:rPr>
          <w:rFonts w:ascii="Book Antiqua" w:hAnsi="Book Antiqua" w:cs="Arial"/>
        </w:rPr>
        <w:t xml:space="preserve">atches “World Report </w:t>
      </w:r>
      <w:r w:rsidR="0020262A">
        <w:rPr>
          <w:rFonts w:ascii="Book Antiqua" w:hAnsi="Book Antiqua" w:cs="Arial"/>
        </w:rPr>
        <w:t>2</w:t>
      </w:r>
      <w:r w:rsidR="00CC3379">
        <w:rPr>
          <w:rFonts w:ascii="Book Antiqua" w:hAnsi="Book Antiqua" w:cs="Arial"/>
        </w:rPr>
        <w:t>018”</w:t>
      </w:r>
      <w:r w:rsidR="0020262A">
        <w:rPr>
          <w:rFonts w:ascii="Book Antiqua" w:hAnsi="Book Antiqua" w:cs="Arial"/>
        </w:rPr>
        <w:t>.  Two passages are then set out.  The first indicates that in late 2016 Human Rights Watch documented a range of abuses against LGBT students in secondary school.  Second is that:</w:t>
      </w:r>
    </w:p>
    <w:p w14:paraId="7C71CF1C" w14:textId="678E7344" w:rsidR="0020262A" w:rsidRPr="00951A09" w:rsidRDefault="0020262A" w:rsidP="00951A09">
      <w:pPr>
        <w:spacing w:before="120" w:after="120"/>
        <w:ind w:left="1134"/>
        <w:jc w:val="both"/>
        <w:rPr>
          <w:rFonts w:ascii="Book Antiqua" w:hAnsi="Book Antiqua" w:cs="Arial"/>
        </w:rPr>
      </w:pPr>
      <w:r w:rsidRPr="00951A09">
        <w:rPr>
          <w:rFonts w:ascii="Book Antiqua" w:hAnsi="Book Antiqua" w:cs="Arial"/>
        </w:rPr>
        <w:t>“In September [2018] the House of Representatives passed House Bill 4982, a proposed law against discrimination based on sexual orientation and gender identity and expression.”</w:t>
      </w:r>
    </w:p>
    <w:p w14:paraId="34DE0FDF" w14:textId="722B8485" w:rsidR="0020262A" w:rsidRDefault="0020262A"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Next, the skeleton argument </w:t>
      </w:r>
      <w:r w:rsidR="00870741">
        <w:rPr>
          <w:rFonts w:ascii="Book Antiqua" w:hAnsi="Book Antiqua" w:cs="Arial"/>
        </w:rPr>
        <w:t>refers to the Freedom House R</w:t>
      </w:r>
      <w:r>
        <w:rPr>
          <w:rFonts w:ascii="Book Antiqua" w:hAnsi="Book Antiqua" w:cs="Arial"/>
        </w:rPr>
        <w:t xml:space="preserve">eport </w:t>
      </w:r>
      <w:r w:rsidR="00870741">
        <w:rPr>
          <w:rFonts w:ascii="Book Antiqua" w:hAnsi="Book Antiqua" w:cs="Arial"/>
        </w:rPr>
        <w:t>on the Philippines for 2018.  The sole relevant paragraph in that report appears to have been as follows:</w:t>
      </w:r>
    </w:p>
    <w:p w14:paraId="0A87D4E3" w14:textId="1C4B535E" w:rsidR="00870741" w:rsidRPr="00951A09" w:rsidRDefault="00870741" w:rsidP="00951A09">
      <w:pPr>
        <w:spacing w:before="120" w:after="120"/>
        <w:ind w:left="1134"/>
        <w:jc w:val="both"/>
        <w:rPr>
          <w:rFonts w:ascii="Book Antiqua" w:hAnsi="Book Antiqua" w:cs="Arial"/>
        </w:rPr>
      </w:pPr>
      <w:r w:rsidRPr="00951A09">
        <w:rPr>
          <w:rFonts w:ascii="Book Antiqua" w:hAnsi="Book Antiqua" w:cs="Arial"/>
        </w:rPr>
        <w:t xml:space="preserve">“LGBT (Lesbian, Gay, Bisexual and Transgender) face bias in employment education and other services, as well as societal discrimination.  In a landmark unanimous vote in September, the House of Representatives </w:t>
      </w:r>
      <w:r w:rsidR="00B4401B" w:rsidRPr="00951A09">
        <w:rPr>
          <w:rFonts w:ascii="Book Antiqua" w:hAnsi="Book Antiqua" w:cs="Arial"/>
        </w:rPr>
        <w:t>pass</w:t>
      </w:r>
      <w:r w:rsidR="007E533C" w:rsidRPr="00951A09">
        <w:rPr>
          <w:rFonts w:ascii="Book Antiqua" w:hAnsi="Book Antiqua" w:cs="Arial"/>
        </w:rPr>
        <w:t>ed</w:t>
      </w:r>
      <w:r w:rsidR="00897B69" w:rsidRPr="00951A09">
        <w:rPr>
          <w:rFonts w:ascii="Book Antiqua" w:hAnsi="Book Antiqua" w:cs="Arial"/>
        </w:rPr>
        <w:t xml:space="preserve"> the</w:t>
      </w:r>
      <w:r w:rsidR="00B4401B" w:rsidRPr="00951A09">
        <w:rPr>
          <w:rFonts w:ascii="Book Antiqua" w:hAnsi="Book Antiqua" w:cs="Arial"/>
        </w:rPr>
        <w:t xml:space="preserve"> Sexual Orientation and Gender Identity and Expression equality (SOGIE) Bill,</w:t>
      </w:r>
      <w:r w:rsidR="00897B69" w:rsidRPr="00951A09">
        <w:rPr>
          <w:rFonts w:ascii="Book Antiqua" w:hAnsi="Book Antiqua" w:cs="Arial"/>
        </w:rPr>
        <w:t xml:space="preserve"> which if passed by senate would</w:t>
      </w:r>
      <w:r w:rsidR="00B4401B" w:rsidRPr="00951A09">
        <w:rPr>
          <w:rFonts w:ascii="Book Antiqua" w:hAnsi="Book Antiqua" w:cs="Arial"/>
        </w:rPr>
        <w:t xml:space="preserve"> for</w:t>
      </w:r>
      <w:r w:rsidR="00897B69" w:rsidRPr="00951A09">
        <w:rPr>
          <w:rFonts w:ascii="Book Antiqua" w:hAnsi="Book Antiqua" w:cs="Arial"/>
        </w:rPr>
        <w:t xml:space="preserve">mally protect the </w:t>
      </w:r>
      <w:r w:rsidR="00B4401B" w:rsidRPr="00951A09">
        <w:rPr>
          <w:rFonts w:ascii="Book Antiqua" w:hAnsi="Book Antiqua" w:cs="Arial"/>
        </w:rPr>
        <w:t>rights of the LGBT community against gender based discrimination.”</w:t>
      </w:r>
    </w:p>
    <w:p w14:paraId="077B239C" w14:textId="1C1B026D" w:rsidR="0020262A" w:rsidRDefault="00B4401B" w:rsidP="00401514">
      <w:pPr>
        <w:numPr>
          <w:ilvl w:val="0"/>
          <w:numId w:val="1"/>
        </w:numPr>
        <w:tabs>
          <w:tab w:val="clear" w:pos="567"/>
        </w:tabs>
        <w:spacing w:before="160" w:after="160"/>
        <w:jc w:val="both"/>
        <w:rPr>
          <w:rFonts w:ascii="Book Antiqua" w:hAnsi="Book Antiqua" w:cs="Arial"/>
        </w:rPr>
      </w:pPr>
      <w:r>
        <w:rPr>
          <w:rFonts w:ascii="Book Antiqua" w:hAnsi="Book Antiqua" w:cs="Arial"/>
        </w:rPr>
        <w:t>The skele</w:t>
      </w:r>
      <w:r w:rsidR="001A2273">
        <w:rPr>
          <w:rFonts w:ascii="Book Antiqua" w:hAnsi="Book Antiqua" w:cs="Arial"/>
        </w:rPr>
        <w:t>ton argument then refers to an International Gay and Lesbian Human Rights Commission R</w:t>
      </w:r>
      <w:r>
        <w:rPr>
          <w:rFonts w:ascii="Book Antiqua" w:hAnsi="Book Antiqua" w:cs="Arial"/>
        </w:rPr>
        <w:t>eport and says that the examples it gives are supported by that of a report by t</w:t>
      </w:r>
      <w:r w:rsidR="001A2273">
        <w:rPr>
          <w:rFonts w:ascii="Book Antiqua" w:hAnsi="Book Antiqua" w:cs="Arial"/>
        </w:rPr>
        <w:t>he Rainbow Rights Project.  We</w:t>
      </w:r>
      <w:r>
        <w:rPr>
          <w:rFonts w:ascii="Book Antiqua" w:hAnsi="Book Antiqua" w:cs="Arial"/>
        </w:rPr>
        <w:t xml:space="preserve"> have looked at those </w:t>
      </w:r>
      <w:r w:rsidR="00B050BF">
        <w:rPr>
          <w:rFonts w:ascii="Book Antiqua" w:hAnsi="Book Antiqua" w:cs="Arial"/>
        </w:rPr>
        <w:t>reports.  The Rainbow Rights Project Report is based on interviews undertaken in 2011 to 20</w:t>
      </w:r>
      <w:r w:rsidR="00512663">
        <w:rPr>
          <w:rFonts w:ascii="Book Antiqua" w:hAnsi="Book Antiqua" w:cs="Arial"/>
        </w:rPr>
        <w:t>12.  The other report does no more than rely on the same results.</w:t>
      </w:r>
    </w:p>
    <w:p w14:paraId="60FF35D8" w14:textId="0C332FD6" w:rsidR="00512663" w:rsidRDefault="00512663" w:rsidP="00401514">
      <w:pPr>
        <w:numPr>
          <w:ilvl w:val="0"/>
          <w:numId w:val="1"/>
        </w:numPr>
        <w:tabs>
          <w:tab w:val="clear" w:pos="567"/>
        </w:tabs>
        <w:spacing w:before="160" w:after="160"/>
        <w:jc w:val="both"/>
        <w:rPr>
          <w:rFonts w:ascii="Book Antiqua" w:hAnsi="Book Antiqua" w:cs="Arial"/>
        </w:rPr>
      </w:pPr>
      <w:r>
        <w:rPr>
          <w:rFonts w:ascii="Book Antiqua" w:hAnsi="Book Antiqua" w:cs="Arial"/>
        </w:rPr>
        <w:lastRenderedPageBreak/>
        <w:t xml:space="preserve">Finally, the skeleton argument relies on a report from a body called </w:t>
      </w:r>
      <w:proofErr w:type="spellStart"/>
      <w:r>
        <w:rPr>
          <w:rFonts w:ascii="Book Antiqua" w:hAnsi="Book Antiqua" w:cs="Arial"/>
        </w:rPr>
        <w:t>OutRight</w:t>
      </w:r>
      <w:proofErr w:type="spellEnd"/>
      <w:r>
        <w:rPr>
          <w:rFonts w:ascii="Book Antiqua" w:hAnsi="Book Antiqua" w:cs="Arial"/>
        </w:rPr>
        <w:t xml:space="preserve"> </w:t>
      </w:r>
      <w:r w:rsidR="006C146E">
        <w:rPr>
          <w:rFonts w:ascii="Book Antiqua" w:hAnsi="Book Antiqua" w:cs="Arial"/>
        </w:rPr>
        <w:t xml:space="preserve">Action </w:t>
      </w:r>
      <w:r>
        <w:rPr>
          <w:rFonts w:ascii="Book Antiqua" w:hAnsi="Book Antiqua" w:cs="Arial"/>
        </w:rPr>
        <w:t>International.  We have read that report, which is not so far as we can see dated, although it refers to events as late as 2016, but, on the other hand, some of the references show websites accessed in 2012.  The main task of the report is to report and assess equalit</w:t>
      </w:r>
      <w:r w:rsidR="00005AB4">
        <w:rPr>
          <w:rFonts w:ascii="Book Antiqua" w:hAnsi="Book Antiqua" w:cs="Arial"/>
        </w:rPr>
        <w:t xml:space="preserve">y training delivered to </w:t>
      </w:r>
      <w:r w:rsidR="00257513">
        <w:rPr>
          <w:rFonts w:ascii="Book Antiqua" w:hAnsi="Book Antiqua" w:cs="Arial"/>
        </w:rPr>
        <w:t>police o</w:t>
      </w:r>
      <w:r>
        <w:rPr>
          <w:rFonts w:ascii="Book Antiqua" w:hAnsi="Book Antiqua" w:cs="Arial"/>
        </w:rPr>
        <w:t>fficers in the Philippines in 2013 to 2014.  There are “quote boxes” scattered through the text, indicating positive and tolerant views following training, for example:</w:t>
      </w:r>
    </w:p>
    <w:p w14:paraId="22461553" w14:textId="2F13EA9E" w:rsidR="00512663" w:rsidRPr="00951A09" w:rsidRDefault="00512663" w:rsidP="00951A09">
      <w:pPr>
        <w:spacing w:before="120" w:after="120"/>
        <w:ind w:left="1134"/>
        <w:jc w:val="both"/>
        <w:rPr>
          <w:rFonts w:ascii="Book Antiqua" w:hAnsi="Book Antiqua" w:cs="Arial"/>
        </w:rPr>
      </w:pPr>
      <w:r w:rsidRPr="00951A09">
        <w:rPr>
          <w:rFonts w:ascii="Book Antiqua" w:hAnsi="Book Antiqua" w:cs="Arial"/>
        </w:rPr>
        <w:t xml:space="preserve">“My religion may not approve of your lifestyle and I have let this affect how I </w:t>
      </w:r>
      <w:r w:rsidR="005E071D" w:rsidRPr="00951A09">
        <w:rPr>
          <w:rFonts w:ascii="Book Antiqua" w:hAnsi="Book Antiqua" w:cs="Arial"/>
        </w:rPr>
        <w:t>treat your group but now as a Police O</w:t>
      </w:r>
      <w:r w:rsidRPr="00951A09">
        <w:rPr>
          <w:rFonts w:ascii="Book Antiqua" w:hAnsi="Book Antiqua" w:cs="Arial"/>
        </w:rPr>
        <w:t>fficer I will work and protect your rights as citizens in our community.”</w:t>
      </w:r>
    </w:p>
    <w:p w14:paraId="0003A24F" w14:textId="5C195354" w:rsidR="0020262A" w:rsidRDefault="00512663"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The report is a difficult document </w:t>
      </w:r>
      <w:r w:rsidR="00946E84">
        <w:rPr>
          <w:rFonts w:ascii="Book Antiqua" w:hAnsi="Book Antiqua" w:cs="Arial"/>
        </w:rPr>
        <w:t>to read.  On page 19 it records two examples (in 2015 and 2016) of strong disciplinary action being</w:t>
      </w:r>
      <w:r w:rsidR="00D02109">
        <w:rPr>
          <w:rFonts w:ascii="Book Antiqua" w:hAnsi="Book Antiqua" w:cs="Arial"/>
        </w:rPr>
        <w:t xml:space="preserve"> taken </w:t>
      </w:r>
      <w:r w:rsidR="00946E84">
        <w:rPr>
          <w:rFonts w:ascii="Book Antiqua" w:hAnsi="Book Antiqua" w:cs="Arial"/>
        </w:rPr>
        <w:t xml:space="preserve">against </w:t>
      </w:r>
      <w:r w:rsidR="003A4AB8">
        <w:rPr>
          <w:rFonts w:ascii="Book Antiqua" w:hAnsi="Book Antiqua" w:cs="Arial"/>
        </w:rPr>
        <w:t xml:space="preserve">officers who discriminated against or took advantage of LGBT citizens.  On the next page it appears to treat circumstances </w:t>
      </w:r>
      <w:r w:rsidR="00D02109">
        <w:rPr>
          <w:rFonts w:ascii="Book Antiqua" w:hAnsi="Book Antiqua" w:cs="Arial"/>
        </w:rPr>
        <w:t>in</w:t>
      </w:r>
      <w:r w:rsidR="003A4AB8">
        <w:rPr>
          <w:rFonts w:ascii="Book Antiqua" w:hAnsi="Book Antiqua" w:cs="Arial"/>
        </w:rPr>
        <w:t xml:space="preserve"> 2013 as though they were still, at the writing of the report, entirely current.  In contrast to that again, as we have indicated, the report appears to indicate that the 34 training se</w:t>
      </w:r>
      <w:r w:rsidR="00C710B8">
        <w:rPr>
          <w:rFonts w:ascii="Book Antiqua" w:hAnsi="Book Antiqua" w:cs="Arial"/>
        </w:rPr>
        <w:t>ssions, including 2,035 Police O</w:t>
      </w:r>
      <w:r w:rsidR="003A4AB8">
        <w:rPr>
          <w:rFonts w:ascii="Book Antiqua" w:hAnsi="Book Antiqua" w:cs="Arial"/>
        </w:rPr>
        <w:t xml:space="preserve">fficers, were successful.  We find it impossible to read the report as supporting the contention in the skeleton argument that, at the present time, a lesbian in the Philippines will suffer such abuse </w:t>
      </w:r>
      <w:r w:rsidR="00DD453E">
        <w:rPr>
          <w:rFonts w:ascii="Book Antiqua" w:hAnsi="Book Antiqua" w:cs="Arial"/>
        </w:rPr>
        <w:t xml:space="preserve">from the police </w:t>
      </w:r>
      <w:r w:rsidR="00287AD8">
        <w:rPr>
          <w:rFonts w:ascii="Book Antiqua" w:hAnsi="Book Antiqua" w:cs="Arial"/>
        </w:rPr>
        <w:t>as to amount to very serious obstacles to her integration.  So far as concerns the other reports, it seems to us that the evidence is both on the one hand scattered and anecdotal, and on the other hand rather old.  In particular, it predates both the legislation to which reference has already been made, and the election of a publicly transgender politician to the Lower House, Geraldine Roman, who said, at her election in 2</w:t>
      </w:r>
      <w:r w:rsidR="001A5AFE">
        <w:rPr>
          <w:rFonts w:ascii="Book Antiqua" w:hAnsi="Book Antiqua" w:cs="Arial"/>
        </w:rPr>
        <w:t xml:space="preserve">016, that she will be a champion for LGBT rights.  </w:t>
      </w:r>
    </w:p>
    <w:p w14:paraId="591ECB1D" w14:textId="0D4B1924" w:rsidR="00BF70E2" w:rsidRDefault="001A5AFE"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Even apart from that, the documentation to which we have been referred does not appear to show that any difficulties being suffered by LGBT </w:t>
      </w:r>
      <w:r w:rsidR="00510AAB">
        <w:rPr>
          <w:rFonts w:ascii="Book Antiqua" w:hAnsi="Book Antiqua" w:cs="Arial"/>
        </w:rPr>
        <w:t xml:space="preserve">people </w:t>
      </w:r>
      <w:r>
        <w:rPr>
          <w:rFonts w:ascii="Book Antiqua" w:hAnsi="Book Antiqua" w:cs="Arial"/>
        </w:rPr>
        <w:t>even at the time of the relevant research was uniform throughout the Philippines.  In particular, the IGLHRC Report of 2015 says that the family is the most common source of violence for LGBT people, and a very high proportion of the examples are of discrimination and violence within the family.  The Rainbow Rights Report, whilst setting out such difficulties as it has been able to document, also says as of 2013 (or thereabouts) that:</w:t>
      </w:r>
    </w:p>
    <w:p w14:paraId="084FC3C0" w14:textId="65DB7163" w:rsidR="001A5AFE" w:rsidRPr="00951A09" w:rsidRDefault="005339A8" w:rsidP="00951A09">
      <w:pPr>
        <w:spacing w:before="120" w:after="120"/>
        <w:ind w:left="1134"/>
        <w:jc w:val="both"/>
        <w:rPr>
          <w:rFonts w:ascii="Book Antiqua" w:hAnsi="Book Antiqua" w:cs="Arial"/>
        </w:rPr>
      </w:pPr>
      <w:r w:rsidRPr="00951A09">
        <w:rPr>
          <w:rFonts w:ascii="Book Antiqua" w:hAnsi="Book Antiqua" w:cs="Arial"/>
        </w:rPr>
        <w:t>“</w:t>
      </w:r>
      <w:r w:rsidR="00D94B0B" w:rsidRPr="00951A09">
        <w:rPr>
          <w:rFonts w:ascii="Book Antiqua" w:hAnsi="Book Antiqua" w:cs="Arial"/>
        </w:rPr>
        <w:t>While negligence characteriz</w:t>
      </w:r>
      <w:r w:rsidRPr="00951A09">
        <w:rPr>
          <w:rFonts w:ascii="Book Antiqua" w:hAnsi="Book Antiqua" w:cs="Arial"/>
        </w:rPr>
        <w:t>es national-level response to SOGIE-related issues, some state agencies and local-level governments have implemented policies aimed at formali</w:t>
      </w:r>
      <w:r w:rsidR="00D94B0B" w:rsidRPr="00951A09">
        <w:rPr>
          <w:rFonts w:ascii="Book Antiqua" w:hAnsi="Book Antiqua" w:cs="Arial"/>
        </w:rPr>
        <w:t>z</w:t>
      </w:r>
      <w:r w:rsidRPr="00951A09">
        <w:rPr>
          <w:rFonts w:ascii="Book Antiqua" w:hAnsi="Book Antiqua" w:cs="Arial"/>
        </w:rPr>
        <w:t>ing protections for LGBT people…</w:t>
      </w:r>
      <w:r w:rsidR="00CE0191" w:rsidRPr="00951A09">
        <w:rPr>
          <w:rFonts w:ascii="Book Antiqua" w:hAnsi="Book Antiqua" w:cs="Arial"/>
        </w:rPr>
        <w:t>.</w:t>
      </w:r>
      <w:r w:rsidRPr="00951A09">
        <w:rPr>
          <w:rFonts w:ascii="Book Antiqua" w:hAnsi="Book Antiqua" w:cs="Arial"/>
        </w:rPr>
        <w:t xml:space="preserve"> Local anti-discrimination </w:t>
      </w:r>
      <w:r w:rsidR="009A2F85" w:rsidRPr="00951A09">
        <w:rPr>
          <w:rFonts w:ascii="Book Antiqua" w:hAnsi="Book Antiqua" w:cs="Arial"/>
        </w:rPr>
        <w:t xml:space="preserve">ordinances are now </w:t>
      </w:r>
      <w:r w:rsidR="006C146E" w:rsidRPr="00951A09">
        <w:rPr>
          <w:rFonts w:ascii="Book Antiqua" w:hAnsi="Book Antiqua" w:cs="Arial"/>
        </w:rPr>
        <w:t>in place in Quez</w:t>
      </w:r>
      <w:r w:rsidR="00D94B0B" w:rsidRPr="00951A09">
        <w:rPr>
          <w:rFonts w:ascii="Book Antiqua" w:hAnsi="Book Antiqua" w:cs="Arial"/>
        </w:rPr>
        <w:t>on City, C</w:t>
      </w:r>
      <w:r w:rsidR="006C146E" w:rsidRPr="00951A09">
        <w:rPr>
          <w:rFonts w:ascii="Book Antiqua" w:hAnsi="Book Antiqua" w:cs="Arial"/>
        </w:rPr>
        <w:t>ebu City</w:t>
      </w:r>
      <w:r w:rsidR="00D94B0B" w:rsidRPr="00951A09">
        <w:rPr>
          <w:rFonts w:ascii="Book Antiqua" w:hAnsi="Book Antiqua" w:cs="Arial"/>
        </w:rPr>
        <w:t xml:space="preserve"> and Davao City, and will soon be enacted in Bacolod City. </w:t>
      </w:r>
      <w:r w:rsidR="00EA2349" w:rsidRPr="00951A09">
        <w:rPr>
          <w:rFonts w:ascii="Book Antiqua" w:hAnsi="Book Antiqua" w:cs="Arial"/>
        </w:rPr>
        <w:t xml:space="preserve"> In addition, the Civil Service Commission issued a memo on the inclusion of SOGIE in government eligibility examination requirements.”</w:t>
      </w:r>
    </w:p>
    <w:p w14:paraId="4D19EECB" w14:textId="28F28F74" w:rsidR="00BF70E2" w:rsidRDefault="00EA2349"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As we have said, there is no evidence on whether the claimant would choose to be openly lesbian </w:t>
      </w:r>
      <w:r w:rsidR="00285F82">
        <w:rPr>
          <w:rFonts w:ascii="Book Antiqua" w:hAnsi="Book Antiqua" w:cs="Arial"/>
        </w:rPr>
        <w:t xml:space="preserve">in the Philippines or not.  It seems to us that even if she was entirely open about her sexuality, there is no real reason to suppose on the evidence that there would be very significant obstacles to her integration into her own country.  There is no ground at all for supposing that she would be other than “enough of an insider in terms of understanding how life in society [in the Philippines] is carried on and a </w:t>
      </w:r>
      <w:r w:rsidR="00285F82">
        <w:rPr>
          <w:rFonts w:ascii="Book Antiqua" w:hAnsi="Book Antiqua" w:cs="Arial"/>
        </w:rPr>
        <w:lastRenderedPageBreak/>
        <w:t xml:space="preserve">capacity to participate in it”.  Although there is some outdated anecdotal evidence of discrimination in some parts of the Philippines, it appears that </w:t>
      </w:r>
      <w:r w:rsidR="00CF1272">
        <w:rPr>
          <w:rFonts w:ascii="Book Antiqua" w:hAnsi="Book Antiqua" w:cs="Arial"/>
        </w:rPr>
        <w:t>in any rate in a number of</w:t>
      </w:r>
      <w:r w:rsidR="00285F82">
        <w:rPr>
          <w:rFonts w:ascii="Book Antiqua" w:hAnsi="Book Antiqua" w:cs="Arial"/>
        </w:rPr>
        <w:t xml:space="preserve"> major cities there is legislation protecting diversity, and that national legislation follows the same trend.  But even if she were able to base herself on the situation in the Philippines as it was in 2013, the effective date of much of the evidence she has produced, it does not appear to us that it would be sufficient to negative the proposition that she would have “a reasonable opportunity to be accepted there to be able to operate on a day-to-day basis in that society and to build up within a reasonable time of variety of human relationships to give substance to [her] private or family life”.  This means that interpreting the evidence in the way most beneficial to the claimant, by assuming that she would be open and assuming (contrary to the facts) </w:t>
      </w:r>
      <w:r w:rsidR="00933A16">
        <w:rPr>
          <w:rFonts w:ascii="Book Antiqua" w:hAnsi="Book Antiqua" w:cs="Arial"/>
        </w:rPr>
        <w:t xml:space="preserve">that the situation </w:t>
      </w:r>
      <w:r w:rsidR="00CF1272">
        <w:rPr>
          <w:rFonts w:ascii="Book Antiqua" w:hAnsi="Book Antiqua" w:cs="Arial"/>
        </w:rPr>
        <w:t>h</w:t>
      </w:r>
      <w:r w:rsidR="00933A16">
        <w:rPr>
          <w:rFonts w:ascii="Book Antiqua" w:hAnsi="Book Antiqua" w:cs="Arial"/>
        </w:rPr>
        <w:t xml:space="preserve">as not changed in the last five years or so, the claimant would not be able to meet the requirements of paragraph 276ADE.  </w:t>
      </w:r>
    </w:p>
    <w:p w14:paraId="5B7A23AB" w14:textId="77777777" w:rsidR="00933A16" w:rsidRDefault="00933A16" w:rsidP="00401514">
      <w:pPr>
        <w:numPr>
          <w:ilvl w:val="0"/>
          <w:numId w:val="1"/>
        </w:numPr>
        <w:tabs>
          <w:tab w:val="clear" w:pos="567"/>
        </w:tabs>
        <w:spacing w:before="160" w:after="160"/>
        <w:jc w:val="both"/>
        <w:rPr>
          <w:rFonts w:ascii="Book Antiqua" w:hAnsi="Book Antiqua" w:cs="Arial"/>
        </w:rPr>
      </w:pPr>
      <w:r>
        <w:rPr>
          <w:rFonts w:ascii="Book Antiqua" w:hAnsi="Book Antiqua" w:cs="Arial"/>
        </w:rPr>
        <w:t>The only remaining issue is whether it would be disproportionate to remove the claimant if she cannot meet the requirements of the rules.  The only specific factor urged on her behalf in this context is an undated letter from a person who describes herself as a counsellor, with no known qualifications.  That letter says that on the basis that she has a fear of persecution in the Philippines, and, in particular, a fear of abuse in her own village, that “forcing [the claimant] to return to the Philippines will hinder her recovery [from depression] and therefore possibly increase the risk given her suicidal ideations”.  The letter concludes as follows:</w:t>
      </w:r>
    </w:p>
    <w:p w14:paraId="2DA1EF83" w14:textId="247DC318" w:rsidR="00933A16" w:rsidRPr="00951A09" w:rsidRDefault="00933A16" w:rsidP="00951A09">
      <w:pPr>
        <w:spacing w:before="120" w:after="120"/>
        <w:ind w:left="1134"/>
        <w:jc w:val="both"/>
        <w:rPr>
          <w:rFonts w:ascii="Book Antiqua" w:hAnsi="Book Antiqua" w:cs="Arial"/>
          <w:sz w:val="28"/>
          <w:szCs w:val="28"/>
        </w:rPr>
      </w:pPr>
      <w:r w:rsidRPr="00951A09">
        <w:rPr>
          <w:rFonts w:ascii="Book Antiqua" w:hAnsi="Book Antiqua" w:cs="Arial"/>
        </w:rPr>
        <w:t xml:space="preserve">“Ms </w:t>
      </w:r>
      <w:proofErr w:type="spellStart"/>
      <w:r w:rsidRPr="00951A09">
        <w:rPr>
          <w:rFonts w:ascii="Book Antiqua" w:hAnsi="Book Antiqua" w:cs="Arial"/>
        </w:rPr>
        <w:t>Tulingan</w:t>
      </w:r>
      <w:proofErr w:type="spellEnd"/>
      <w:r w:rsidRPr="00951A09">
        <w:rPr>
          <w:rFonts w:ascii="Book Antiqua" w:hAnsi="Book Antiqua" w:cs="Arial"/>
        </w:rPr>
        <w:t xml:space="preserve"> tells me she will have a better chance of recovery and be safer in an environment where she can live without fear of retribution b</w:t>
      </w:r>
      <w:r w:rsidR="00CF1272" w:rsidRPr="00951A09">
        <w:rPr>
          <w:rFonts w:ascii="Book Antiqua" w:hAnsi="Book Antiqua" w:cs="Arial"/>
        </w:rPr>
        <w:t xml:space="preserve">y her husband or persecution from </w:t>
      </w:r>
      <w:r w:rsidRPr="00951A09">
        <w:rPr>
          <w:rFonts w:ascii="Book Antiqua" w:hAnsi="Book Antiqua" w:cs="Arial"/>
        </w:rPr>
        <w:t xml:space="preserve">other villages”.  </w:t>
      </w:r>
      <w:r w:rsidRPr="00951A09">
        <w:rPr>
          <w:rFonts w:ascii="Book Antiqua" w:hAnsi="Book Antiqua" w:cs="Arial"/>
          <w:sz w:val="28"/>
          <w:szCs w:val="28"/>
        </w:rPr>
        <w:t xml:space="preserve"> </w:t>
      </w:r>
    </w:p>
    <w:p w14:paraId="188E3C85" w14:textId="420B0589" w:rsidR="00BF70E2" w:rsidRDefault="00933A16"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It is impossible to tell how much of the opinion in a letter merely repeats the claimant’s own statement of her case, which was for the most part rejected by the judge; it is also impossible to tell whether any opinions of the writer of the letter are entitled to respect as derived from expertise.  In our judgment the contents of that letter are wholly insufficient to show that the claimant has a right to be in the United Kingdom despite not meeting the requirements of the immigration rules.  </w:t>
      </w:r>
      <w:r w:rsidR="008F61F6">
        <w:rPr>
          <w:rFonts w:ascii="Book Antiqua" w:hAnsi="Book Antiqua" w:cs="Arial"/>
        </w:rPr>
        <w:t xml:space="preserve">If she needs treatment for depression, she can no doubt get it </w:t>
      </w:r>
      <w:r w:rsidR="00AE59EC">
        <w:rPr>
          <w:rFonts w:ascii="Book Antiqua" w:hAnsi="Book Antiqua" w:cs="Arial"/>
        </w:rPr>
        <w:t>in the Philippines; the fears that she expresses are not substantiated</w:t>
      </w:r>
      <w:r w:rsidR="003F13D8">
        <w:rPr>
          <w:rFonts w:ascii="Book Antiqua" w:hAnsi="Book Antiqua" w:cs="Arial"/>
        </w:rPr>
        <w:t>; and</w:t>
      </w:r>
      <w:r w:rsidR="00AE59EC">
        <w:rPr>
          <w:rFonts w:ascii="Book Antiqua" w:hAnsi="Book Antiqua" w:cs="Arial"/>
        </w:rPr>
        <w:t xml:space="preserve"> (in the case of those focused on her own village)</w:t>
      </w:r>
      <w:r w:rsidR="00FE13C1">
        <w:rPr>
          <w:rFonts w:ascii="Book Antiqua" w:hAnsi="Book Antiqua" w:cs="Arial"/>
        </w:rPr>
        <w:t xml:space="preserve"> related to risks she will readily avoid as an educated person making her way in the Philippines today. </w:t>
      </w:r>
    </w:p>
    <w:p w14:paraId="1ADCD1E1" w14:textId="78C9DE35" w:rsidR="00FE13C1" w:rsidRDefault="00FE13C1" w:rsidP="00401514">
      <w:pPr>
        <w:numPr>
          <w:ilvl w:val="0"/>
          <w:numId w:val="1"/>
        </w:numPr>
        <w:tabs>
          <w:tab w:val="clear" w:pos="567"/>
        </w:tabs>
        <w:spacing w:before="160" w:after="160"/>
        <w:jc w:val="both"/>
        <w:rPr>
          <w:rFonts w:ascii="Book Antiqua" w:hAnsi="Book Antiqua" w:cs="Arial"/>
        </w:rPr>
      </w:pPr>
      <w:r>
        <w:rPr>
          <w:rFonts w:ascii="Book Antiqua" w:hAnsi="Book Antiqua" w:cs="Arial"/>
        </w:rPr>
        <w:t xml:space="preserve">For the foregoing reasons our conclusion is that the claimant has not made her case.  Having set aside the judgment of the First-tier Tribunal for error of law, we substitute a decision dismissing the claimant’s appeal.  </w:t>
      </w:r>
    </w:p>
    <w:p w14:paraId="70C22966" w14:textId="46C779F1" w:rsidR="0020262A" w:rsidRPr="00FE13C1" w:rsidRDefault="0020262A" w:rsidP="00401514">
      <w:pPr>
        <w:jc w:val="right"/>
        <w:rPr>
          <w:rFonts w:ascii="Book Antiqua" w:hAnsi="Book Antiqua" w:cs="Arial"/>
        </w:rPr>
      </w:pPr>
    </w:p>
    <w:p w14:paraId="0ACD4C87" w14:textId="77777777" w:rsidR="009F5220" w:rsidRDefault="009F5220" w:rsidP="00401514">
      <w:pPr>
        <w:jc w:val="right"/>
        <w:rPr>
          <w:rFonts w:ascii="Book Antiqua" w:hAnsi="Book Antiqua" w:cs="Arial"/>
        </w:rPr>
      </w:pPr>
    </w:p>
    <w:p w14:paraId="369CF995" w14:textId="77777777" w:rsidR="00342DE4" w:rsidRDefault="00342DE4" w:rsidP="00401514">
      <w:pPr>
        <w:jc w:val="right"/>
        <w:rPr>
          <w:rFonts w:ascii="Book Antiqua" w:hAnsi="Book Antiqua"/>
        </w:rPr>
      </w:pPr>
      <w:r>
        <w:rPr>
          <w:rFonts w:ascii="Book Antiqua" w:hAnsi="Book Antiqua"/>
        </w:rPr>
        <w:t>C. M. G. OCKELTON</w:t>
      </w:r>
    </w:p>
    <w:p w14:paraId="3F1F8A2B" w14:textId="77777777" w:rsidR="00342DE4" w:rsidRDefault="00342DE4" w:rsidP="00401514">
      <w:pPr>
        <w:jc w:val="right"/>
        <w:rPr>
          <w:rFonts w:ascii="Book Antiqua" w:hAnsi="Book Antiqua"/>
        </w:rPr>
      </w:pPr>
      <w:r>
        <w:rPr>
          <w:rFonts w:ascii="Book Antiqua" w:hAnsi="Book Antiqua"/>
        </w:rPr>
        <w:t>VICE PRESIDENT OF THE UPPER TRIBUNAL</w:t>
      </w:r>
    </w:p>
    <w:p w14:paraId="38046093" w14:textId="77777777" w:rsidR="00342DE4" w:rsidRPr="0057456D" w:rsidRDefault="00342DE4" w:rsidP="00401514">
      <w:pPr>
        <w:jc w:val="right"/>
        <w:rPr>
          <w:rFonts w:ascii="Book Antiqua" w:hAnsi="Book Antiqua"/>
        </w:rPr>
      </w:pPr>
      <w:r w:rsidRPr="0057456D">
        <w:rPr>
          <w:rFonts w:ascii="Book Antiqua" w:hAnsi="Book Antiqua"/>
        </w:rPr>
        <w:t>IMMIGRATION AND ASYLUM CHAMBER</w:t>
      </w:r>
    </w:p>
    <w:p w14:paraId="1AF9AFC9" w14:textId="2F5EFC19" w:rsidR="00342DE4" w:rsidRDefault="00342DE4" w:rsidP="00401514">
      <w:pPr>
        <w:jc w:val="right"/>
        <w:rPr>
          <w:rFonts w:ascii="Book Antiqua" w:hAnsi="Book Antiqua" w:cs="Arial"/>
        </w:rPr>
      </w:pPr>
      <w:r>
        <w:rPr>
          <w:rFonts w:ascii="Book Antiqua" w:hAnsi="Book Antiqua"/>
        </w:rPr>
        <w:t xml:space="preserve">Date: </w:t>
      </w:r>
      <w:r w:rsidR="004326A5">
        <w:rPr>
          <w:rFonts w:ascii="Book Antiqua" w:hAnsi="Book Antiqua"/>
        </w:rPr>
        <w:t>30</w:t>
      </w:r>
      <w:r w:rsidR="00BF70E2">
        <w:rPr>
          <w:rFonts w:ascii="Book Antiqua" w:hAnsi="Book Antiqua"/>
        </w:rPr>
        <w:t xml:space="preserve"> September</w:t>
      </w:r>
      <w:r w:rsidR="00407CBB">
        <w:rPr>
          <w:rFonts w:ascii="Book Antiqua" w:hAnsi="Book Antiqua"/>
        </w:rPr>
        <w:t xml:space="preserve"> </w:t>
      </w:r>
      <w:r w:rsidR="00534B06">
        <w:rPr>
          <w:rFonts w:ascii="Book Antiqua" w:hAnsi="Book Antiqua"/>
        </w:rPr>
        <w:t>2019</w:t>
      </w:r>
    </w:p>
    <w:p w14:paraId="77D97753" w14:textId="77777777" w:rsidR="001F2716" w:rsidRPr="009B7433" w:rsidRDefault="001F2716" w:rsidP="00401514">
      <w:pPr>
        <w:jc w:val="right"/>
        <w:rPr>
          <w:rFonts w:ascii="Book Antiqua" w:hAnsi="Book Antiqua" w:cs="Arial"/>
        </w:rPr>
      </w:pPr>
    </w:p>
    <w:sectPr w:rsidR="001F2716" w:rsidRPr="009B7433" w:rsidSect="00401514">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9DE06" w14:textId="77777777" w:rsidR="006D6042" w:rsidRDefault="006D6042">
      <w:r>
        <w:separator/>
      </w:r>
    </w:p>
  </w:endnote>
  <w:endnote w:type="continuationSeparator" w:id="0">
    <w:p w14:paraId="158A3907" w14:textId="77777777" w:rsidR="006D6042" w:rsidRDefault="006D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82B2" w14:textId="635B34E5"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97A77">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17BF6"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534B06">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752FB" w14:textId="77777777" w:rsidR="006D6042" w:rsidRDefault="006D6042">
      <w:r>
        <w:separator/>
      </w:r>
    </w:p>
  </w:footnote>
  <w:footnote w:type="continuationSeparator" w:id="0">
    <w:p w14:paraId="5007B52F" w14:textId="77777777" w:rsidR="006D6042" w:rsidRDefault="006D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9B17B" w14:textId="02CB32BC"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506E33">
      <w:rPr>
        <w:rFonts w:ascii="Book Antiqua" w:hAnsi="Book Antiqua" w:cs="Arial"/>
        <w:sz w:val="16"/>
        <w:szCs w:val="16"/>
      </w:rPr>
      <w:t>PA/05931</w:t>
    </w:r>
    <w:r w:rsidR="00086A20">
      <w:rPr>
        <w:rFonts w:ascii="Book Antiqua" w:hAnsi="Book Antiqua" w:cs="Arial"/>
        <w:sz w:val="16"/>
        <w:szCs w:val="16"/>
      </w:rP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29FC"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42F"/>
    <w:rsid w:val="00000621"/>
    <w:rsid w:val="00002CF5"/>
    <w:rsid w:val="000036C2"/>
    <w:rsid w:val="00004CCE"/>
    <w:rsid w:val="00005AB4"/>
    <w:rsid w:val="00016C1A"/>
    <w:rsid w:val="00033588"/>
    <w:rsid w:val="00033D3D"/>
    <w:rsid w:val="0004450A"/>
    <w:rsid w:val="0004776F"/>
    <w:rsid w:val="00052895"/>
    <w:rsid w:val="00056D12"/>
    <w:rsid w:val="00062F02"/>
    <w:rsid w:val="00067FCB"/>
    <w:rsid w:val="00071A7E"/>
    <w:rsid w:val="000746C0"/>
    <w:rsid w:val="00074D1D"/>
    <w:rsid w:val="00086A20"/>
    <w:rsid w:val="00090622"/>
    <w:rsid w:val="00092580"/>
    <w:rsid w:val="00093D4D"/>
    <w:rsid w:val="00094892"/>
    <w:rsid w:val="000A0743"/>
    <w:rsid w:val="000D46DE"/>
    <w:rsid w:val="000D5D94"/>
    <w:rsid w:val="000D6475"/>
    <w:rsid w:val="000E2FC9"/>
    <w:rsid w:val="000E32F6"/>
    <w:rsid w:val="000F1A0E"/>
    <w:rsid w:val="000F78EE"/>
    <w:rsid w:val="001165A7"/>
    <w:rsid w:val="00117B4A"/>
    <w:rsid w:val="0015193D"/>
    <w:rsid w:val="0016285E"/>
    <w:rsid w:val="0016508E"/>
    <w:rsid w:val="00167D3A"/>
    <w:rsid w:val="00173F50"/>
    <w:rsid w:val="00175331"/>
    <w:rsid w:val="00185986"/>
    <w:rsid w:val="001A0791"/>
    <w:rsid w:val="001A2273"/>
    <w:rsid w:val="001A3082"/>
    <w:rsid w:val="001A5AFE"/>
    <w:rsid w:val="001B186A"/>
    <w:rsid w:val="001B2F75"/>
    <w:rsid w:val="001C6F5F"/>
    <w:rsid w:val="001D6167"/>
    <w:rsid w:val="001E1493"/>
    <w:rsid w:val="001F2716"/>
    <w:rsid w:val="001F3AC0"/>
    <w:rsid w:val="0020262A"/>
    <w:rsid w:val="00207617"/>
    <w:rsid w:val="00211787"/>
    <w:rsid w:val="0023134B"/>
    <w:rsid w:val="0024736E"/>
    <w:rsid w:val="00257513"/>
    <w:rsid w:val="00283659"/>
    <w:rsid w:val="00285F82"/>
    <w:rsid w:val="00287AD8"/>
    <w:rsid w:val="002A3438"/>
    <w:rsid w:val="002A5735"/>
    <w:rsid w:val="002A7491"/>
    <w:rsid w:val="002C6BD4"/>
    <w:rsid w:val="002D547E"/>
    <w:rsid w:val="002D68BF"/>
    <w:rsid w:val="002E4541"/>
    <w:rsid w:val="002E6B7F"/>
    <w:rsid w:val="002F6B98"/>
    <w:rsid w:val="00306FD1"/>
    <w:rsid w:val="00336CBF"/>
    <w:rsid w:val="00342DE4"/>
    <w:rsid w:val="00343FE3"/>
    <w:rsid w:val="003546C8"/>
    <w:rsid w:val="0037777D"/>
    <w:rsid w:val="003825D4"/>
    <w:rsid w:val="00387140"/>
    <w:rsid w:val="003878C2"/>
    <w:rsid w:val="003A4AB8"/>
    <w:rsid w:val="003A7CF2"/>
    <w:rsid w:val="003B4A4B"/>
    <w:rsid w:val="003C1B9A"/>
    <w:rsid w:val="003C5CE5"/>
    <w:rsid w:val="003D25F1"/>
    <w:rsid w:val="003D2CD9"/>
    <w:rsid w:val="003D6FAD"/>
    <w:rsid w:val="003E267B"/>
    <w:rsid w:val="003E7CD1"/>
    <w:rsid w:val="003F13D8"/>
    <w:rsid w:val="00401514"/>
    <w:rsid w:val="00402B9E"/>
    <w:rsid w:val="004067D9"/>
    <w:rsid w:val="00407CBB"/>
    <w:rsid w:val="004249CB"/>
    <w:rsid w:val="00431A34"/>
    <w:rsid w:val="004326A5"/>
    <w:rsid w:val="00433684"/>
    <w:rsid w:val="004378D3"/>
    <w:rsid w:val="0044127D"/>
    <w:rsid w:val="00441379"/>
    <w:rsid w:val="004448DB"/>
    <w:rsid w:val="00446C9A"/>
    <w:rsid w:val="00451236"/>
    <w:rsid w:val="00452F2B"/>
    <w:rsid w:val="004644B3"/>
    <w:rsid w:val="00477193"/>
    <w:rsid w:val="00492F5A"/>
    <w:rsid w:val="004A1848"/>
    <w:rsid w:val="004A2D15"/>
    <w:rsid w:val="004A4853"/>
    <w:rsid w:val="004A534C"/>
    <w:rsid w:val="004A6F4A"/>
    <w:rsid w:val="004B70D7"/>
    <w:rsid w:val="004C3332"/>
    <w:rsid w:val="004D6B45"/>
    <w:rsid w:val="004E131D"/>
    <w:rsid w:val="004E4717"/>
    <w:rsid w:val="004F2676"/>
    <w:rsid w:val="00506E33"/>
    <w:rsid w:val="00507FEC"/>
    <w:rsid w:val="00510AAB"/>
    <w:rsid w:val="00510F0E"/>
    <w:rsid w:val="00512663"/>
    <w:rsid w:val="005339A8"/>
    <w:rsid w:val="00534B06"/>
    <w:rsid w:val="00544BD6"/>
    <w:rsid w:val="0054570A"/>
    <w:rsid w:val="005479E1"/>
    <w:rsid w:val="00553028"/>
    <w:rsid w:val="00553E0A"/>
    <w:rsid w:val="005570FD"/>
    <w:rsid w:val="005575EA"/>
    <w:rsid w:val="00567B5D"/>
    <w:rsid w:val="00571B86"/>
    <w:rsid w:val="0057249E"/>
    <w:rsid w:val="0057790C"/>
    <w:rsid w:val="00593795"/>
    <w:rsid w:val="005A75FF"/>
    <w:rsid w:val="005C011F"/>
    <w:rsid w:val="005D10AB"/>
    <w:rsid w:val="005E071D"/>
    <w:rsid w:val="00601D8F"/>
    <w:rsid w:val="00605582"/>
    <w:rsid w:val="00611F34"/>
    <w:rsid w:val="00621FE8"/>
    <w:rsid w:val="006239BB"/>
    <w:rsid w:val="00635D95"/>
    <w:rsid w:val="006434B6"/>
    <w:rsid w:val="00653E97"/>
    <w:rsid w:val="00664AE0"/>
    <w:rsid w:val="006667DB"/>
    <w:rsid w:val="00684A74"/>
    <w:rsid w:val="0068620A"/>
    <w:rsid w:val="00687C77"/>
    <w:rsid w:val="00690B8A"/>
    <w:rsid w:val="006A4E89"/>
    <w:rsid w:val="006C146E"/>
    <w:rsid w:val="006C7C4B"/>
    <w:rsid w:val="006D6042"/>
    <w:rsid w:val="006D6B94"/>
    <w:rsid w:val="006D79FB"/>
    <w:rsid w:val="006F2CF1"/>
    <w:rsid w:val="006F4F35"/>
    <w:rsid w:val="00701725"/>
    <w:rsid w:val="007038ED"/>
    <w:rsid w:val="00703BC3"/>
    <w:rsid w:val="00704B61"/>
    <w:rsid w:val="00715A64"/>
    <w:rsid w:val="007260F0"/>
    <w:rsid w:val="00740C1F"/>
    <w:rsid w:val="007552A9"/>
    <w:rsid w:val="0075658A"/>
    <w:rsid w:val="00761858"/>
    <w:rsid w:val="0076684C"/>
    <w:rsid w:val="00767D59"/>
    <w:rsid w:val="00776E97"/>
    <w:rsid w:val="00780F86"/>
    <w:rsid w:val="00780FF6"/>
    <w:rsid w:val="007845C5"/>
    <w:rsid w:val="007912AD"/>
    <w:rsid w:val="007A09D1"/>
    <w:rsid w:val="007A1E59"/>
    <w:rsid w:val="007A3436"/>
    <w:rsid w:val="007B0824"/>
    <w:rsid w:val="007B5D3C"/>
    <w:rsid w:val="007C5846"/>
    <w:rsid w:val="007E533C"/>
    <w:rsid w:val="00803C09"/>
    <w:rsid w:val="00815011"/>
    <w:rsid w:val="00821B72"/>
    <w:rsid w:val="00821F3E"/>
    <w:rsid w:val="0082229E"/>
    <w:rsid w:val="00823EF2"/>
    <w:rsid w:val="008303B8"/>
    <w:rsid w:val="0083334D"/>
    <w:rsid w:val="00833DCE"/>
    <w:rsid w:val="00833E86"/>
    <w:rsid w:val="00836A0D"/>
    <w:rsid w:val="00836D4D"/>
    <w:rsid w:val="00862DBC"/>
    <w:rsid w:val="00863D06"/>
    <w:rsid w:val="00870741"/>
    <w:rsid w:val="008713BF"/>
    <w:rsid w:val="00871D34"/>
    <w:rsid w:val="0087517A"/>
    <w:rsid w:val="0087622A"/>
    <w:rsid w:val="008808F4"/>
    <w:rsid w:val="00883AE1"/>
    <w:rsid w:val="00897A77"/>
    <w:rsid w:val="00897B69"/>
    <w:rsid w:val="008A25EC"/>
    <w:rsid w:val="008A6059"/>
    <w:rsid w:val="008B270C"/>
    <w:rsid w:val="008B5078"/>
    <w:rsid w:val="008B5DA1"/>
    <w:rsid w:val="008C3D3D"/>
    <w:rsid w:val="008D4131"/>
    <w:rsid w:val="008E3377"/>
    <w:rsid w:val="008E70E7"/>
    <w:rsid w:val="008F1932"/>
    <w:rsid w:val="008F61F6"/>
    <w:rsid w:val="0090151B"/>
    <w:rsid w:val="009042A9"/>
    <w:rsid w:val="00921062"/>
    <w:rsid w:val="00933A16"/>
    <w:rsid w:val="0094011D"/>
    <w:rsid w:val="00941BE8"/>
    <w:rsid w:val="00946E84"/>
    <w:rsid w:val="00951A09"/>
    <w:rsid w:val="00952B20"/>
    <w:rsid w:val="009722BC"/>
    <w:rsid w:val="009727A3"/>
    <w:rsid w:val="0097430C"/>
    <w:rsid w:val="00987774"/>
    <w:rsid w:val="00990A9B"/>
    <w:rsid w:val="00991412"/>
    <w:rsid w:val="009A11E8"/>
    <w:rsid w:val="009A2F85"/>
    <w:rsid w:val="009B1796"/>
    <w:rsid w:val="009B7433"/>
    <w:rsid w:val="009C57C8"/>
    <w:rsid w:val="009D348A"/>
    <w:rsid w:val="009E6868"/>
    <w:rsid w:val="009E7737"/>
    <w:rsid w:val="009F5220"/>
    <w:rsid w:val="009F7751"/>
    <w:rsid w:val="00A07919"/>
    <w:rsid w:val="00A15234"/>
    <w:rsid w:val="00A172F5"/>
    <w:rsid w:val="00A201AB"/>
    <w:rsid w:val="00A31C8B"/>
    <w:rsid w:val="00A355DA"/>
    <w:rsid w:val="00A37826"/>
    <w:rsid w:val="00A473CB"/>
    <w:rsid w:val="00A509FA"/>
    <w:rsid w:val="00A647B3"/>
    <w:rsid w:val="00A8273A"/>
    <w:rsid w:val="00A83936"/>
    <w:rsid w:val="00A83FF8"/>
    <w:rsid w:val="00A845DC"/>
    <w:rsid w:val="00A94855"/>
    <w:rsid w:val="00A97B27"/>
    <w:rsid w:val="00AB2853"/>
    <w:rsid w:val="00AE0EF4"/>
    <w:rsid w:val="00AE59EC"/>
    <w:rsid w:val="00AF38FD"/>
    <w:rsid w:val="00B050BF"/>
    <w:rsid w:val="00B26259"/>
    <w:rsid w:val="00B26AA2"/>
    <w:rsid w:val="00B3524D"/>
    <w:rsid w:val="00B364FA"/>
    <w:rsid w:val="00B40E27"/>
    <w:rsid w:val="00B40F69"/>
    <w:rsid w:val="00B4401B"/>
    <w:rsid w:val="00B46616"/>
    <w:rsid w:val="00B528BB"/>
    <w:rsid w:val="00B7040A"/>
    <w:rsid w:val="00B7387A"/>
    <w:rsid w:val="00B83391"/>
    <w:rsid w:val="00B858F1"/>
    <w:rsid w:val="00B86C6A"/>
    <w:rsid w:val="00B95326"/>
    <w:rsid w:val="00BA0738"/>
    <w:rsid w:val="00BA3248"/>
    <w:rsid w:val="00BA647E"/>
    <w:rsid w:val="00BB40B5"/>
    <w:rsid w:val="00BC0EF9"/>
    <w:rsid w:val="00BD4196"/>
    <w:rsid w:val="00BE68F1"/>
    <w:rsid w:val="00BF22CA"/>
    <w:rsid w:val="00BF23BB"/>
    <w:rsid w:val="00BF642F"/>
    <w:rsid w:val="00BF70E2"/>
    <w:rsid w:val="00C05687"/>
    <w:rsid w:val="00C26032"/>
    <w:rsid w:val="00C345E1"/>
    <w:rsid w:val="00C43BFD"/>
    <w:rsid w:val="00C6048A"/>
    <w:rsid w:val="00C710B8"/>
    <w:rsid w:val="00C8354A"/>
    <w:rsid w:val="00CB2E3A"/>
    <w:rsid w:val="00CB6E35"/>
    <w:rsid w:val="00CC3379"/>
    <w:rsid w:val="00CE0191"/>
    <w:rsid w:val="00CE09B1"/>
    <w:rsid w:val="00CE1A46"/>
    <w:rsid w:val="00CE643E"/>
    <w:rsid w:val="00CF1272"/>
    <w:rsid w:val="00D02109"/>
    <w:rsid w:val="00D02851"/>
    <w:rsid w:val="00D05EA6"/>
    <w:rsid w:val="00D10DD6"/>
    <w:rsid w:val="00D16575"/>
    <w:rsid w:val="00D20757"/>
    <w:rsid w:val="00D215EA"/>
    <w:rsid w:val="00D22636"/>
    <w:rsid w:val="00D40FD9"/>
    <w:rsid w:val="00D450A4"/>
    <w:rsid w:val="00D525B7"/>
    <w:rsid w:val="00D53769"/>
    <w:rsid w:val="00D54E68"/>
    <w:rsid w:val="00D62630"/>
    <w:rsid w:val="00D6602D"/>
    <w:rsid w:val="00D85C13"/>
    <w:rsid w:val="00D9111A"/>
    <w:rsid w:val="00D91BE3"/>
    <w:rsid w:val="00D949B7"/>
    <w:rsid w:val="00D94AFC"/>
    <w:rsid w:val="00D94B0B"/>
    <w:rsid w:val="00DA4AEB"/>
    <w:rsid w:val="00DA7888"/>
    <w:rsid w:val="00DA7D1D"/>
    <w:rsid w:val="00DB70AE"/>
    <w:rsid w:val="00DC3995"/>
    <w:rsid w:val="00DD453E"/>
    <w:rsid w:val="00DD5071"/>
    <w:rsid w:val="00DD5C39"/>
    <w:rsid w:val="00DE64D8"/>
    <w:rsid w:val="00DE7DB7"/>
    <w:rsid w:val="00E003CD"/>
    <w:rsid w:val="00E00A0A"/>
    <w:rsid w:val="00E066DE"/>
    <w:rsid w:val="00E07F57"/>
    <w:rsid w:val="00E11A61"/>
    <w:rsid w:val="00E30683"/>
    <w:rsid w:val="00E42107"/>
    <w:rsid w:val="00E453D8"/>
    <w:rsid w:val="00E50BCE"/>
    <w:rsid w:val="00E574BF"/>
    <w:rsid w:val="00E60031"/>
    <w:rsid w:val="00E61292"/>
    <w:rsid w:val="00E77C4D"/>
    <w:rsid w:val="00E81D01"/>
    <w:rsid w:val="00E91460"/>
    <w:rsid w:val="00E966F4"/>
    <w:rsid w:val="00EA2349"/>
    <w:rsid w:val="00EB485A"/>
    <w:rsid w:val="00EB770B"/>
    <w:rsid w:val="00EC6DC8"/>
    <w:rsid w:val="00EE36B2"/>
    <w:rsid w:val="00EE45D8"/>
    <w:rsid w:val="00EF1746"/>
    <w:rsid w:val="00F1129F"/>
    <w:rsid w:val="00F21F5C"/>
    <w:rsid w:val="00F22EDA"/>
    <w:rsid w:val="00F45083"/>
    <w:rsid w:val="00F470D6"/>
    <w:rsid w:val="00F5589A"/>
    <w:rsid w:val="00F7108B"/>
    <w:rsid w:val="00F875D1"/>
    <w:rsid w:val="00FC40FA"/>
    <w:rsid w:val="00FE1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27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2019-12-12T15:31:00Z</dcterms:created>
  <dcterms:modified xsi:type="dcterms:W3CDTF">2019-12-12T15:31:00Z</dcterms:modified>
</cp:coreProperties>
</file>