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220" w:rsidRPr="000F5A05" w:rsidRDefault="009A7D74" w:rsidP="006C0220">
      <w:pPr>
        <w:jc w:val="center"/>
        <w:rPr>
          <w:rFonts w:ascii="Book Antiqua" w:hAnsi="Book Antiqua" w:cs="Arial"/>
          <w:caps/>
          <w:color w:val="000000"/>
        </w:rPr>
      </w:pPr>
      <w:r w:rsidRPr="000F5A05">
        <w:rPr>
          <w:rFonts w:ascii="Book Antiqua" w:hAnsi="Book Antiqua"/>
          <w:noProof/>
        </w:rPr>
        <w:drawing>
          <wp:inline distT="0" distB="0" distL="0" distR="0">
            <wp:extent cx="104140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8050"/>
                    </a:xfrm>
                    <a:prstGeom prst="rect">
                      <a:avLst/>
                    </a:prstGeom>
                    <a:noFill/>
                    <a:ln>
                      <a:noFill/>
                    </a:ln>
                  </pic:spPr>
                </pic:pic>
              </a:graphicData>
            </a:graphic>
          </wp:inline>
        </w:drawing>
      </w:r>
    </w:p>
    <w:p w:rsidR="006C0220" w:rsidRPr="000F5A05" w:rsidRDefault="006C0220" w:rsidP="006C0220">
      <w:pPr>
        <w:rPr>
          <w:rFonts w:ascii="Book Antiqua" w:hAnsi="Book Antiqua" w:cs="Arial"/>
          <w:color w:val="000000"/>
        </w:rPr>
      </w:pPr>
    </w:p>
    <w:p w:rsidR="006C0220" w:rsidRPr="000F5A05" w:rsidRDefault="006C0220" w:rsidP="006C0220">
      <w:pPr>
        <w:rPr>
          <w:rFonts w:ascii="Book Antiqua" w:hAnsi="Book Antiqua" w:cs="Arial"/>
          <w:color w:val="000000"/>
        </w:rPr>
      </w:pPr>
    </w:p>
    <w:p w:rsidR="006C0220" w:rsidRPr="000F5A05" w:rsidRDefault="006C0220" w:rsidP="006C0220">
      <w:pPr>
        <w:tabs>
          <w:tab w:val="right" w:pos="9720"/>
        </w:tabs>
        <w:ind w:right="-82"/>
        <w:rPr>
          <w:rFonts w:ascii="Book Antiqua" w:hAnsi="Book Antiqua" w:cs="Arial"/>
          <w:b/>
          <w:color w:val="000000"/>
        </w:rPr>
      </w:pPr>
      <w:r w:rsidRPr="000F5A05">
        <w:rPr>
          <w:rFonts w:ascii="Book Antiqua" w:hAnsi="Book Antiqua" w:cs="Arial"/>
          <w:b/>
          <w:color w:val="000000"/>
        </w:rPr>
        <w:t xml:space="preserve">Upper Tribunal </w:t>
      </w:r>
    </w:p>
    <w:p w:rsidR="006C0220" w:rsidRPr="000F5A05" w:rsidRDefault="006C0220" w:rsidP="006C0220">
      <w:pPr>
        <w:tabs>
          <w:tab w:val="right" w:pos="9720"/>
        </w:tabs>
        <w:ind w:right="-82"/>
        <w:rPr>
          <w:rFonts w:ascii="Book Antiqua" w:hAnsi="Book Antiqua" w:cs="Arial"/>
          <w:color w:val="000000"/>
        </w:rPr>
      </w:pPr>
      <w:r w:rsidRPr="000F5A05">
        <w:rPr>
          <w:rFonts w:ascii="Book Antiqua" w:hAnsi="Book Antiqua" w:cs="Arial"/>
          <w:b/>
          <w:color w:val="000000"/>
        </w:rPr>
        <w:t>(Immigration and Asylum Chamber)</w:t>
      </w:r>
      <w:r w:rsidRPr="000F5A05">
        <w:rPr>
          <w:rFonts w:ascii="Book Antiqua" w:hAnsi="Book Antiqua" w:cs="Arial"/>
          <w:b/>
          <w:color w:val="000000"/>
        </w:rPr>
        <w:tab/>
      </w:r>
      <w:r w:rsidRPr="000F5A05">
        <w:rPr>
          <w:rFonts w:ascii="Book Antiqua" w:hAnsi="Book Antiqua" w:cs="Arial"/>
          <w:color w:val="000000"/>
        </w:rPr>
        <w:t xml:space="preserve">Appeal Number: </w:t>
      </w:r>
      <w:bookmarkStart w:id="0" w:name="_GoBack"/>
      <w:r w:rsidRPr="000F5A05">
        <w:rPr>
          <w:rFonts w:ascii="Book Antiqua" w:hAnsi="Book Antiqua" w:cs="Arial"/>
          <w:caps/>
          <w:color w:val="000000"/>
        </w:rPr>
        <w:t>PA</w:t>
      </w:r>
      <w:r w:rsidR="00146E7F" w:rsidRPr="000F5A05">
        <w:rPr>
          <w:rFonts w:ascii="Book Antiqua" w:hAnsi="Book Antiqua" w:cs="Arial"/>
          <w:caps/>
          <w:color w:val="000000"/>
        </w:rPr>
        <w:t>/06023/2017</w:t>
      </w:r>
      <w:bookmarkEnd w:id="0"/>
    </w:p>
    <w:p w:rsidR="006C0220" w:rsidRPr="000F5A05" w:rsidRDefault="006C0220" w:rsidP="006C0220">
      <w:pPr>
        <w:jc w:val="center"/>
        <w:rPr>
          <w:rFonts w:ascii="Book Antiqua" w:hAnsi="Book Antiqua" w:cs="Arial"/>
          <w:color w:val="000000"/>
        </w:rPr>
      </w:pPr>
    </w:p>
    <w:p w:rsidR="00976462" w:rsidRDefault="00976462" w:rsidP="006C0220">
      <w:pPr>
        <w:jc w:val="center"/>
        <w:rPr>
          <w:rFonts w:ascii="Book Antiqua" w:hAnsi="Book Antiqua" w:cs="Arial"/>
          <w:b/>
          <w:color w:val="000000"/>
          <w:u w:val="single"/>
        </w:rPr>
      </w:pPr>
    </w:p>
    <w:p w:rsidR="006C0220" w:rsidRDefault="006C0220" w:rsidP="006C0220">
      <w:pPr>
        <w:jc w:val="center"/>
        <w:rPr>
          <w:rFonts w:ascii="Book Antiqua" w:hAnsi="Book Antiqua" w:cs="Arial"/>
          <w:b/>
          <w:color w:val="000000"/>
          <w:u w:val="single"/>
        </w:rPr>
      </w:pPr>
      <w:r w:rsidRPr="000F5A05">
        <w:rPr>
          <w:rFonts w:ascii="Book Antiqua" w:hAnsi="Book Antiqua" w:cs="Arial"/>
          <w:b/>
          <w:color w:val="000000"/>
          <w:u w:val="single"/>
        </w:rPr>
        <w:t>THE IMMIGRATION ACTS</w:t>
      </w:r>
    </w:p>
    <w:p w:rsidR="00976462" w:rsidRPr="000F5A05" w:rsidRDefault="00976462" w:rsidP="006C0220">
      <w:pPr>
        <w:jc w:val="center"/>
        <w:rPr>
          <w:rFonts w:ascii="Book Antiqua" w:hAnsi="Book Antiqua" w:cs="Arial"/>
          <w:b/>
          <w:color w:val="000000"/>
          <w:u w:val="single"/>
        </w:rPr>
      </w:pPr>
    </w:p>
    <w:p w:rsidR="006C0220" w:rsidRPr="000F5A05" w:rsidRDefault="006C0220" w:rsidP="006C0220">
      <w:pPr>
        <w:jc w:val="center"/>
        <w:rPr>
          <w:rFonts w:ascii="Book Antiqua" w:hAnsi="Book Antiqua" w:cs="Arial"/>
          <w:b/>
          <w:u w:val="single"/>
        </w:rPr>
      </w:pPr>
    </w:p>
    <w:tbl>
      <w:tblPr>
        <w:tblW w:w="0" w:type="auto"/>
        <w:tblLook w:val="01E0" w:firstRow="1" w:lastRow="1" w:firstColumn="1" w:lastColumn="1" w:noHBand="0" w:noVBand="0"/>
      </w:tblPr>
      <w:tblGrid>
        <w:gridCol w:w="4962"/>
        <w:gridCol w:w="4676"/>
      </w:tblGrid>
      <w:tr w:rsidR="006C0220" w:rsidRPr="000F5A05" w:rsidTr="009A7D74">
        <w:tc>
          <w:tcPr>
            <w:tcW w:w="5070" w:type="dxa"/>
            <w:shd w:val="clear" w:color="auto" w:fill="auto"/>
          </w:tcPr>
          <w:p w:rsidR="006C0220" w:rsidRPr="000F5A05" w:rsidRDefault="006C0220" w:rsidP="00141B96">
            <w:pPr>
              <w:jc w:val="both"/>
              <w:rPr>
                <w:rFonts w:ascii="Book Antiqua" w:hAnsi="Book Antiqua" w:cs="Arial"/>
                <w:b/>
              </w:rPr>
            </w:pPr>
            <w:r w:rsidRPr="000F5A05">
              <w:rPr>
                <w:rFonts w:ascii="Book Antiqua" w:hAnsi="Book Antiqua" w:cs="Arial"/>
                <w:b/>
              </w:rPr>
              <w:t>Heard at Field House</w:t>
            </w:r>
          </w:p>
        </w:tc>
        <w:tc>
          <w:tcPr>
            <w:tcW w:w="4758" w:type="dxa"/>
            <w:shd w:val="clear" w:color="auto" w:fill="auto"/>
          </w:tcPr>
          <w:p w:rsidR="006C0220" w:rsidRPr="000F5A05" w:rsidRDefault="006C0220" w:rsidP="00141B96">
            <w:pPr>
              <w:jc w:val="both"/>
              <w:rPr>
                <w:rFonts w:ascii="Book Antiqua" w:hAnsi="Book Antiqua" w:cs="Arial"/>
                <w:b/>
                <w:color w:val="000000"/>
              </w:rPr>
            </w:pPr>
            <w:r w:rsidRPr="000F5A05">
              <w:rPr>
                <w:rFonts w:ascii="Book Antiqua" w:hAnsi="Book Antiqua" w:cs="Arial"/>
                <w:b/>
                <w:color w:val="000000"/>
              </w:rPr>
              <w:t>Decision &amp; Reasons Promulgated</w:t>
            </w:r>
          </w:p>
        </w:tc>
      </w:tr>
      <w:tr w:rsidR="006C0220" w:rsidRPr="000F5A05" w:rsidTr="009A7D74">
        <w:trPr>
          <w:trHeight w:val="337"/>
        </w:trPr>
        <w:tc>
          <w:tcPr>
            <w:tcW w:w="5070" w:type="dxa"/>
            <w:shd w:val="clear" w:color="auto" w:fill="auto"/>
          </w:tcPr>
          <w:p w:rsidR="006C0220" w:rsidRPr="000F5A05" w:rsidRDefault="006C0220" w:rsidP="00141B96">
            <w:pPr>
              <w:jc w:val="both"/>
              <w:rPr>
                <w:rFonts w:ascii="Book Antiqua" w:hAnsi="Book Antiqua" w:cs="Arial"/>
                <w:b/>
              </w:rPr>
            </w:pPr>
            <w:r w:rsidRPr="000F5A05">
              <w:rPr>
                <w:rFonts w:ascii="Book Antiqua" w:hAnsi="Book Antiqua" w:cs="Arial"/>
                <w:b/>
              </w:rPr>
              <w:t xml:space="preserve">On </w:t>
            </w:r>
            <w:r w:rsidR="00146E7F" w:rsidRPr="000F5A05">
              <w:rPr>
                <w:rFonts w:ascii="Book Antiqua" w:hAnsi="Book Antiqua" w:cs="Arial"/>
                <w:b/>
              </w:rPr>
              <w:t>13 April 2018</w:t>
            </w:r>
          </w:p>
        </w:tc>
        <w:tc>
          <w:tcPr>
            <w:tcW w:w="4758" w:type="dxa"/>
            <w:shd w:val="clear" w:color="auto" w:fill="auto"/>
          </w:tcPr>
          <w:p w:rsidR="006C0220" w:rsidRPr="000F5A05" w:rsidRDefault="006C0220" w:rsidP="00141B96">
            <w:pPr>
              <w:jc w:val="both"/>
              <w:rPr>
                <w:rFonts w:ascii="Book Antiqua" w:hAnsi="Book Antiqua" w:cs="Arial"/>
                <w:b/>
              </w:rPr>
            </w:pPr>
            <w:r w:rsidRPr="000F5A05">
              <w:rPr>
                <w:rFonts w:ascii="Book Antiqua" w:hAnsi="Book Antiqua" w:cs="Arial"/>
                <w:b/>
              </w:rPr>
              <w:t xml:space="preserve">On </w:t>
            </w:r>
            <w:r w:rsidR="009A7D74">
              <w:rPr>
                <w:rFonts w:ascii="Book Antiqua" w:hAnsi="Book Antiqua" w:cs="Arial"/>
                <w:b/>
              </w:rPr>
              <w:t xml:space="preserve">04 July 2018 </w:t>
            </w:r>
          </w:p>
        </w:tc>
      </w:tr>
    </w:tbl>
    <w:p w:rsidR="006C0220" w:rsidRPr="000F5A05" w:rsidRDefault="006C0220" w:rsidP="006C0220">
      <w:pPr>
        <w:jc w:val="center"/>
        <w:rPr>
          <w:rFonts w:ascii="Book Antiqua" w:hAnsi="Book Antiqua" w:cs="Arial"/>
        </w:rPr>
      </w:pPr>
    </w:p>
    <w:p w:rsidR="006C0220" w:rsidRPr="000F5A05" w:rsidRDefault="006C0220" w:rsidP="006C0220">
      <w:pPr>
        <w:jc w:val="center"/>
        <w:rPr>
          <w:rFonts w:ascii="Book Antiqua" w:hAnsi="Book Antiqua" w:cs="Arial"/>
          <w:b/>
        </w:rPr>
      </w:pPr>
      <w:r w:rsidRPr="000F5A05">
        <w:rPr>
          <w:rFonts w:ascii="Book Antiqua" w:hAnsi="Book Antiqua" w:cs="Arial"/>
          <w:b/>
        </w:rPr>
        <w:t>Before</w:t>
      </w:r>
    </w:p>
    <w:p w:rsidR="006C0220" w:rsidRPr="000F5A05" w:rsidRDefault="006C0220" w:rsidP="006C0220">
      <w:pPr>
        <w:jc w:val="center"/>
        <w:rPr>
          <w:rFonts w:ascii="Book Antiqua" w:hAnsi="Book Antiqua" w:cs="Arial"/>
          <w:b/>
        </w:rPr>
      </w:pPr>
    </w:p>
    <w:p w:rsidR="006C0220" w:rsidRPr="000F5A05" w:rsidRDefault="006C0220" w:rsidP="006C0220">
      <w:pPr>
        <w:jc w:val="center"/>
        <w:rPr>
          <w:rFonts w:ascii="Book Antiqua" w:hAnsi="Book Antiqua" w:cs="Arial"/>
          <w:b/>
          <w:color w:val="000000"/>
        </w:rPr>
      </w:pPr>
      <w:r w:rsidRPr="000F5A05">
        <w:rPr>
          <w:rFonts w:ascii="Book Antiqua" w:hAnsi="Book Antiqua" w:cs="Arial"/>
          <w:b/>
          <w:color w:val="000000"/>
        </w:rPr>
        <w:t>DEPUTY UPPER TRIBUNAL JUDGE BAGRAL</w:t>
      </w:r>
    </w:p>
    <w:p w:rsidR="006C0220" w:rsidRPr="000F5A05" w:rsidRDefault="006C0220" w:rsidP="006C0220">
      <w:pPr>
        <w:jc w:val="center"/>
        <w:rPr>
          <w:rFonts w:ascii="Book Antiqua" w:hAnsi="Book Antiqua" w:cs="Arial"/>
          <w:b/>
        </w:rPr>
      </w:pPr>
    </w:p>
    <w:p w:rsidR="00976462" w:rsidRDefault="00976462" w:rsidP="006C0220">
      <w:pPr>
        <w:jc w:val="center"/>
        <w:rPr>
          <w:rFonts w:ascii="Book Antiqua" w:hAnsi="Book Antiqua" w:cs="Arial"/>
          <w:b/>
        </w:rPr>
      </w:pPr>
    </w:p>
    <w:p w:rsidR="006C0220" w:rsidRPr="000F5A05" w:rsidRDefault="006C0220" w:rsidP="006C0220">
      <w:pPr>
        <w:jc w:val="center"/>
        <w:rPr>
          <w:rFonts w:ascii="Book Antiqua" w:hAnsi="Book Antiqua" w:cs="Arial"/>
          <w:b/>
        </w:rPr>
      </w:pPr>
      <w:r w:rsidRPr="000F5A05">
        <w:rPr>
          <w:rFonts w:ascii="Book Antiqua" w:hAnsi="Book Antiqua" w:cs="Arial"/>
          <w:b/>
        </w:rPr>
        <w:t>Between</w:t>
      </w:r>
    </w:p>
    <w:p w:rsidR="006C0220" w:rsidRPr="000F5A05" w:rsidRDefault="006C0220" w:rsidP="006C0220">
      <w:pPr>
        <w:jc w:val="center"/>
        <w:rPr>
          <w:rFonts w:ascii="Book Antiqua" w:hAnsi="Book Antiqua" w:cs="Arial"/>
          <w:b/>
        </w:rPr>
      </w:pPr>
    </w:p>
    <w:p w:rsidR="006C0220" w:rsidRPr="000F5A05" w:rsidRDefault="00146E7F" w:rsidP="006C0220">
      <w:pPr>
        <w:jc w:val="center"/>
        <w:rPr>
          <w:rFonts w:ascii="Book Antiqua" w:hAnsi="Book Antiqua" w:cs="Arial"/>
          <w:b/>
          <w:caps/>
        </w:rPr>
      </w:pPr>
      <w:r w:rsidRPr="000F5A05">
        <w:rPr>
          <w:rFonts w:ascii="Book Antiqua" w:hAnsi="Book Antiqua" w:cs="Arial"/>
          <w:b/>
          <w:caps/>
        </w:rPr>
        <w:t>KI</w:t>
      </w:r>
    </w:p>
    <w:p w:rsidR="006C0220" w:rsidRPr="000F5A05" w:rsidRDefault="00146E7F" w:rsidP="006C0220">
      <w:pPr>
        <w:jc w:val="center"/>
        <w:rPr>
          <w:rFonts w:ascii="Book Antiqua" w:hAnsi="Book Antiqua" w:cs="Arial"/>
          <w:b/>
          <w:caps/>
        </w:rPr>
      </w:pPr>
      <w:r w:rsidRPr="000F5A05">
        <w:rPr>
          <w:rFonts w:ascii="Book Antiqua" w:hAnsi="Book Antiqua" w:cs="Arial"/>
          <w:b/>
          <w:caps/>
        </w:rPr>
        <w:t>(anonymity direction</w:t>
      </w:r>
      <w:r w:rsidR="006C0220" w:rsidRPr="000F5A05">
        <w:rPr>
          <w:rFonts w:ascii="Book Antiqua" w:hAnsi="Book Antiqua" w:cs="Arial"/>
          <w:b/>
          <w:caps/>
        </w:rPr>
        <w:t xml:space="preserve"> MADE)</w:t>
      </w:r>
    </w:p>
    <w:p w:rsidR="006C0220" w:rsidRPr="000F5A05" w:rsidRDefault="005246C0" w:rsidP="005246C0">
      <w:pPr>
        <w:ind w:left="7920"/>
        <w:jc w:val="center"/>
        <w:rPr>
          <w:rFonts w:ascii="Book Antiqua" w:hAnsi="Book Antiqua" w:cs="Arial"/>
          <w:u w:val="single"/>
        </w:rPr>
      </w:pPr>
      <w:r w:rsidRPr="000F5A05">
        <w:rPr>
          <w:rFonts w:ascii="Book Antiqua" w:hAnsi="Book Antiqua" w:cs="Arial"/>
        </w:rPr>
        <w:t xml:space="preserve">    </w:t>
      </w:r>
      <w:r w:rsidR="006C0220" w:rsidRPr="000F5A05">
        <w:rPr>
          <w:rFonts w:ascii="Book Antiqua" w:hAnsi="Book Antiqua" w:cs="Arial"/>
          <w:u w:val="single"/>
        </w:rPr>
        <w:t>Appellant</w:t>
      </w:r>
    </w:p>
    <w:p w:rsidR="006C0220" w:rsidRPr="000F5A05" w:rsidRDefault="006C0220" w:rsidP="006C0220">
      <w:pPr>
        <w:jc w:val="center"/>
        <w:rPr>
          <w:rFonts w:ascii="Book Antiqua" w:hAnsi="Book Antiqua" w:cs="Arial"/>
          <w:b/>
        </w:rPr>
      </w:pPr>
      <w:r w:rsidRPr="000F5A05">
        <w:rPr>
          <w:rFonts w:ascii="Book Antiqua" w:hAnsi="Book Antiqua" w:cs="Arial"/>
          <w:b/>
        </w:rPr>
        <w:t>and</w:t>
      </w:r>
    </w:p>
    <w:p w:rsidR="006C0220" w:rsidRPr="000F5A05" w:rsidRDefault="006C0220" w:rsidP="006C0220">
      <w:pPr>
        <w:jc w:val="center"/>
        <w:rPr>
          <w:rFonts w:ascii="Book Antiqua" w:hAnsi="Book Antiqua" w:cs="Arial"/>
          <w:b/>
        </w:rPr>
      </w:pPr>
    </w:p>
    <w:p w:rsidR="006C0220" w:rsidRPr="000F5A05" w:rsidRDefault="006C0220" w:rsidP="006C0220">
      <w:pPr>
        <w:jc w:val="center"/>
        <w:rPr>
          <w:rFonts w:ascii="Book Antiqua" w:hAnsi="Book Antiqua" w:cs="Arial"/>
          <w:b/>
        </w:rPr>
      </w:pPr>
      <w:r w:rsidRPr="000F5A05">
        <w:rPr>
          <w:rFonts w:ascii="Book Antiqua" w:hAnsi="Book Antiqua" w:cs="Arial"/>
          <w:b/>
        </w:rPr>
        <w:t>SECRETARY OF STATE FOR THE HOME DEPARTMENT</w:t>
      </w:r>
    </w:p>
    <w:p w:rsidR="006C0220" w:rsidRPr="000F5A05" w:rsidRDefault="006C0220" w:rsidP="006C0220">
      <w:pPr>
        <w:jc w:val="right"/>
        <w:rPr>
          <w:rFonts w:ascii="Book Antiqua" w:hAnsi="Book Antiqua" w:cs="Arial"/>
          <w:u w:val="single"/>
        </w:rPr>
      </w:pPr>
      <w:r w:rsidRPr="000F5A05">
        <w:rPr>
          <w:rFonts w:ascii="Book Antiqua" w:hAnsi="Book Antiqua" w:cs="Arial"/>
          <w:u w:val="single"/>
        </w:rPr>
        <w:t>Respondent</w:t>
      </w:r>
    </w:p>
    <w:p w:rsidR="006C0220" w:rsidRDefault="006C0220" w:rsidP="006C0220">
      <w:pPr>
        <w:rPr>
          <w:rFonts w:ascii="Book Antiqua" w:hAnsi="Book Antiqua" w:cs="Arial"/>
          <w:u w:val="single"/>
        </w:rPr>
      </w:pPr>
    </w:p>
    <w:p w:rsidR="00976462" w:rsidRPr="000F5A05" w:rsidRDefault="00976462" w:rsidP="006C0220">
      <w:pPr>
        <w:rPr>
          <w:rFonts w:ascii="Book Antiqua" w:hAnsi="Book Antiqua" w:cs="Arial"/>
          <w:u w:val="single"/>
        </w:rPr>
      </w:pPr>
    </w:p>
    <w:p w:rsidR="006C0220" w:rsidRPr="000F5A05" w:rsidRDefault="006C0220" w:rsidP="006C0220">
      <w:pPr>
        <w:rPr>
          <w:rFonts w:ascii="Book Antiqua" w:hAnsi="Book Antiqua" w:cs="Arial"/>
          <w:b/>
        </w:rPr>
      </w:pPr>
      <w:r w:rsidRPr="000F5A05">
        <w:rPr>
          <w:rFonts w:ascii="Book Antiqua" w:hAnsi="Book Antiqua" w:cs="Arial"/>
          <w:b/>
          <w:u w:val="single"/>
        </w:rPr>
        <w:t>Representation</w:t>
      </w:r>
      <w:r w:rsidRPr="000F5A05">
        <w:rPr>
          <w:rFonts w:ascii="Book Antiqua" w:hAnsi="Book Antiqua" w:cs="Arial"/>
          <w:b/>
        </w:rPr>
        <w:t>:</w:t>
      </w:r>
    </w:p>
    <w:p w:rsidR="006C0220" w:rsidRPr="000F5A05" w:rsidRDefault="006C0220" w:rsidP="006C0220">
      <w:pPr>
        <w:tabs>
          <w:tab w:val="left" w:pos="2520"/>
        </w:tabs>
        <w:rPr>
          <w:rFonts w:ascii="Book Antiqua" w:hAnsi="Book Antiqua" w:cs="Arial"/>
        </w:rPr>
      </w:pPr>
      <w:r w:rsidRPr="000F5A05">
        <w:rPr>
          <w:rFonts w:ascii="Book Antiqua" w:hAnsi="Book Antiqua" w:cs="Arial"/>
        </w:rPr>
        <w:t>For the Appellant:</w:t>
      </w:r>
      <w:r w:rsidRPr="000F5A05">
        <w:rPr>
          <w:rFonts w:ascii="Book Antiqua" w:hAnsi="Book Antiqua" w:cs="Arial"/>
        </w:rPr>
        <w:tab/>
        <w:t xml:space="preserve">Mr </w:t>
      </w:r>
      <w:r w:rsidR="00146E7F" w:rsidRPr="000F5A05">
        <w:rPr>
          <w:rFonts w:ascii="Book Antiqua" w:hAnsi="Book Antiqua" w:cs="Arial"/>
        </w:rPr>
        <w:t>R Claire</w:t>
      </w:r>
      <w:r w:rsidRPr="000F5A05">
        <w:rPr>
          <w:rFonts w:ascii="Book Antiqua" w:hAnsi="Book Antiqua" w:cs="Arial"/>
        </w:rPr>
        <w:t>, of Cou</w:t>
      </w:r>
      <w:r w:rsidR="00D92FD4" w:rsidRPr="000F5A05">
        <w:rPr>
          <w:rFonts w:ascii="Book Antiqua" w:hAnsi="Book Antiqua" w:cs="Arial"/>
        </w:rPr>
        <w:t>nsel</w:t>
      </w:r>
    </w:p>
    <w:p w:rsidR="006C0220" w:rsidRPr="000F5A05" w:rsidRDefault="006C0220" w:rsidP="006C0220">
      <w:pPr>
        <w:tabs>
          <w:tab w:val="left" w:pos="2520"/>
        </w:tabs>
        <w:rPr>
          <w:rFonts w:ascii="Book Antiqua" w:hAnsi="Book Antiqua" w:cs="Arial"/>
        </w:rPr>
      </w:pPr>
      <w:r w:rsidRPr="000F5A05">
        <w:rPr>
          <w:rFonts w:ascii="Book Antiqua" w:hAnsi="Book Antiqua" w:cs="Arial"/>
        </w:rPr>
        <w:t>For the Respondent:</w:t>
      </w:r>
      <w:r w:rsidRPr="000F5A05">
        <w:rPr>
          <w:rFonts w:ascii="Book Antiqua" w:hAnsi="Book Antiqua" w:cs="Arial"/>
        </w:rPr>
        <w:tab/>
      </w:r>
      <w:r w:rsidR="00146E7F" w:rsidRPr="000F5A05">
        <w:rPr>
          <w:rFonts w:ascii="Book Antiqua" w:hAnsi="Book Antiqua" w:cs="Arial"/>
        </w:rPr>
        <w:t>Mr T Linsday</w:t>
      </w:r>
      <w:r w:rsidRPr="000F5A05">
        <w:rPr>
          <w:rFonts w:ascii="Book Antiqua" w:hAnsi="Book Antiqua" w:cs="Arial"/>
        </w:rPr>
        <w:t xml:space="preserve">, Home Office Presenting Officer </w:t>
      </w:r>
    </w:p>
    <w:p w:rsidR="006C0220" w:rsidRPr="000F5A05" w:rsidRDefault="006C0220" w:rsidP="006C0220">
      <w:pPr>
        <w:jc w:val="center"/>
        <w:rPr>
          <w:rFonts w:ascii="Book Antiqua" w:hAnsi="Book Antiqua" w:cs="Arial"/>
        </w:rPr>
      </w:pPr>
    </w:p>
    <w:p w:rsidR="006C0220" w:rsidRPr="000F5A05" w:rsidRDefault="006C0220" w:rsidP="006C0220">
      <w:pPr>
        <w:jc w:val="center"/>
        <w:rPr>
          <w:rFonts w:ascii="Book Antiqua" w:hAnsi="Book Antiqua" w:cs="Arial"/>
        </w:rPr>
      </w:pPr>
    </w:p>
    <w:p w:rsidR="006C0220" w:rsidRPr="000F5A05" w:rsidRDefault="006C0220" w:rsidP="006C0220">
      <w:pPr>
        <w:jc w:val="center"/>
        <w:rPr>
          <w:rFonts w:ascii="Book Antiqua" w:hAnsi="Book Antiqua" w:cs="Arial"/>
          <w:b/>
          <w:u w:val="single"/>
        </w:rPr>
      </w:pPr>
      <w:r w:rsidRPr="000F5A05">
        <w:rPr>
          <w:rFonts w:ascii="Book Antiqua" w:hAnsi="Book Antiqua" w:cs="Arial"/>
          <w:b/>
          <w:u w:val="single"/>
        </w:rPr>
        <w:t>DECISION AND REASONS</w:t>
      </w:r>
    </w:p>
    <w:p w:rsidR="00D92FD4" w:rsidRPr="000F5A05" w:rsidRDefault="00D92FD4" w:rsidP="00D92FD4">
      <w:pPr>
        <w:rPr>
          <w:rFonts w:ascii="Book Antiqua" w:hAnsi="Book Antiqua" w:cs="Arial"/>
          <w:b/>
          <w:u w:val="single"/>
        </w:rPr>
      </w:pPr>
      <w:r w:rsidRPr="000F5A05">
        <w:rPr>
          <w:rFonts w:ascii="Book Antiqua" w:hAnsi="Book Antiqua" w:cs="Arial"/>
          <w:b/>
          <w:u w:val="single"/>
        </w:rPr>
        <w:t>Anonymity</w:t>
      </w:r>
    </w:p>
    <w:p w:rsidR="00D92FD4" w:rsidRPr="000371AE" w:rsidRDefault="00D92FD4" w:rsidP="000371AE">
      <w:pPr>
        <w:numPr>
          <w:ilvl w:val="0"/>
          <w:numId w:val="2"/>
        </w:numPr>
        <w:tabs>
          <w:tab w:val="clear" w:pos="510"/>
        </w:tabs>
        <w:spacing w:before="180"/>
        <w:ind w:left="567" w:hanging="567"/>
        <w:jc w:val="both"/>
        <w:rPr>
          <w:rFonts w:ascii="Book Antiqua" w:hAnsi="Book Antiqua" w:cs="Arial"/>
        </w:rPr>
      </w:pPr>
      <w:r w:rsidRPr="000F5A05">
        <w:rPr>
          <w:rFonts w:ascii="Book Antiqua" w:hAnsi="Book Antiqua" w:cs="Arial"/>
        </w:rPr>
        <w:t>The First-tier Tribunal made an anonymity</w:t>
      </w:r>
      <w:r w:rsidR="00304A15">
        <w:rPr>
          <w:rFonts w:ascii="Book Antiqua" w:hAnsi="Book Antiqua" w:cs="Arial"/>
        </w:rPr>
        <w:t xml:space="preserve"> order</w:t>
      </w:r>
      <w:r w:rsidRPr="000F5A05">
        <w:rPr>
          <w:rFonts w:ascii="Book Antiqua" w:hAnsi="Book Antiqua" w:cs="Arial"/>
        </w:rPr>
        <w:t>. I have not been asked to rescind that order which remains appropriate.</w:t>
      </w:r>
      <w:r w:rsidR="00304A15">
        <w:rPr>
          <w:rFonts w:ascii="Book Antiqua" w:hAnsi="Book Antiqua" w:cs="Arial"/>
        </w:rPr>
        <w:t xml:space="preserve"> The order continues</w:t>
      </w:r>
      <w:r w:rsidRPr="000F5A05">
        <w:rPr>
          <w:rFonts w:ascii="Book Antiqua" w:hAnsi="Book Antiqua" w:cs="Arial"/>
        </w:rPr>
        <w:t xml:space="preserve"> </w:t>
      </w:r>
      <w:r w:rsidR="00304A15">
        <w:rPr>
          <w:rFonts w:ascii="Book Antiqua" w:hAnsi="Book Antiqua" w:cs="Arial"/>
        </w:rPr>
        <w:t>p</w:t>
      </w:r>
      <w:r w:rsidRPr="000F5A05">
        <w:rPr>
          <w:rFonts w:ascii="Book Antiqua" w:hAnsi="Book Antiqua" w:cs="Arial"/>
        </w:rPr>
        <w:t>ursuant to rule 14 of the Tribunal Procedur</w:t>
      </w:r>
      <w:r w:rsidR="00304A15">
        <w:rPr>
          <w:rFonts w:ascii="Book Antiqua" w:hAnsi="Book Antiqua" w:cs="Arial"/>
        </w:rPr>
        <w:t>e (Upper Tribunal) Rules 2008 and prohibits</w:t>
      </w:r>
      <w:r w:rsidRPr="000F5A05">
        <w:rPr>
          <w:rFonts w:ascii="Book Antiqua" w:hAnsi="Book Antiqua" w:cs="Arial"/>
        </w:rPr>
        <w:t xml:space="preserve"> the disclosure or publication of any matter likely to lead members of the public to identify the Appellant. Breach of this order can be pun</w:t>
      </w:r>
      <w:r w:rsidR="00304A15">
        <w:rPr>
          <w:rFonts w:ascii="Book Antiqua" w:hAnsi="Book Antiqua" w:cs="Arial"/>
        </w:rPr>
        <w:t>ished as a contempt of court.</w:t>
      </w:r>
    </w:p>
    <w:p w:rsidR="006C0220" w:rsidRPr="000F5A05" w:rsidRDefault="006C0220" w:rsidP="006C0220">
      <w:pPr>
        <w:jc w:val="both"/>
        <w:rPr>
          <w:rFonts w:ascii="Book Antiqua" w:hAnsi="Book Antiqua" w:cs="Arial"/>
        </w:rPr>
      </w:pPr>
    </w:p>
    <w:p w:rsidR="006C0220" w:rsidRPr="000F5A05" w:rsidRDefault="005246C0" w:rsidP="006C0220">
      <w:pPr>
        <w:ind w:left="567" w:hanging="567"/>
        <w:jc w:val="both"/>
        <w:rPr>
          <w:rFonts w:ascii="Book Antiqua" w:hAnsi="Book Antiqua" w:cs="Arial"/>
        </w:rPr>
      </w:pPr>
      <w:r w:rsidRPr="000F5A05">
        <w:rPr>
          <w:rFonts w:ascii="Book Antiqua" w:hAnsi="Book Antiqua" w:cs="Arial"/>
        </w:rPr>
        <w:lastRenderedPageBreak/>
        <w:t>2</w:t>
      </w:r>
      <w:r w:rsidR="006C0220" w:rsidRPr="000F5A05">
        <w:rPr>
          <w:rFonts w:ascii="Book Antiqua" w:hAnsi="Book Antiqua" w:cs="Arial"/>
        </w:rPr>
        <w:t>.</w:t>
      </w:r>
      <w:r w:rsidR="006C0220" w:rsidRPr="000F5A05">
        <w:rPr>
          <w:rFonts w:ascii="Book Antiqua" w:hAnsi="Book Antiqua" w:cs="Arial"/>
        </w:rPr>
        <w:tab/>
        <w:t>This is an appeal against the decision of First-tier Tribunal Judge</w:t>
      </w:r>
      <w:r w:rsidR="00D92FD4" w:rsidRPr="000F5A05">
        <w:rPr>
          <w:rFonts w:ascii="Book Antiqua" w:hAnsi="Book Antiqua" w:cs="Arial"/>
        </w:rPr>
        <w:t xml:space="preserve"> Hosie</w:t>
      </w:r>
      <w:r w:rsidR="006C0220" w:rsidRPr="000F5A05">
        <w:rPr>
          <w:rFonts w:ascii="Book Antiqua" w:hAnsi="Book Antiqua" w:cs="Arial"/>
        </w:rPr>
        <w:t xml:space="preserve"> (hereafter “the FtTJ”)</w:t>
      </w:r>
      <w:r w:rsidR="00D92FD4" w:rsidRPr="000F5A05">
        <w:rPr>
          <w:rFonts w:ascii="Book Antiqua" w:hAnsi="Book Antiqua" w:cs="Arial"/>
        </w:rPr>
        <w:t xml:space="preserve"> promulgated on 1 September</w:t>
      </w:r>
      <w:r w:rsidR="006C0220" w:rsidRPr="000F5A05">
        <w:rPr>
          <w:rFonts w:ascii="Book Antiqua" w:hAnsi="Book Antiqua" w:cs="Arial"/>
        </w:rPr>
        <w:t xml:space="preserve"> 2017 dismissing the Appellant’s appeal against a refusal of a protection claim, the protection claim having been refused by the Respondent for reasons set out in a decision letter</w:t>
      </w:r>
      <w:r w:rsidR="00855A0E" w:rsidRPr="000F5A05">
        <w:rPr>
          <w:rFonts w:ascii="Book Antiqua" w:hAnsi="Book Antiqua" w:cs="Arial"/>
        </w:rPr>
        <w:t xml:space="preserve"> dated 13 June 2017</w:t>
      </w:r>
      <w:r w:rsidR="006C0220" w:rsidRPr="000F5A05">
        <w:rPr>
          <w:rFonts w:ascii="Book Antiqua" w:hAnsi="Book Antiqua" w:cs="Arial"/>
        </w:rPr>
        <w:t>.</w:t>
      </w:r>
    </w:p>
    <w:p w:rsidR="006C0220" w:rsidRPr="000F5A05" w:rsidRDefault="006C0220" w:rsidP="006C0220">
      <w:pPr>
        <w:ind w:left="567" w:hanging="567"/>
        <w:jc w:val="both"/>
        <w:rPr>
          <w:rFonts w:ascii="Book Antiqua" w:hAnsi="Book Antiqua" w:cs="Arial"/>
        </w:rPr>
      </w:pPr>
    </w:p>
    <w:p w:rsidR="006C0220" w:rsidRPr="000F5A05" w:rsidRDefault="005246C0" w:rsidP="005D3D5B">
      <w:pPr>
        <w:ind w:left="567" w:hanging="567"/>
        <w:jc w:val="both"/>
        <w:rPr>
          <w:rFonts w:ascii="Book Antiqua" w:hAnsi="Book Antiqua" w:cs="Arial"/>
        </w:rPr>
      </w:pPr>
      <w:r w:rsidRPr="000F5A05">
        <w:rPr>
          <w:rFonts w:ascii="Book Antiqua" w:hAnsi="Book Antiqua" w:cs="Arial"/>
        </w:rPr>
        <w:t>3</w:t>
      </w:r>
      <w:r w:rsidR="00855A0E" w:rsidRPr="000F5A05">
        <w:rPr>
          <w:rFonts w:ascii="Book Antiqua" w:hAnsi="Book Antiqua" w:cs="Arial"/>
        </w:rPr>
        <w:t>.</w:t>
      </w:r>
      <w:r w:rsidR="00855A0E" w:rsidRPr="000F5A05">
        <w:rPr>
          <w:rFonts w:ascii="Book Antiqua" w:hAnsi="Book Antiqua" w:cs="Arial"/>
        </w:rPr>
        <w:tab/>
        <w:t xml:space="preserve">The Appellant is a national of Bangladesh, born on 1 </w:t>
      </w:r>
      <w:r w:rsidR="005D3D5B" w:rsidRPr="000F5A05">
        <w:rPr>
          <w:rFonts w:ascii="Book Antiqua" w:hAnsi="Book Antiqua" w:cs="Arial"/>
        </w:rPr>
        <w:t>January</w:t>
      </w:r>
      <w:r w:rsidR="00855A0E" w:rsidRPr="000F5A05">
        <w:rPr>
          <w:rFonts w:ascii="Book Antiqua" w:hAnsi="Book Antiqua" w:cs="Arial"/>
        </w:rPr>
        <w:t xml:space="preserve"> 1987</w:t>
      </w:r>
      <w:r w:rsidR="006C0220" w:rsidRPr="000F5A05">
        <w:rPr>
          <w:rFonts w:ascii="Book Antiqua" w:hAnsi="Book Antiqua" w:cs="Arial"/>
        </w:rPr>
        <w:t>.</w:t>
      </w:r>
      <w:r w:rsidR="00855A0E" w:rsidRPr="000F5A05">
        <w:rPr>
          <w:rFonts w:ascii="Book Antiqua" w:hAnsi="Book Antiqua" w:cs="Arial"/>
        </w:rPr>
        <w:t xml:space="preserve"> </w:t>
      </w:r>
      <w:r w:rsidR="006C0220" w:rsidRPr="000F5A05">
        <w:rPr>
          <w:rFonts w:ascii="Book Antiqua" w:hAnsi="Book Antiqua" w:cs="Arial"/>
        </w:rPr>
        <w:t>He has been living in the United Kingdom since his entry</w:t>
      </w:r>
      <w:r w:rsidR="00855A0E" w:rsidRPr="000F5A05">
        <w:rPr>
          <w:rFonts w:ascii="Book Antiqua" w:hAnsi="Book Antiqua" w:cs="Arial"/>
        </w:rPr>
        <w:t xml:space="preserve"> as a student on 14 </w:t>
      </w:r>
      <w:r w:rsidR="005D3D5B" w:rsidRPr="000F5A05">
        <w:rPr>
          <w:rFonts w:ascii="Book Antiqua" w:hAnsi="Book Antiqua" w:cs="Arial"/>
        </w:rPr>
        <w:t>January</w:t>
      </w:r>
      <w:r w:rsidR="00855A0E" w:rsidRPr="000F5A05">
        <w:rPr>
          <w:rFonts w:ascii="Book Antiqua" w:hAnsi="Book Antiqua" w:cs="Arial"/>
        </w:rPr>
        <w:t xml:space="preserve"> 2011</w:t>
      </w:r>
      <w:r w:rsidR="006C0220" w:rsidRPr="000F5A05">
        <w:rPr>
          <w:rFonts w:ascii="Book Antiqua" w:hAnsi="Book Antiqua" w:cs="Arial"/>
        </w:rPr>
        <w:t>. H</w:t>
      </w:r>
      <w:r w:rsidR="00855A0E" w:rsidRPr="000F5A05">
        <w:rPr>
          <w:rFonts w:ascii="Book Antiqua" w:hAnsi="Book Antiqua" w:cs="Arial"/>
        </w:rPr>
        <w:t xml:space="preserve">e claimed asylum on 17 November 2016 on the basis that he would be harmed or killed by the authorities due to his involvement with the Bangladesh National Party (BNP). </w:t>
      </w:r>
    </w:p>
    <w:p w:rsidR="006C0220" w:rsidRPr="000F5A05" w:rsidRDefault="006C0220" w:rsidP="006C0220">
      <w:pPr>
        <w:ind w:left="567" w:hanging="567"/>
        <w:jc w:val="both"/>
        <w:rPr>
          <w:rFonts w:ascii="Book Antiqua" w:hAnsi="Book Antiqua" w:cs="Arial"/>
        </w:rPr>
      </w:pPr>
    </w:p>
    <w:p w:rsidR="00763A63" w:rsidRPr="000F5A05" w:rsidRDefault="005246C0" w:rsidP="00A30EA4">
      <w:pPr>
        <w:ind w:left="567" w:hanging="567"/>
        <w:jc w:val="both"/>
        <w:rPr>
          <w:rFonts w:ascii="Book Antiqua" w:hAnsi="Book Antiqua" w:cs="Arial"/>
        </w:rPr>
      </w:pPr>
      <w:r w:rsidRPr="000F5A05">
        <w:rPr>
          <w:rFonts w:ascii="Book Antiqua" w:hAnsi="Book Antiqua" w:cs="Arial"/>
        </w:rPr>
        <w:t>4</w:t>
      </w:r>
      <w:r w:rsidR="006C0220" w:rsidRPr="000F5A05">
        <w:rPr>
          <w:rFonts w:ascii="Book Antiqua" w:hAnsi="Book Antiqua" w:cs="Arial"/>
        </w:rPr>
        <w:t>.</w:t>
      </w:r>
      <w:r w:rsidR="006C0220" w:rsidRPr="000F5A05">
        <w:rPr>
          <w:rFonts w:ascii="Book Antiqua" w:hAnsi="Book Antiqua" w:cs="Arial"/>
        </w:rPr>
        <w:tab/>
        <w:t xml:space="preserve">Prior to the hearing of the appeal before the FtTJ, </w:t>
      </w:r>
      <w:r w:rsidR="00A30EA4" w:rsidRPr="000F5A05">
        <w:rPr>
          <w:rFonts w:ascii="Book Antiqua" w:hAnsi="Book Antiqua" w:cs="Arial"/>
        </w:rPr>
        <w:t>the Appellant</w:t>
      </w:r>
      <w:r w:rsidR="00763A63" w:rsidRPr="000F5A05">
        <w:rPr>
          <w:rFonts w:ascii="Book Antiqua" w:hAnsi="Book Antiqua" w:cs="Arial"/>
        </w:rPr>
        <w:t xml:space="preserve"> filed a bundle containing personal documentatio</w:t>
      </w:r>
      <w:r w:rsidR="00A30EA4" w:rsidRPr="000F5A05">
        <w:rPr>
          <w:rFonts w:ascii="Book Antiqua" w:hAnsi="Book Antiqua" w:cs="Arial"/>
        </w:rPr>
        <w:t>n corroborative of his</w:t>
      </w:r>
      <w:r w:rsidR="00763A63" w:rsidRPr="000F5A05">
        <w:rPr>
          <w:rFonts w:ascii="Book Antiqua" w:hAnsi="Book Antiqua" w:cs="Arial"/>
        </w:rPr>
        <w:t xml:space="preserve"> clai</w:t>
      </w:r>
      <w:r w:rsidRPr="000F5A05">
        <w:rPr>
          <w:rFonts w:ascii="Book Antiqua" w:hAnsi="Book Antiqua" w:cs="Arial"/>
        </w:rPr>
        <w:t>m that he i</w:t>
      </w:r>
      <w:r w:rsidR="00763A63" w:rsidRPr="000F5A05">
        <w:rPr>
          <w:rFonts w:ascii="Book Antiqua" w:hAnsi="Book Antiqua" w:cs="Arial"/>
        </w:rPr>
        <w:t>s wanted by the authorities in Ban</w:t>
      </w:r>
      <w:r w:rsidRPr="000F5A05">
        <w:rPr>
          <w:rFonts w:ascii="Book Antiqua" w:hAnsi="Book Antiqua" w:cs="Arial"/>
        </w:rPr>
        <w:t>gladesh including</w:t>
      </w:r>
      <w:r w:rsidR="000371AE">
        <w:rPr>
          <w:rFonts w:ascii="Book Antiqua" w:hAnsi="Book Antiqua" w:cs="Arial"/>
        </w:rPr>
        <w:t>,</w:t>
      </w:r>
      <w:r w:rsidRPr="000F5A05">
        <w:rPr>
          <w:rFonts w:ascii="Book Antiqua" w:hAnsi="Book Antiqua" w:cs="Arial"/>
        </w:rPr>
        <w:t xml:space="preserve"> inter alia</w:t>
      </w:r>
      <w:r w:rsidR="000371AE">
        <w:rPr>
          <w:rFonts w:ascii="Book Antiqua" w:hAnsi="Book Antiqua" w:cs="Arial"/>
        </w:rPr>
        <w:t>,</w:t>
      </w:r>
      <w:r w:rsidRPr="000F5A05">
        <w:rPr>
          <w:rFonts w:ascii="Book Antiqua" w:hAnsi="Book Antiqua" w:cs="Arial"/>
        </w:rPr>
        <w:t xml:space="preserve"> an</w:t>
      </w:r>
      <w:r w:rsidR="00763A63" w:rsidRPr="000F5A05">
        <w:rPr>
          <w:rFonts w:ascii="Book Antiqua" w:hAnsi="Book Antiqua" w:cs="Arial"/>
        </w:rPr>
        <w:t xml:space="preserve"> arrest warrant</w:t>
      </w:r>
      <w:r w:rsidR="00A30EA4" w:rsidRPr="000F5A05">
        <w:rPr>
          <w:rFonts w:ascii="Book Antiqua" w:hAnsi="Book Antiqua" w:cs="Arial"/>
        </w:rPr>
        <w:t xml:space="preserve"> and </w:t>
      </w:r>
      <w:r w:rsidRPr="000F5A05">
        <w:rPr>
          <w:rFonts w:ascii="Book Antiqua" w:hAnsi="Book Antiqua" w:cs="Arial"/>
        </w:rPr>
        <w:t xml:space="preserve">various </w:t>
      </w:r>
      <w:r w:rsidR="00A30EA4" w:rsidRPr="000F5A05">
        <w:rPr>
          <w:rFonts w:ascii="Book Antiqua" w:hAnsi="Book Antiqua" w:cs="Arial"/>
        </w:rPr>
        <w:t>court</w:t>
      </w:r>
      <w:r w:rsidRPr="000F5A05">
        <w:rPr>
          <w:rFonts w:ascii="Book Antiqua" w:hAnsi="Book Antiqua" w:cs="Arial"/>
        </w:rPr>
        <w:t xml:space="preserve"> related</w:t>
      </w:r>
      <w:r w:rsidR="00A30EA4" w:rsidRPr="000F5A05">
        <w:rPr>
          <w:rFonts w:ascii="Book Antiqua" w:hAnsi="Book Antiqua" w:cs="Arial"/>
        </w:rPr>
        <w:t xml:space="preserve"> papers. </w:t>
      </w:r>
    </w:p>
    <w:p w:rsidR="006C0220" w:rsidRPr="000F5A05" w:rsidRDefault="006C0220" w:rsidP="00A30EA4">
      <w:pPr>
        <w:jc w:val="both"/>
        <w:rPr>
          <w:rFonts w:ascii="Book Antiqua" w:hAnsi="Book Antiqua" w:cs="Arial"/>
        </w:rPr>
      </w:pPr>
    </w:p>
    <w:p w:rsidR="006C0220" w:rsidRPr="000F5A05" w:rsidRDefault="006C0220" w:rsidP="005246C0">
      <w:pPr>
        <w:ind w:left="567" w:hanging="567"/>
        <w:jc w:val="both"/>
        <w:rPr>
          <w:rFonts w:ascii="Book Antiqua" w:hAnsi="Book Antiqua" w:cs="Arial"/>
        </w:rPr>
      </w:pPr>
      <w:r w:rsidRPr="000F5A05">
        <w:rPr>
          <w:rFonts w:ascii="Book Antiqua" w:hAnsi="Book Antiqua" w:cs="Arial"/>
        </w:rPr>
        <w:t xml:space="preserve">5. </w:t>
      </w:r>
      <w:r w:rsidRPr="000F5A05">
        <w:rPr>
          <w:rFonts w:ascii="Book Antiqua" w:hAnsi="Book Antiqua" w:cs="Arial"/>
        </w:rPr>
        <w:tab/>
        <w:t xml:space="preserve">The FtTJ heard evidence from the Appellant. A </w:t>
      </w:r>
      <w:r w:rsidR="00A30EA4" w:rsidRPr="000F5A05">
        <w:rPr>
          <w:rFonts w:ascii="Book Antiqua" w:hAnsi="Book Antiqua" w:cs="Arial"/>
        </w:rPr>
        <w:t xml:space="preserve">comprehensive </w:t>
      </w:r>
      <w:r w:rsidRPr="000F5A05">
        <w:rPr>
          <w:rFonts w:ascii="Book Antiqua" w:hAnsi="Book Antiqua" w:cs="Arial"/>
        </w:rPr>
        <w:t>summar</w:t>
      </w:r>
      <w:r w:rsidR="00A30EA4" w:rsidRPr="000F5A05">
        <w:rPr>
          <w:rFonts w:ascii="Book Antiqua" w:hAnsi="Book Antiqua" w:cs="Arial"/>
        </w:rPr>
        <w:t>y of his claim and</w:t>
      </w:r>
      <w:r w:rsidR="000371AE">
        <w:rPr>
          <w:rFonts w:ascii="Book Antiqua" w:hAnsi="Book Antiqua" w:cs="Arial"/>
        </w:rPr>
        <w:t xml:space="preserve"> his</w:t>
      </w:r>
      <w:r w:rsidR="00A30EA4" w:rsidRPr="000F5A05">
        <w:rPr>
          <w:rFonts w:ascii="Book Antiqua" w:hAnsi="Book Antiqua" w:cs="Arial"/>
        </w:rPr>
        <w:t xml:space="preserve"> oral evidence is set out at [16] to [22</w:t>
      </w:r>
      <w:r w:rsidRPr="000F5A05">
        <w:rPr>
          <w:rFonts w:ascii="Book Antiqua" w:hAnsi="Book Antiqua" w:cs="Arial"/>
        </w:rPr>
        <w:t>]</w:t>
      </w:r>
      <w:r w:rsidR="00A30EA4" w:rsidRPr="000F5A05">
        <w:rPr>
          <w:rFonts w:ascii="Book Antiqua" w:hAnsi="Book Antiqua" w:cs="Arial"/>
        </w:rPr>
        <w:t xml:space="preserve"> and [27] to [34]</w:t>
      </w:r>
      <w:r w:rsidRPr="000F5A05">
        <w:rPr>
          <w:rFonts w:ascii="Book Antiqua" w:hAnsi="Book Antiqua" w:cs="Arial"/>
        </w:rPr>
        <w:t>. The FtTJ disbelieved the Appellant’s account in its entirety</w:t>
      </w:r>
      <w:r w:rsidR="00A30EA4" w:rsidRPr="000F5A05">
        <w:rPr>
          <w:rFonts w:ascii="Book Antiqua" w:hAnsi="Book Antiqua" w:cs="Arial"/>
        </w:rPr>
        <w:t xml:space="preserve"> and his</w:t>
      </w:r>
      <w:r w:rsidRPr="000F5A05">
        <w:rPr>
          <w:rFonts w:ascii="Book Antiqua" w:hAnsi="Book Antiqua" w:cs="Arial"/>
        </w:rPr>
        <w:t xml:space="preserve"> findings are comprehe</w:t>
      </w:r>
      <w:r w:rsidR="00A30EA4" w:rsidRPr="000F5A05">
        <w:rPr>
          <w:rFonts w:ascii="Book Antiqua" w:hAnsi="Book Antiqua" w:cs="Arial"/>
        </w:rPr>
        <w:t>nsively set out at [46] to [75</w:t>
      </w:r>
      <w:r w:rsidRPr="000F5A05">
        <w:rPr>
          <w:rFonts w:ascii="Book Antiqua" w:hAnsi="Book Antiqua" w:cs="Arial"/>
        </w:rPr>
        <w:t>]. The FtTJ noted various inconsistencies in the evidence and identifie</w:t>
      </w:r>
      <w:r w:rsidR="00D01F54" w:rsidRPr="000F5A05">
        <w:rPr>
          <w:rFonts w:ascii="Book Antiqua" w:hAnsi="Book Antiqua" w:cs="Arial"/>
        </w:rPr>
        <w:t xml:space="preserve">d elements of the account that </w:t>
      </w:r>
      <w:r w:rsidRPr="000F5A05">
        <w:rPr>
          <w:rFonts w:ascii="Book Antiqua" w:hAnsi="Book Antiqua" w:cs="Arial"/>
        </w:rPr>
        <w:t xml:space="preserve">he considered were inherently unlikely. </w:t>
      </w:r>
      <w:r w:rsidR="009F30B6">
        <w:rPr>
          <w:rFonts w:ascii="Book Antiqua" w:hAnsi="Book Antiqua" w:cs="Arial"/>
        </w:rPr>
        <w:t>Further, i</w:t>
      </w:r>
      <w:r w:rsidRPr="000F5A05">
        <w:rPr>
          <w:rFonts w:ascii="Book Antiqua" w:hAnsi="Book Antiqua" w:cs="Arial"/>
        </w:rPr>
        <w:t>n</w:t>
      </w:r>
      <w:r w:rsidR="0059363B" w:rsidRPr="000F5A05">
        <w:rPr>
          <w:rFonts w:ascii="Book Antiqua" w:hAnsi="Book Antiqua" w:cs="Arial"/>
        </w:rPr>
        <w:t xml:space="preserve"> reaching his</w:t>
      </w:r>
      <w:r w:rsidRPr="000F5A05">
        <w:rPr>
          <w:rFonts w:ascii="Book Antiqua" w:hAnsi="Book Antiqua" w:cs="Arial"/>
        </w:rPr>
        <w:t xml:space="preserve"> conclusions the FtTJ </w:t>
      </w:r>
      <w:r w:rsidR="0059363B" w:rsidRPr="000F5A05">
        <w:rPr>
          <w:rFonts w:ascii="Book Antiqua" w:hAnsi="Book Antiqua" w:cs="Arial"/>
        </w:rPr>
        <w:t>considered the documentary evidence and gave reasons a</w:t>
      </w:r>
      <w:r w:rsidR="009F30B6">
        <w:rPr>
          <w:rFonts w:ascii="Book Antiqua" w:hAnsi="Book Antiqua" w:cs="Arial"/>
        </w:rPr>
        <w:t xml:space="preserve">s to why he concluded that </w:t>
      </w:r>
      <w:r w:rsidR="0059363B" w:rsidRPr="000F5A05">
        <w:rPr>
          <w:rFonts w:ascii="Book Antiqua" w:hAnsi="Book Antiqua" w:cs="Arial"/>
        </w:rPr>
        <w:t xml:space="preserve">evidence was unreliable. </w:t>
      </w:r>
      <w:r w:rsidR="0011732C" w:rsidRPr="000F5A05">
        <w:rPr>
          <w:rFonts w:ascii="Book Antiqua" w:hAnsi="Book Antiqua" w:cs="Arial"/>
        </w:rPr>
        <w:t>Notably,</w:t>
      </w:r>
      <w:r w:rsidR="009F30B6">
        <w:rPr>
          <w:rFonts w:ascii="Book Antiqua" w:hAnsi="Book Antiqua" w:cs="Arial"/>
        </w:rPr>
        <w:t xml:space="preserve"> of relevance to the appeal before me,</w:t>
      </w:r>
      <w:r w:rsidRPr="000F5A05">
        <w:rPr>
          <w:rFonts w:ascii="Book Antiqua" w:hAnsi="Book Antiqua" w:cs="Arial"/>
        </w:rPr>
        <w:t xml:space="preserve"> the FtTJ stated thus</w:t>
      </w:r>
      <w:r w:rsidR="009F30B6">
        <w:rPr>
          <w:rFonts w:ascii="Book Antiqua" w:hAnsi="Book Antiqua" w:cs="Arial"/>
        </w:rPr>
        <w:t xml:space="preserve"> at [53] and [63]</w:t>
      </w:r>
      <w:r w:rsidRPr="000F5A05">
        <w:rPr>
          <w:rFonts w:ascii="Book Antiqua" w:hAnsi="Book Antiqua" w:cs="Arial"/>
        </w:rPr>
        <w:t>:</w:t>
      </w:r>
    </w:p>
    <w:p w:rsidR="006C0220" w:rsidRPr="00976462" w:rsidRDefault="0011732C" w:rsidP="00976462">
      <w:pPr>
        <w:spacing w:before="120" w:after="120"/>
        <w:ind w:left="1134" w:right="567"/>
        <w:jc w:val="both"/>
        <w:rPr>
          <w:rFonts w:ascii="Book Antiqua" w:hAnsi="Book Antiqua" w:cs="Arial"/>
          <w:sz w:val="22"/>
        </w:rPr>
      </w:pPr>
      <w:r w:rsidRPr="00976462">
        <w:rPr>
          <w:rFonts w:ascii="Book Antiqua" w:hAnsi="Book Antiqua" w:cs="Arial"/>
          <w:sz w:val="22"/>
        </w:rPr>
        <w:t>“I note that there is no arrest warrant or related documentation in relation to the Appellant’s alleged involvement in the protest.</w:t>
      </w:r>
    </w:p>
    <w:p w:rsidR="0011732C" w:rsidRPr="00976462" w:rsidRDefault="0011732C" w:rsidP="00976462">
      <w:pPr>
        <w:spacing w:before="120" w:after="120"/>
        <w:ind w:left="1134" w:right="567"/>
        <w:jc w:val="both"/>
        <w:rPr>
          <w:rFonts w:ascii="Book Antiqua" w:hAnsi="Book Antiqua" w:cs="Arial"/>
          <w:sz w:val="22"/>
        </w:rPr>
      </w:pPr>
      <w:r w:rsidRPr="00976462">
        <w:rPr>
          <w:rFonts w:ascii="Book Antiqua" w:hAnsi="Book Antiqua" w:cs="Arial"/>
          <w:sz w:val="22"/>
        </w:rPr>
        <w:t>…</w:t>
      </w:r>
    </w:p>
    <w:p w:rsidR="0011732C" w:rsidRPr="00976462" w:rsidRDefault="0011732C" w:rsidP="00976462">
      <w:pPr>
        <w:spacing w:before="120" w:after="120"/>
        <w:ind w:left="1134" w:right="567"/>
        <w:jc w:val="both"/>
        <w:rPr>
          <w:rFonts w:ascii="Book Antiqua" w:hAnsi="Book Antiqua" w:cs="Arial"/>
          <w:sz w:val="22"/>
        </w:rPr>
      </w:pPr>
      <w:r w:rsidRPr="00976462">
        <w:rPr>
          <w:rFonts w:ascii="Book Antiqua" w:hAnsi="Book Antiqua" w:cs="Arial"/>
          <w:sz w:val="22"/>
        </w:rPr>
        <w:t xml:space="preserve">D6 of RB is an arrest warrant dated 9 March 2009. The Appellant has not explained how he managed to leave </w:t>
      </w:r>
      <w:r w:rsidR="005D3D5B" w:rsidRPr="00976462">
        <w:rPr>
          <w:rFonts w:ascii="Book Antiqua" w:hAnsi="Book Antiqua" w:cs="Arial"/>
          <w:sz w:val="22"/>
        </w:rPr>
        <w:t>Bangladesh</w:t>
      </w:r>
      <w:r w:rsidRPr="00976462">
        <w:rPr>
          <w:rFonts w:ascii="Book Antiqua" w:hAnsi="Book Antiqua" w:cs="Arial"/>
          <w:sz w:val="22"/>
        </w:rPr>
        <w:t xml:space="preserve"> with an extant arrest warrant in his name using his own passport</w:t>
      </w:r>
      <w:r w:rsidR="00271562" w:rsidRPr="00976462">
        <w:rPr>
          <w:rFonts w:ascii="Book Antiqua" w:hAnsi="Book Antiqua" w:cs="Arial"/>
          <w:sz w:val="22"/>
        </w:rPr>
        <w:t xml:space="preserve">. This must weaken his </w:t>
      </w:r>
      <w:r w:rsidR="005D3D5B" w:rsidRPr="00976462">
        <w:rPr>
          <w:rFonts w:ascii="Book Antiqua" w:hAnsi="Book Antiqua" w:cs="Arial"/>
          <w:sz w:val="22"/>
        </w:rPr>
        <w:t>argument</w:t>
      </w:r>
      <w:r w:rsidR="00271562" w:rsidRPr="00976462">
        <w:rPr>
          <w:rFonts w:ascii="Book Antiqua" w:hAnsi="Book Antiqua" w:cs="Arial"/>
          <w:sz w:val="22"/>
        </w:rPr>
        <w:t xml:space="preserve"> in relation to risk on </w:t>
      </w:r>
      <w:r w:rsidR="005D3D5B" w:rsidRPr="00976462">
        <w:rPr>
          <w:rFonts w:ascii="Book Antiqua" w:hAnsi="Book Antiqua" w:cs="Arial"/>
          <w:sz w:val="22"/>
        </w:rPr>
        <w:t>return</w:t>
      </w:r>
      <w:r w:rsidR="00271562" w:rsidRPr="00976462">
        <w:rPr>
          <w:rFonts w:ascii="Book Antiqua" w:hAnsi="Book Antiqua" w:cs="Arial"/>
          <w:sz w:val="22"/>
        </w:rPr>
        <w:t xml:space="preserve"> and internal relocation.</w:t>
      </w:r>
      <w:r w:rsidR="009F30B6" w:rsidRPr="00976462">
        <w:rPr>
          <w:rFonts w:ascii="Book Antiqua" w:hAnsi="Book Antiqua" w:cs="Arial"/>
          <w:sz w:val="22"/>
        </w:rPr>
        <w:t>”</w:t>
      </w:r>
    </w:p>
    <w:p w:rsidR="006C0220" w:rsidRPr="000F5A05" w:rsidRDefault="005246C0" w:rsidP="00271562">
      <w:pPr>
        <w:ind w:left="567" w:hanging="567"/>
        <w:jc w:val="both"/>
        <w:rPr>
          <w:rFonts w:ascii="Book Antiqua" w:hAnsi="Book Antiqua" w:cs="Arial"/>
        </w:rPr>
      </w:pPr>
      <w:r w:rsidRPr="000F5A05">
        <w:rPr>
          <w:rFonts w:ascii="Book Antiqua" w:hAnsi="Book Antiqua" w:cs="Arial"/>
        </w:rPr>
        <w:t>6.</w:t>
      </w:r>
      <w:r w:rsidRPr="000F5A05">
        <w:rPr>
          <w:rFonts w:ascii="Book Antiqua" w:hAnsi="Book Antiqua" w:cs="Arial"/>
        </w:rPr>
        <w:tab/>
        <w:t>The FtT</w:t>
      </w:r>
      <w:r w:rsidR="00271562" w:rsidRPr="000F5A05">
        <w:rPr>
          <w:rFonts w:ascii="Book Antiqua" w:hAnsi="Book Antiqua" w:cs="Arial"/>
        </w:rPr>
        <w:t>J concluded that the Appellant’s credibility was substantially “weakened by the many inconsistencies and implausibility in his evidence and his evidence in relation to the documentary evidence provided to support his claim” [65].</w:t>
      </w:r>
      <w:r w:rsidR="006C0220" w:rsidRPr="000F5A05">
        <w:rPr>
          <w:rFonts w:ascii="Book Antiqua" w:hAnsi="Book Antiqua" w:cs="Arial"/>
        </w:rPr>
        <w:tab/>
      </w:r>
    </w:p>
    <w:p w:rsidR="006C0220" w:rsidRPr="000F5A05" w:rsidRDefault="006C0220" w:rsidP="006C0220">
      <w:pPr>
        <w:jc w:val="both"/>
        <w:rPr>
          <w:rFonts w:ascii="Book Antiqua" w:hAnsi="Book Antiqua" w:cs="Arial"/>
        </w:rPr>
      </w:pPr>
    </w:p>
    <w:p w:rsidR="006C0220" w:rsidRPr="000F5A05" w:rsidRDefault="005246C0" w:rsidP="006C0220">
      <w:pPr>
        <w:ind w:left="567" w:hanging="567"/>
        <w:jc w:val="both"/>
        <w:rPr>
          <w:rFonts w:ascii="Book Antiqua" w:hAnsi="Book Antiqua" w:cs="Arial"/>
        </w:rPr>
      </w:pPr>
      <w:r w:rsidRPr="000F5A05">
        <w:rPr>
          <w:rFonts w:ascii="Book Antiqua" w:hAnsi="Book Antiqua" w:cs="Arial"/>
        </w:rPr>
        <w:t>7</w:t>
      </w:r>
      <w:r w:rsidR="006C0220" w:rsidRPr="000F5A05">
        <w:rPr>
          <w:rFonts w:ascii="Book Antiqua" w:hAnsi="Book Antiqua" w:cs="Arial"/>
        </w:rPr>
        <w:t>.</w:t>
      </w:r>
      <w:r w:rsidR="006C0220" w:rsidRPr="000F5A05">
        <w:rPr>
          <w:rFonts w:ascii="Book Antiqua" w:hAnsi="Book Antiqua" w:cs="Arial"/>
        </w:rPr>
        <w:tab/>
        <w:t>Having rejected the Appell</w:t>
      </w:r>
      <w:r w:rsidR="00271562" w:rsidRPr="000F5A05">
        <w:rPr>
          <w:rFonts w:ascii="Book Antiqua" w:hAnsi="Book Antiqua" w:cs="Arial"/>
        </w:rPr>
        <w:t>ant’s claim the FtTJ concluded</w:t>
      </w:r>
      <w:r w:rsidR="006C0220" w:rsidRPr="000F5A05">
        <w:rPr>
          <w:rFonts w:ascii="Book Antiqua" w:hAnsi="Book Antiqua" w:cs="Arial"/>
        </w:rPr>
        <w:t xml:space="preserve"> that the Appellant was not at risk of persecution or serious harm in the </w:t>
      </w:r>
      <w:r w:rsidRPr="000F5A05">
        <w:rPr>
          <w:rFonts w:ascii="Book Antiqua" w:hAnsi="Book Antiqua" w:cs="Arial"/>
        </w:rPr>
        <w:t xml:space="preserve">event of a return to </w:t>
      </w:r>
      <w:r w:rsidR="005D3D5B" w:rsidRPr="000F5A05">
        <w:rPr>
          <w:rFonts w:ascii="Book Antiqua" w:hAnsi="Book Antiqua" w:cs="Arial"/>
        </w:rPr>
        <w:t>Bangladesh and</w:t>
      </w:r>
      <w:r w:rsidR="00271562" w:rsidRPr="000F5A05">
        <w:rPr>
          <w:rFonts w:ascii="Book Antiqua" w:hAnsi="Book Antiqua" w:cs="Arial"/>
        </w:rPr>
        <w:t xml:space="preserve"> found that a return there would not violate his human rights on any grounds. </w:t>
      </w:r>
      <w:r w:rsidR="006C0220" w:rsidRPr="000F5A05">
        <w:rPr>
          <w:rFonts w:ascii="Book Antiqua" w:hAnsi="Book Antiqua" w:cs="Arial"/>
        </w:rPr>
        <w:t xml:space="preserve"> </w:t>
      </w:r>
    </w:p>
    <w:p w:rsidR="006C0220" w:rsidRPr="000F5A05" w:rsidRDefault="006C0220" w:rsidP="006C0220">
      <w:pPr>
        <w:jc w:val="both"/>
        <w:rPr>
          <w:rFonts w:ascii="Book Antiqua" w:hAnsi="Book Antiqua" w:cs="Arial"/>
        </w:rPr>
      </w:pPr>
    </w:p>
    <w:p w:rsidR="006C0220" w:rsidRPr="000F5A05" w:rsidRDefault="005246C0" w:rsidP="006C0220">
      <w:pPr>
        <w:jc w:val="both"/>
        <w:rPr>
          <w:rFonts w:ascii="Book Antiqua" w:hAnsi="Book Antiqua" w:cs="Arial"/>
        </w:rPr>
      </w:pPr>
      <w:r w:rsidRPr="000F5A05">
        <w:rPr>
          <w:rFonts w:ascii="Book Antiqua" w:hAnsi="Book Antiqua" w:cs="Arial"/>
        </w:rPr>
        <w:t>8</w:t>
      </w:r>
      <w:r w:rsidR="006C0220" w:rsidRPr="000F5A05">
        <w:rPr>
          <w:rFonts w:ascii="Book Antiqua" w:hAnsi="Book Antiqua" w:cs="Arial"/>
        </w:rPr>
        <w:t xml:space="preserve">.    </w:t>
      </w:r>
      <w:r w:rsidRPr="000F5A05">
        <w:rPr>
          <w:rFonts w:ascii="Book Antiqua" w:hAnsi="Book Antiqua" w:cs="Arial"/>
        </w:rPr>
        <w:t xml:space="preserve">  </w:t>
      </w:r>
      <w:r w:rsidR="006C0220" w:rsidRPr="000F5A05">
        <w:rPr>
          <w:rFonts w:ascii="Book Antiqua" w:hAnsi="Book Antiqua" w:cs="Arial"/>
        </w:rPr>
        <w:t>Accordingly, the FtTJ dismissed the appeal.</w:t>
      </w:r>
    </w:p>
    <w:p w:rsidR="006C0220" w:rsidRPr="000F5A05" w:rsidRDefault="006C0220" w:rsidP="006C0220">
      <w:pPr>
        <w:ind w:left="567" w:hanging="567"/>
        <w:jc w:val="both"/>
        <w:rPr>
          <w:rFonts w:ascii="Book Antiqua" w:hAnsi="Book Antiqua" w:cs="Arial"/>
        </w:rPr>
      </w:pPr>
    </w:p>
    <w:p w:rsidR="00271562" w:rsidRPr="000F5A05" w:rsidRDefault="005246C0" w:rsidP="006C0220">
      <w:pPr>
        <w:ind w:left="567" w:hanging="597"/>
        <w:jc w:val="both"/>
        <w:rPr>
          <w:rFonts w:ascii="Book Antiqua" w:hAnsi="Book Antiqua" w:cs="Arial"/>
        </w:rPr>
      </w:pPr>
      <w:r w:rsidRPr="000F5A05">
        <w:rPr>
          <w:rFonts w:ascii="Book Antiqua" w:hAnsi="Book Antiqua" w:cs="Arial"/>
        </w:rPr>
        <w:t>9</w:t>
      </w:r>
      <w:r w:rsidR="006C0220" w:rsidRPr="000F5A05">
        <w:rPr>
          <w:rFonts w:ascii="Book Antiqua" w:hAnsi="Book Antiqua" w:cs="Arial"/>
        </w:rPr>
        <w:t>.</w:t>
      </w:r>
      <w:r w:rsidR="006C0220" w:rsidRPr="000F5A05">
        <w:rPr>
          <w:rFonts w:ascii="Book Antiqua" w:hAnsi="Book Antiqua" w:cs="Arial"/>
        </w:rPr>
        <w:tab/>
        <w:t>The Appella</w:t>
      </w:r>
      <w:r w:rsidR="00271562" w:rsidRPr="000F5A05">
        <w:rPr>
          <w:rFonts w:ascii="Book Antiqua" w:hAnsi="Book Antiqua" w:cs="Arial"/>
        </w:rPr>
        <w:t>nt sought permission to appeal</w:t>
      </w:r>
      <w:r w:rsidR="006C0220" w:rsidRPr="000F5A05">
        <w:rPr>
          <w:rFonts w:ascii="Book Antiqua" w:hAnsi="Book Antiqua" w:cs="Arial"/>
        </w:rPr>
        <w:t xml:space="preserve">. In summary it was argued that the FtTJ erred in law by </w:t>
      </w:r>
      <w:r w:rsidR="00271562" w:rsidRPr="000F5A05">
        <w:rPr>
          <w:rFonts w:ascii="Book Antiqua" w:hAnsi="Book Antiqua" w:cs="Arial"/>
        </w:rPr>
        <w:t xml:space="preserve">failing to take account of all the issues; failing to apply the correct standard of proof </w:t>
      </w:r>
      <w:r w:rsidR="008D6523" w:rsidRPr="000F5A05">
        <w:rPr>
          <w:rFonts w:ascii="Book Antiqua" w:hAnsi="Book Antiqua" w:cs="Arial"/>
        </w:rPr>
        <w:t xml:space="preserve">and erred in his consideration of the documentary evidence. </w:t>
      </w:r>
    </w:p>
    <w:p w:rsidR="00976462" w:rsidRDefault="00976462" w:rsidP="009F30B6">
      <w:pPr>
        <w:ind w:left="567" w:hanging="567"/>
        <w:jc w:val="both"/>
        <w:rPr>
          <w:rFonts w:ascii="Book Antiqua" w:hAnsi="Book Antiqua" w:cs="Arial"/>
        </w:rPr>
      </w:pPr>
    </w:p>
    <w:p w:rsidR="006C0220" w:rsidRPr="000F5A05" w:rsidRDefault="005246C0" w:rsidP="009F30B6">
      <w:pPr>
        <w:ind w:left="567" w:hanging="567"/>
        <w:jc w:val="both"/>
        <w:rPr>
          <w:rFonts w:ascii="Book Antiqua" w:hAnsi="Book Antiqua" w:cs="Arial"/>
        </w:rPr>
      </w:pPr>
      <w:r w:rsidRPr="000F5A05">
        <w:rPr>
          <w:rFonts w:ascii="Book Antiqua" w:hAnsi="Book Antiqua" w:cs="Arial"/>
        </w:rPr>
        <w:lastRenderedPageBreak/>
        <w:t>10</w:t>
      </w:r>
      <w:r w:rsidR="006C0220" w:rsidRPr="000F5A05">
        <w:rPr>
          <w:rFonts w:ascii="Book Antiqua" w:hAnsi="Book Antiqua" w:cs="Arial"/>
        </w:rPr>
        <w:t>.</w:t>
      </w:r>
      <w:r w:rsidR="006C0220" w:rsidRPr="000F5A05">
        <w:rPr>
          <w:rFonts w:ascii="Book Antiqua" w:hAnsi="Book Antiqua" w:cs="Arial"/>
        </w:rPr>
        <w:tab/>
        <w:t xml:space="preserve">Permission to appeal was granted by First-tier Tribunal Judge Osbourne on </w:t>
      </w:r>
      <w:r w:rsidR="008D6523" w:rsidRPr="000F5A05">
        <w:rPr>
          <w:rFonts w:ascii="Book Antiqua" w:hAnsi="Book Antiqua" w:cs="Arial"/>
        </w:rPr>
        <w:t>12 February</w:t>
      </w:r>
      <w:r w:rsidR="006C0220" w:rsidRPr="000F5A05">
        <w:rPr>
          <w:rFonts w:ascii="Book Antiqua" w:hAnsi="Book Antiqua" w:cs="Arial"/>
        </w:rPr>
        <w:t xml:space="preserve"> </w:t>
      </w:r>
      <w:r w:rsidR="008D6523" w:rsidRPr="000F5A05">
        <w:rPr>
          <w:rFonts w:ascii="Book Antiqua" w:hAnsi="Book Antiqua" w:cs="Arial"/>
        </w:rPr>
        <w:t>2018 in the following terms:</w:t>
      </w:r>
    </w:p>
    <w:p w:rsidR="0035644F" w:rsidRPr="00976462" w:rsidRDefault="008D6523" w:rsidP="00976462">
      <w:pPr>
        <w:spacing w:before="120" w:after="120"/>
        <w:ind w:left="1134" w:right="567"/>
        <w:jc w:val="both"/>
        <w:rPr>
          <w:rFonts w:ascii="Book Antiqua" w:hAnsi="Book Antiqua" w:cs="Arial"/>
          <w:sz w:val="22"/>
        </w:rPr>
      </w:pPr>
      <w:r w:rsidRPr="00976462">
        <w:rPr>
          <w:rFonts w:ascii="Book Antiqua" w:hAnsi="Book Antiqua" w:cs="Arial"/>
          <w:sz w:val="22"/>
        </w:rPr>
        <w:t xml:space="preserve">“In an otherwise careful decision and reasons it is nonetheless arguable that the judge at [53] noted that there is no arrest warrant or related documentation in relation to the Appellant’s alleged involvement in the protest. A warrant of arrest is included in the Appellant’s bundle at page 83. It is arguable that the judge failed to note the presence of that potentially important document and therefore failed to appropriately assess it in the context of the Appellant’s appeal.” </w:t>
      </w:r>
    </w:p>
    <w:p w:rsidR="006C0220" w:rsidRPr="000F5A05" w:rsidRDefault="006C0220" w:rsidP="006C0220">
      <w:pPr>
        <w:ind w:left="567" w:hanging="567"/>
        <w:jc w:val="both"/>
        <w:rPr>
          <w:rFonts w:ascii="Book Antiqua" w:hAnsi="Book Antiqua" w:cs="Arial"/>
          <w:b/>
          <w:u w:val="single"/>
        </w:rPr>
      </w:pPr>
      <w:r w:rsidRPr="000F5A05">
        <w:rPr>
          <w:rFonts w:ascii="Book Antiqua" w:hAnsi="Book Antiqua" w:cs="Arial"/>
          <w:b/>
          <w:u w:val="single"/>
        </w:rPr>
        <w:t>Consideration and Conclusions</w:t>
      </w:r>
    </w:p>
    <w:p w:rsidR="006C0220" w:rsidRPr="000F5A05" w:rsidRDefault="006C0220" w:rsidP="006C0220">
      <w:pPr>
        <w:ind w:left="567" w:hanging="567"/>
        <w:jc w:val="both"/>
        <w:rPr>
          <w:rFonts w:ascii="Book Antiqua" w:hAnsi="Book Antiqua" w:cs="Arial"/>
        </w:rPr>
      </w:pPr>
    </w:p>
    <w:p w:rsidR="006C0220" w:rsidRPr="000F5A05" w:rsidRDefault="005D3D5B" w:rsidP="006C0220">
      <w:pPr>
        <w:pStyle w:val="p"/>
        <w:numPr>
          <w:ilvl w:val="0"/>
          <w:numId w:val="0"/>
        </w:numPr>
        <w:ind w:left="720" w:hanging="720"/>
      </w:pPr>
      <w:r>
        <w:t>11</w:t>
      </w:r>
      <w:r w:rsidR="006C0220" w:rsidRPr="000F5A05">
        <w:t>.</w:t>
      </w:r>
      <w:r w:rsidR="006C0220" w:rsidRPr="000F5A05">
        <w:tab/>
        <w:t>I have considered the submissions made by the representatives at the hearing. I consider that the central submissions made on behalf of the Appellant do not demonstrate that a material error of law was committed by the FtTJ. On the contrary, I find that the FtTJ’s decision is a comprehensive well-reasoned decision based on the evidence from which various adverse conclusions were drawn that cannot be categorised as perverse or irrational and were findings that were entirely</w:t>
      </w:r>
      <w:r w:rsidR="0035644F" w:rsidRPr="000F5A05">
        <w:t xml:space="preserve"> open to him</w:t>
      </w:r>
      <w:r w:rsidR="006C0220" w:rsidRPr="000F5A05">
        <w:t xml:space="preserve">. </w:t>
      </w:r>
    </w:p>
    <w:p w:rsidR="006C0220" w:rsidRPr="000F5A05" w:rsidRDefault="006C0220" w:rsidP="006C0220">
      <w:pPr>
        <w:pStyle w:val="p"/>
        <w:numPr>
          <w:ilvl w:val="0"/>
          <w:numId w:val="0"/>
        </w:numPr>
        <w:ind w:left="-30"/>
      </w:pPr>
    </w:p>
    <w:p w:rsidR="004539FA" w:rsidRPr="000F5A05" w:rsidRDefault="005D3D5B" w:rsidP="006C0220">
      <w:pPr>
        <w:pStyle w:val="p"/>
        <w:numPr>
          <w:ilvl w:val="0"/>
          <w:numId w:val="0"/>
        </w:numPr>
        <w:ind w:left="720" w:hanging="720"/>
      </w:pPr>
      <w:r>
        <w:t>12</w:t>
      </w:r>
      <w:r w:rsidR="006C0220" w:rsidRPr="000F5A05">
        <w:t>.</w:t>
      </w:r>
      <w:r w:rsidR="006C0220" w:rsidRPr="000F5A05">
        <w:tab/>
      </w:r>
      <w:r w:rsidR="0035644F" w:rsidRPr="000F5A05">
        <w:t xml:space="preserve">I first </w:t>
      </w:r>
      <w:r w:rsidR="004539FA" w:rsidRPr="000F5A05">
        <w:t>deal with an issue raised</w:t>
      </w:r>
      <w:r w:rsidR="0035644F" w:rsidRPr="000F5A05">
        <w:t xml:space="preserve"> by Mr Lindsay </w:t>
      </w:r>
      <w:r w:rsidR="00502C68" w:rsidRPr="000F5A05">
        <w:t>during</w:t>
      </w:r>
      <w:r w:rsidR="0035644F" w:rsidRPr="000F5A05">
        <w:t xml:space="preserve"> his submission</w:t>
      </w:r>
      <w:r w:rsidR="004539FA" w:rsidRPr="000F5A05">
        <w:t>s.</w:t>
      </w:r>
      <w:r w:rsidR="0035644F" w:rsidRPr="000F5A05">
        <w:t xml:space="preserve"> Mr Lindsay</w:t>
      </w:r>
      <w:r w:rsidR="004539FA" w:rsidRPr="000F5A05">
        <w:t xml:space="preserve"> contended that it should not be considered that th</w:t>
      </w:r>
      <w:r w:rsidR="009F30B6">
        <w:t>ere was a grant of permission on</w:t>
      </w:r>
      <w:r w:rsidR="004539FA" w:rsidRPr="000F5A05">
        <w:t xml:space="preserve"> all grounds given</w:t>
      </w:r>
      <w:r w:rsidR="001F6A7F" w:rsidRPr="000F5A05">
        <w:t xml:space="preserve"> the</w:t>
      </w:r>
      <w:r w:rsidR="004539FA" w:rsidRPr="000F5A05">
        <w:t xml:space="preserve"> terms in which the grant</w:t>
      </w:r>
      <w:r w:rsidR="001F6A7F" w:rsidRPr="000F5A05">
        <w:t xml:space="preserve"> of permission</w:t>
      </w:r>
      <w:r w:rsidR="004539FA" w:rsidRPr="000F5A05">
        <w:t xml:space="preserve"> is couched. I do not agree. While the permission granting judge identified an arguable error in relation to the FtTJ’s consideration of the arrest warrant</w:t>
      </w:r>
      <w:r w:rsidR="001F6A7F" w:rsidRPr="000F5A05">
        <w:t>,</w:t>
      </w:r>
      <w:r w:rsidR="004539FA" w:rsidRPr="000F5A05">
        <w:t xml:space="preserve"> he concluded his o</w:t>
      </w:r>
      <w:r w:rsidR="009F30B6">
        <w:t>rder by stating</w:t>
      </w:r>
      <w:r w:rsidR="001F6A7F" w:rsidRPr="000F5A05">
        <w:t xml:space="preserve"> “all issues</w:t>
      </w:r>
      <w:r w:rsidR="004539FA" w:rsidRPr="000F5A05">
        <w:t xml:space="preserve"> raised in the grounds are arguable”. It is e</w:t>
      </w:r>
      <w:r w:rsidR="001F6A7F" w:rsidRPr="000F5A05">
        <w:t>vident therefore that the grant</w:t>
      </w:r>
      <w:r w:rsidR="009F30B6">
        <w:t xml:space="preserve"> of permission i</w:t>
      </w:r>
      <w:r w:rsidR="004539FA" w:rsidRPr="000F5A05">
        <w:t xml:space="preserve">s </w:t>
      </w:r>
      <w:r w:rsidR="001F6A7F" w:rsidRPr="000F5A05">
        <w:t xml:space="preserve">not limited </w:t>
      </w:r>
      <w:r w:rsidRPr="000F5A05">
        <w:t>solely</w:t>
      </w:r>
      <w:r w:rsidR="001F6A7F" w:rsidRPr="000F5A05">
        <w:t xml:space="preserve"> to the ground</w:t>
      </w:r>
      <w:r w:rsidR="004539FA" w:rsidRPr="000F5A05">
        <w:t xml:space="preserve"> relating to the arrest warrant. </w:t>
      </w:r>
    </w:p>
    <w:p w:rsidR="004539FA" w:rsidRPr="000F5A05" w:rsidRDefault="004539FA" w:rsidP="006C0220">
      <w:pPr>
        <w:pStyle w:val="p"/>
        <w:numPr>
          <w:ilvl w:val="0"/>
          <w:numId w:val="0"/>
        </w:numPr>
        <w:ind w:left="720" w:hanging="720"/>
      </w:pPr>
    </w:p>
    <w:p w:rsidR="00F76A13" w:rsidRPr="000F5A05" w:rsidRDefault="005D3D5B" w:rsidP="009F30B6">
      <w:pPr>
        <w:pStyle w:val="p"/>
        <w:numPr>
          <w:ilvl w:val="0"/>
          <w:numId w:val="0"/>
        </w:numPr>
        <w:ind w:left="720" w:hanging="720"/>
      </w:pPr>
      <w:r>
        <w:t>13.</w:t>
      </w:r>
      <w:r>
        <w:tab/>
      </w:r>
      <w:r w:rsidR="00F76A13" w:rsidRPr="000F5A05">
        <w:t xml:space="preserve">While </w:t>
      </w:r>
      <w:r w:rsidR="00EF437F" w:rsidRPr="000F5A05">
        <w:t xml:space="preserve">Mr Claire did not address </w:t>
      </w:r>
      <w:r w:rsidR="004539FA" w:rsidRPr="000F5A05">
        <w:t xml:space="preserve">each paragraph of the grounds of appeal purporting to identify an error </w:t>
      </w:r>
      <w:r w:rsidR="00F76A13" w:rsidRPr="000F5A05">
        <w:t>of law</w:t>
      </w:r>
      <w:r w:rsidR="00EF437F" w:rsidRPr="000F5A05">
        <w:t>,</w:t>
      </w:r>
      <w:r w:rsidR="00F76A13" w:rsidRPr="000F5A05">
        <w:t xml:space="preserve"> </w:t>
      </w:r>
      <w:r w:rsidR="004539FA" w:rsidRPr="000F5A05">
        <w:t>he highlighted</w:t>
      </w:r>
      <w:r w:rsidR="00F76A13" w:rsidRPr="000F5A05">
        <w:t xml:space="preserve"> and </w:t>
      </w:r>
      <w:r w:rsidRPr="000F5A05">
        <w:t>referred</w:t>
      </w:r>
      <w:r w:rsidR="00F76A13" w:rsidRPr="000F5A05">
        <w:t xml:space="preserve"> to some of them in his oral submissions</w:t>
      </w:r>
      <w:r w:rsidR="004539FA" w:rsidRPr="000F5A05">
        <w:t>.</w:t>
      </w:r>
      <w:r w:rsidR="00F76A13" w:rsidRPr="000F5A05">
        <w:t xml:space="preserve"> I will address the grounds and Mr Claire’s submissions commencing with the issue of the arrest warrant which was the focus of the grant of permission and the submissions</w:t>
      </w:r>
      <w:r w:rsidR="00EF437F" w:rsidRPr="000F5A05">
        <w:t xml:space="preserve"> before me</w:t>
      </w:r>
      <w:r w:rsidR="00F76A13" w:rsidRPr="000F5A05">
        <w:t xml:space="preserve"> from the outset.</w:t>
      </w:r>
    </w:p>
    <w:p w:rsidR="00F76A13" w:rsidRPr="000F5A05" w:rsidRDefault="00F76A13" w:rsidP="004539FA">
      <w:pPr>
        <w:pStyle w:val="p"/>
        <w:numPr>
          <w:ilvl w:val="0"/>
          <w:numId w:val="0"/>
        </w:numPr>
        <w:ind w:left="570" w:hanging="570"/>
      </w:pPr>
    </w:p>
    <w:p w:rsidR="00EF437F" w:rsidRPr="000F5A05" w:rsidRDefault="005D3D5B" w:rsidP="009F30B6">
      <w:pPr>
        <w:pStyle w:val="p"/>
        <w:numPr>
          <w:ilvl w:val="0"/>
          <w:numId w:val="0"/>
        </w:numPr>
        <w:ind w:left="720" w:hanging="720"/>
      </w:pPr>
      <w:r>
        <w:t>14.</w:t>
      </w:r>
      <w:r>
        <w:tab/>
      </w:r>
      <w:r w:rsidR="00F76A13" w:rsidRPr="000F5A05">
        <w:t>The FtTJ deal</w:t>
      </w:r>
      <w:r w:rsidR="00EF437F" w:rsidRPr="000F5A05">
        <w:t>t with the arrest warrant</w:t>
      </w:r>
      <w:r w:rsidR="00F76A13" w:rsidRPr="000F5A05">
        <w:t xml:space="preserve"> at [53] and [63]</w:t>
      </w:r>
      <w:r w:rsidR="00EF437F" w:rsidRPr="000F5A05">
        <w:t>,</w:t>
      </w:r>
      <w:r w:rsidR="00F76A13" w:rsidRPr="000F5A05">
        <w:t xml:space="preserve"> which I have set out above. The grounds of appeal and the grant of permission are misconceived in stating that the F</w:t>
      </w:r>
      <w:r w:rsidR="009F30B6">
        <w:t>t</w:t>
      </w:r>
      <w:r w:rsidR="00EF437F" w:rsidRPr="000F5A05">
        <w:t>T</w:t>
      </w:r>
      <w:r w:rsidR="00F76A13" w:rsidRPr="000F5A05">
        <w:t>J failed to</w:t>
      </w:r>
      <w:r w:rsidR="00EF437F" w:rsidRPr="000F5A05">
        <w:t xml:space="preserve"> observe</w:t>
      </w:r>
      <w:r w:rsidR="009F30B6">
        <w:t xml:space="preserve"> the presence of the arrest warrant</w:t>
      </w:r>
      <w:r w:rsidR="00EF437F" w:rsidRPr="000F5A05">
        <w:t xml:space="preserve"> at page 83 of the Appellant’s bundle</w:t>
      </w:r>
      <w:r w:rsidR="00F76A13" w:rsidRPr="000F5A05">
        <w:t xml:space="preserve">. </w:t>
      </w:r>
      <w:r w:rsidR="001600A8" w:rsidRPr="000F5A05">
        <w:t xml:space="preserve">During my </w:t>
      </w:r>
      <w:r w:rsidRPr="000F5A05">
        <w:t>preliminary</w:t>
      </w:r>
      <w:r w:rsidR="001600A8" w:rsidRPr="000F5A05">
        <w:t xml:space="preserve"> reading of the case papers</w:t>
      </w:r>
      <w:r w:rsidR="00EF437F" w:rsidRPr="000F5A05">
        <w:t>,</w:t>
      </w:r>
      <w:r w:rsidR="001600A8" w:rsidRPr="000F5A05">
        <w:t xml:space="preserve"> I noted that the arrest warrant at page 83 is duplicated at D</w:t>
      </w:r>
      <w:r w:rsidR="009F30B6">
        <w:t>6 of the Respondent’s bundle which</w:t>
      </w:r>
      <w:r w:rsidR="001600A8" w:rsidRPr="000F5A05">
        <w:t xml:space="preserve"> was referred to by the FtTJ at [63]. It </w:t>
      </w:r>
      <w:r w:rsidR="00EF437F" w:rsidRPr="000F5A05">
        <w:t>did not</w:t>
      </w:r>
      <w:r w:rsidR="001600A8" w:rsidRPr="000F5A05">
        <w:t xml:space="preserve"> therefore</w:t>
      </w:r>
      <w:r w:rsidR="00EF437F" w:rsidRPr="000F5A05">
        <w:t xml:space="preserve"> seem</w:t>
      </w:r>
      <w:r w:rsidR="001600A8" w:rsidRPr="000F5A05">
        <w:t xml:space="preserve"> correct to assert that the FtTJ failed to note an important document.</w:t>
      </w:r>
      <w:r w:rsidR="001343DE" w:rsidRPr="000F5A05">
        <w:t xml:space="preserve"> I asked Mr Claire whether there was another arrest warrant</w:t>
      </w:r>
      <w:r w:rsidR="00EF437F" w:rsidRPr="000F5A05">
        <w:t xml:space="preserve"> </w:t>
      </w:r>
      <w:r w:rsidR="009F30B6">
        <w:t xml:space="preserve">before </w:t>
      </w:r>
      <w:r w:rsidR="00EF437F" w:rsidRPr="000F5A05">
        <w:t>the FtTJ</w:t>
      </w:r>
      <w:r w:rsidR="009F30B6">
        <w:t xml:space="preserve"> that he failed to note </w:t>
      </w:r>
      <w:r w:rsidR="001343DE" w:rsidRPr="000F5A05">
        <w:t>relating to the prot</w:t>
      </w:r>
      <w:r w:rsidR="009F30B6">
        <w:t>est which he</w:t>
      </w:r>
      <w:r w:rsidR="00EF437F" w:rsidRPr="000F5A05">
        <w:t xml:space="preserve"> commented upon</w:t>
      </w:r>
      <w:r w:rsidR="001343DE" w:rsidRPr="000F5A05">
        <w:t xml:space="preserve"> at [53].</w:t>
      </w:r>
      <w:r w:rsidR="00EF437F" w:rsidRPr="000F5A05">
        <w:t xml:space="preserve"> While</w:t>
      </w:r>
      <w:r w:rsidR="001600A8" w:rsidRPr="000F5A05">
        <w:t xml:space="preserve"> </w:t>
      </w:r>
      <w:r w:rsidR="00FF4129" w:rsidRPr="000F5A05">
        <w:t>Mr Cl</w:t>
      </w:r>
      <w:r w:rsidR="001343DE" w:rsidRPr="000F5A05">
        <w:t>aire confirm</w:t>
      </w:r>
      <w:r w:rsidR="00EF437F" w:rsidRPr="000F5A05">
        <w:t>ed that the only</w:t>
      </w:r>
      <w:r w:rsidR="001343DE" w:rsidRPr="000F5A05">
        <w:t xml:space="preserve"> </w:t>
      </w:r>
      <w:r w:rsidR="00FF4129" w:rsidRPr="000F5A05">
        <w:t>arrest warrant before the FtTJ</w:t>
      </w:r>
      <w:r w:rsidR="00EF437F" w:rsidRPr="000F5A05">
        <w:t xml:space="preserve"> was the warrant </w:t>
      </w:r>
      <w:r w:rsidRPr="000F5A05">
        <w:t>exhibited</w:t>
      </w:r>
      <w:r w:rsidR="00EF437F" w:rsidRPr="000F5A05">
        <w:t xml:space="preserve"> at page 83</w:t>
      </w:r>
      <w:r w:rsidR="00413D53">
        <w:t>, which was</w:t>
      </w:r>
      <w:r w:rsidR="00EF437F" w:rsidRPr="000F5A05">
        <w:t xml:space="preserve"> clearly considered,</w:t>
      </w:r>
      <w:r w:rsidR="00CB0A29" w:rsidRPr="000F5A05">
        <w:t xml:space="preserve"> he submitted that there was some confusion</w:t>
      </w:r>
      <w:r w:rsidR="00EF437F" w:rsidRPr="000F5A05">
        <w:t xml:space="preserve"> in the mind of</w:t>
      </w:r>
      <w:r w:rsidR="00CB0A29" w:rsidRPr="000F5A05">
        <w:t xml:space="preserve"> the FtTJ as to </w:t>
      </w:r>
      <w:r w:rsidRPr="000F5A05">
        <w:t>whether</w:t>
      </w:r>
      <w:r w:rsidR="00CB0A29" w:rsidRPr="000F5A05">
        <w:t xml:space="preserve"> there was such a document. </w:t>
      </w:r>
    </w:p>
    <w:p w:rsidR="00EF437F" w:rsidRPr="000F5A05" w:rsidRDefault="00EF437F" w:rsidP="00CB0A29">
      <w:pPr>
        <w:pStyle w:val="p"/>
        <w:numPr>
          <w:ilvl w:val="0"/>
          <w:numId w:val="0"/>
        </w:numPr>
        <w:ind w:left="570" w:hanging="570"/>
      </w:pPr>
    </w:p>
    <w:p w:rsidR="001600A8" w:rsidRPr="000F5A05" w:rsidRDefault="005D3D5B" w:rsidP="00DF0502">
      <w:pPr>
        <w:pStyle w:val="p"/>
        <w:numPr>
          <w:ilvl w:val="0"/>
          <w:numId w:val="0"/>
        </w:numPr>
        <w:ind w:left="720" w:hanging="720"/>
      </w:pPr>
      <w:r>
        <w:lastRenderedPageBreak/>
        <w:t>15.</w:t>
      </w:r>
      <w:r>
        <w:tab/>
      </w:r>
      <w:r w:rsidR="00CB0A29" w:rsidRPr="000F5A05">
        <w:t xml:space="preserve">Given that it is </w:t>
      </w:r>
      <w:r w:rsidRPr="000F5A05">
        <w:t>accepted</w:t>
      </w:r>
      <w:r w:rsidR="00CB0A29" w:rsidRPr="000F5A05">
        <w:t xml:space="preserve"> that there was no arrest warrant before the FtTJ relating to the protest</w:t>
      </w:r>
      <w:r w:rsidR="00EF437F" w:rsidRPr="000F5A05">
        <w:t xml:space="preserve"> referred to at [53],</w:t>
      </w:r>
      <w:r w:rsidR="00CB0A29" w:rsidRPr="000F5A05">
        <w:t xml:space="preserve"> I have some difficulty in accepti</w:t>
      </w:r>
      <w:r w:rsidR="00EF437F" w:rsidRPr="000F5A05">
        <w:t>ng that there was any confusion</w:t>
      </w:r>
      <w:r w:rsidR="00CB0A29" w:rsidRPr="000F5A05">
        <w:t xml:space="preserve"> and</w:t>
      </w:r>
      <w:r w:rsidR="00EF437F" w:rsidRPr="000F5A05">
        <w:t>,</w:t>
      </w:r>
      <w:r w:rsidR="00CB0A29" w:rsidRPr="000F5A05">
        <w:t xml:space="preserve"> in any event</w:t>
      </w:r>
      <w:r w:rsidR="00EF437F" w:rsidRPr="000F5A05">
        <w:t xml:space="preserve">, the FtTJ </w:t>
      </w:r>
      <w:r w:rsidR="00CB0A29" w:rsidRPr="000F5A05">
        <w:t xml:space="preserve">was </w:t>
      </w:r>
      <w:r w:rsidRPr="000F5A05">
        <w:t>plainly</w:t>
      </w:r>
      <w:r w:rsidR="00CB0A29" w:rsidRPr="000F5A05">
        <w:t xml:space="preserve"> aware of the</w:t>
      </w:r>
      <w:r w:rsidR="00FF4129" w:rsidRPr="000F5A05">
        <w:t xml:space="preserve"> existence</w:t>
      </w:r>
      <w:r w:rsidR="00EF437F" w:rsidRPr="000F5A05">
        <w:t xml:space="preserve"> of the only</w:t>
      </w:r>
      <w:r w:rsidR="00CB0A29" w:rsidRPr="000F5A05">
        <w:t xml:space="preserve"> arrest warrant</w:t>
      </w:r>
      <w:r w:rsidR="00EF437F" w:rsidRPr="000F5A05">
        <w:t xml:space="preserve"> that was before him</w:t>
      </w:r>
      <w:r w:rsidR="00DF0502">
        <w:t xml:space="preserve"> at [63]</w:t>
      </w:r>
      <w:r w:rsidR="00CB0A29" w:rsidRPr="000F5A05">
        <w:t xml:space="preserve"> and reached</w:t>
      </w:r>
      <w:r w:rsidR="001600A8" w:rsidRPr="000F5A05">
        <w:t xml:space="preserve"> </w:t>
      </w:r>
      <w:r w:rsidR="00CB0A29" w:rsidRPr="000F5A05">
        <w:t xml:space="preserve">his </w:t>
      </w:r>
      <w:r w:rsidR="001600A8" w:rsidRPr="000F5A05">
        <w:t>conclusion having borne that evidence in mind.</w:t>
      </w:r>
      <w:r w:rsidR="00EF437F" w:rsidRPr="000F5A05">
        <w:t xml:space="preserve"> </w:t>
      </w:r>
      <w:r w:rsidR="00DF0502">
        <w:t>I find that the</w:t>
      </w:r>
      <w:r w:rsidR="00EF437F" w:rsidRPr="000F5A05">
        <w:t xml:space="preserve"> Appellant has failed to establish a material error of law was committed in this regard. </w:t>
      </w:r>
      <w:r w:rsidR="001343DE" w:rsidRPr="000F5A05">
        <w:t xml:space="preserve"> </w:t>
      </w:r>
      <w:r w:rsidR="001600A8" w:rsidRPr="000F5A05">
        <w:t xml:space="preserve"> </w:t>
      </w:r>
    </w:p>
    <w:p w:rsidR="001600A8" w:rsidRPr="000F5A05" w:rsidRDefault="001600A8" w:rsidP="004539FA">
      <w:pPr>
        <w:pStyle w:val="p"/>
        <w:numPr>
          <w:ilvl w:val="0"/>
          <w:numId w:val="0"/>
        </w:numPr>
        <w:ind w:left="570" w:hanging="570"/>
      </w:pPr>
    </w:p>
    <w:p w:rsidR="005D3D5B" w:rsidRDefault="005D3D5B" w:rsidP="00DF0502">
      <w:pPr>
        <w:ind w:left="720" w:hanging="720"/>
        <w:jc w:val="both"/>
        <w:rPr>
          <w:rFonts w:ascii="Book Antiqua" w:hAnsi="Book Antiqua"/>
        </w:rPr>
      </w:pPr>
      <w:r>
        <w:rPr>
          <w:rFonts w:ascii="Book Antiqua" w:hAnsi="Book Antiqua"/>
        </w:rPr>
        <w:t>16.</w:t>
      </w:r>
      <w:r>
        <w:rPr>
          <w:rFonts w:ascii="Book Antiqua" w:hAnsi="Book Antiqua"/>
        </w:rPr>
        <w:tab/>
      </w:r>
      <w:r w:rsidR="00806EEF" w:rsidRPr="000F5A05">
        <w:rPr>
          <w:rFonts w:ascii="Book Antiqua" w:hAnsi="Book Antiqua"/>
        </w:rPr>
        <w:t>Mr Claire tu</w:t>
      </w:r>
      <w:r w:rsidR="00DC6384" w:rsidRPr="000F5A05">
        <w:rPr>
          <w:rFonts w:ascii="Book Antiqua" w:hAnsi="Book Antiqua"/>
        </w:rPr>
        <w:t>rn</w:t>
      </w:r>
      <w:r w:rsidR="00806EEF" w:rsidRPr="000F5A05">
        <w:rPr>
          <w:rFonts w:ascii="Book Antiqua" w:hAnsi="Book Antiqua"/>
        </w:rPr>
        <w:t>ed next to the FtTJ’s observation at [63] that the Appellant had not explained how he managed to leave Bangladesh with an extant arrest warrant in h</w:t>
      </w:r>
      <w:r w:rsidR="00DC6384" w:rsidRPr="000F5A05">
        <w:rPr>
          <w:rFonts w:ascii="Book Antiqua" w:hAnsi="Book Antiqua"/>
        </w:rPr>
        <w:t>is name using his own passport.</w:t>
      </w:r>
      <w:r w:rsidR="00806EEF" w:rsidRPr="000F5A05">
        <w:rPr>
          <w:rFonts w:ascii="Book Antiqua" w:hAnsi="Book Antiqua"/>
        </w:rPr>
        <w:t xml:space="preserve"> Mr Claire’s complaint was that the FtTJ failed to</w:t>
      </w:r>
      <w:r w:rsidR="009C0833" w:rsidRPr="000F5A05">
        <w:rPr>
          <w:rFonts w:ascii="Book Antiqua" w:hAnsi="Book Antiqua"/>
        </w:rPr>
        <w:t xml:space="preserve"> refer to background evidence to support the </w:t>
      </w:r>
      <w:r w:rsidR="00DF0502">
        <w:rPr>
          <w:rFonts w:ascii="Book Antiqua" w:hAnsi="Book Antiqua"/>
        </w:rPr>
        <w:t xml:space="preserve">adverse </w:t>
      </w:r>
      <w:r w:rsidR="009C0833" w:rsidRPr="000F5A05">
        <w:rPr>
          <w:rFonts w:ascii="Book Antiqua" w:hAnsi="Book Antiqua"/>
        </w:rPr>
        <w:t>inference drawn by that observation</w:t>
      </w:r>
      <w:r w:rsidR="00DF0502">
        <w:rPr>
          <w:rFonts w:ascii="Book Antiqua" w:hAnsi="Book Antiqua"/>
        </w:rPr>
        <w:t xml:space="preserve">. </w:t>
      </w:r>
      <w:r w:rsidR="009C0833" w:rsidRPr="000F5A05">
        <w:rPr>
          <w:rFonts w:ascii="Book Antiqua" w:hAnsi="Book Antiqua"/>
        </w:rPr>
        <w:t>While Mr Claire refe</w:t>
      </w:r>
      <w:r w:rsidR="00AB0B79">
        <w:rPr>
          <w:rFonts w:ascii="Book Antiqua" w:hAnsi="Book Antiqua"/>
        </w:rPr>
        <w:t>rred to recent background</w:t>
      </w:r>
      <w:r w:rsidR="009C0833" w:rsidRPr="000F5A05">
        <w:rPr>
          <w:rFonts w:ascii="Book Antiqua" w:hAnsi="Book Antiqua"/>
        </w:rPr>
        <w:t xml:space="preserve"> evidence dated in 2017</w:t>
      </w:r>
      <w:r w:rsidR="00DF0502">
        <w:rPr>
          <w:rFonts w:ascii="Book Antiqua" w:hAnsi="Book Antiqua"/>
        </w:rPr>
        <w:t>, which he stated referred</w:t>
      </w:r>
      <w:r w:rsidR="00DC6384" w:rsidRPr="000F5A05">
        <w:rPr>
          <w:rFonts w:ascii="Book Antiqua" w:hAnsi="Book Antiqua"/>
        </w:rPr>
        <w:t xml:space="preserve"> to the</w:t>
      </w:r>
      <w:r w:rsidR="009C0833" w:rsidRPr="000F5A05">
        <w:rPr>
          <w:rFonts w:ascii="Book Antiqua" w:hAnsi="Book Antiqua"/>
        </w:rPr>
        <w:t xml:space="preserve"> level of surveillance at the airport,</w:t>
      </w:r>
      <w:r w:rsidR="00DC6384" w:rsidRPr="000F5A05">
        <w:rPr>
          <w:rFonts w:ascii="Book Antiqua" w:hAnsi="Book Antiqua"/>
        </w:rPr>
        <w:t xml:space="preserve"> he </w:t>
      </w:r>
      <w:r w:rsidR="00D431FB">
        <w:rPr>
          <w:rFonts w:ascii="Book Antiqua" w:hAnsi="Book Antiqua"/>
        </w:rPr>
        <w:t xml:space="preserve">properly </w:t>
      </w:r>
      <w:r w:rsidR="00DC6384" w:rsidRPr="000F5A05">
        <w:rPr>
          <w:rFonts w:ascii="Book Antiqua" w:hAnsi="Book Antiqua"/>
        </w:rPr>
        <w:t xml:space="preserve">acknowledged that </w:t>
      </w:r>
      <w:r w:rsidRPr="000F5A05">
        <w:rPr>
          <w:rFonts w:ascii="Book Antiqua" w:hAnsi="Book Antiqua"/>
        </w:rPr>
        <w:t>this did</w:t>
      </w:r>
      <w:r w:rsidR="009C0833" w:rsidRPr="000F5A05">
        <w:rPr>
          <w:rFonts w:ascii="Book Antiqua" w:hAnsi="Book Antiqua"/>
        </w:rPr>
        <w:t xml:space="preserve"> not reflect the position in 2011 whe</w:t>
      </w:r>
      <w:r w:rsidR="00DC6384" w:rsidRPr="000F5A05">
        <w:rPr>
          <w:rFonts w:ascii="Book Antiqua" w:hAnsi="Book Antiqua"/>
        </w:rPr>
        <w:t xml:space="preserve">n the Appellant left </w:t>
      </w:r>
      <w:r w:rsidRPr="000F5A05">
        <w:rPr>
          <w:rFonts w:ascii="Book Antiqua" w:hAnsi="Book Antiqua"/>
        </w:rPr>
        <w:t>Bangladesh</w:t>
      </w:r>
      <w:r w:rsidR="00AB0B79">
        <w:rPr>
          <w:rFonts w:ascii="Book Antiqua" w:hAnsi="Book Antiqua"/>
        </w:rPr>
        <w:t>, and nor</w:t>
      </w:r>
      <w:r w:rsidR="00D431FB">
        <w:rPr>
          <w:rFonts w:ascii="Book Antiqua" w:hAnsi="Book Antiqua"/>
        </w:rPr>
        <w:t xml:space="preserve"> did</w:t>
      </w:r>
      <w:r w:rsidR="00AB0B79">
        <w:rPr>
          <w:rFonts w:ascii="Book Antiqua" w:hAnsi="Book Antiqua"/>
        </w:rPr>
        <w:t xml:space="preserve"> he</w:t>
      </w:r>
      <w:r w:rsidR="00D431FB">
        <w:rPr>
          <w:rFonts w:ascii="Book Antiqua" w:hAnsi="Book Antiqua"/>
        </w:rPr>
        <w:t xml:space="preserve"> pro</w:t>
      </w:r>
      <w:r w:rsidR="00AB0B79">
        <w:rPr>
          <w:rFonts w:ascii="Book Antiqua" w:hAnsi="Book Antiqua"/>
        </w:rPr>
        <w:t>duce that evidence before me</w:t>
      </w:r>
      <w:r w:rsidR="00D431FB">
        <w:rPr>
          <w:rFonts w:ascii="Book Antiqua" w:hAnsi="Book Antiqua"/>
        </w:rPr>
        <w:t xml:space="preserve"> and no such</w:t>
      </w:r>
      <w:r w:rsidR="00AB0B79">
        <w:rPr>
          <w:rFonts w:ascii="Book Antiqua" w:hAnsi="Book Antiqua"/>
        </w:rPr>
        <w:t xml:space="preserve"> evidence was indeed placed</w:t>
      </w:r>
      <w:r w:rsidR="00D431FB">
        <w:rPr>
          <w:rFonts w:ascii="Book Antiqua" w:hAnsi="Book Antiqua"/>
        </w:rPr>
        <w:t xml:space="preserve"> before</w:t>
      </w:r>
      <w:r w:rsidR="00AB0B79">
        <w:rPr>
          <w:rFonts w:ascii="Book Antiqua" w:hAnsi="Book Antiqua"/>
        </w:rPr>
        <w:t xml:space="preserve"> the FtTJ. </w:t>
      </w:r>
      <w:r w:rsidR="009C0833" w:rsidRPr="000F5A05">
        <w:rPr>
          <w:rFonts w:ascii="Book Antiqua" w:hAnsi="Book Antiqua"/>
        </w:rPr>
        <w:t>No justifiable criticisms therefore can be made of the FtTJ</w:t>
      </w:r>
      <w:r w:rsidR="001022D2" w:rsidRPr="000F5A05">
        <w:rPr>
          <w:rFonts w:ascii="Book Antiqua" w:hAnsi="Book Antiqua"/>
        </w:rPr>
        <w:t xml:space="preserve"> in failing to </w:t>
      </w:r>
      <w:r w:rsidRPr="000F5A05">
        <w:rPr>
          <w:rFonts w:ascii="Book Antiqua" w:hAnsi="Book Antiqua"/>
        </w:rPr>
        <w:t>consider</w:t>
      </w:r>
      <w:r w:rsidR="001022D2" w:rsidRPr="000F5A05">
        <w:rPr>
          <w:rFonts w:ascii="Book Antiqua" w:hAnsi="Book Antiqua"/>
        </w:rPr>
        <w:t xml:space="preserve"> evidence</w:t>
      </w:r>
      <w:r w:rsidR="00AB5A16" w:rsidRPr="000F5A05">
        <w:rPr>
          <w:rFonts w:ascii="Book Antiqua" w:hAnsi="Book Antiqua"/>
        </w:rPr>
        <w:t xml:space="preserve"> that was not placed before him</w:t>
      </w:r>
      <w:r w:rsidR="009C0833" w:rsidRPr="000F5A05">
        <w:rPr>
          <w:rFonts w:ascii="Book Antiqua" w:hAnsi="Book Antiqua"/>
        </w:rPr>
        <w:t>.</w:t>
      </w:r>
      <w:r w:rsidR="001022D2" w:rsidRPr="000F5A05">
        <w:rPr>
          <w:rFonts w:ascii="Book Antiqua" w:hAnsi="Book Antiqua"/>
        </w:rPr>
        <w:t xml:space="preserve"> </w:t>
      </w:r>
    </w:p>
    <w:p w:rsidR="005D3D5B" w:rsidRDefault="005D3D5B" w:rsidP="005D3D5B">
      <w:pPr>
        <w:ind w:left="570" w:hanging="570"/>
        <w:rPr>
          <w:rFonts w:ascii="Book Antiqua" w:hAnsi="Book Antiqua"/>
        </w:rPr>
      </w:pPr>
    </w:p>
    <w:p w:rsidR="00806EEF" w:rsidRPr="000F5A05" w:rsidRDefault="005D3D5B" w:rsidP="00AB0B79">
      <w:pPr>
        <w:ind w:left="720" w:hanging="720"/>
        <w:jc w:val="both"/>
        <w:rPr>
          <w:rFonts w:ascii="Book Antiqua" w:hAnsi="Book Antiqua"/>
        </w:rPr>
      </w:pPr>
      <w:r>
        <w:rPr>
          <w:rFonts w:ascii="Book Antiqua" w:hAnsi="Book Antiqua"/>
        </w:rPr>
        <w:t>17.</w:t>
      </w:r>
      <w:r>
        <w:rPr>
          <w:rFonts w:ascii="Book Antiqua" w:hAnsi="Book Antiqua"/>
        </w:rPr>
        <w:tab/>
      </w:r>
      <w:r w:rsidR="001022D2" w:rsidRPr="000F5A05">
        <w:rPr>
          <w:rFonts w:ascii="Book Antiqua" w:hAnsi="Book Antiqua"/>
        </w:rPr>
        <w:t>Moreover,</w:t>
      </w:r>
      <w:r w:rsidR="009C0833" w:rsidRPr="000F5A05">
        <w:rPr>
          <w:rFonts w:ascii="Book Antiqua" w:hAnsi="Book Antiqua"/>
        </w:rPr>
        <w:t xml:space="preserve"> the FtTJ did not p</w:t>
      </w:r>
      <w:r w:rsidR="001022D2" w:rsidRPr="000F5A05">
        <w:rPr>
          <w:rFonts w:ascii="Book Antiqua" w:hAnsi="Book Antiqua"/>
        </w:rPr>
        <w:t>redicate his comments at [63] on</w:t>
      </w:r>
      <w:r w:rsidR="009C0833" w:rsidRPr="000F5A05">
        <w:rPr>
          <w:rFonts w:ascii="Book Antiqua" w:hAnsi="Book Antiqua"/>
        </w:rPr>
        <w:t xml:space="preserve"> any background evidence or the lack thereof, but </w:t>
      </w:r>
      <w:r w:rsidR="00E86630" w:rsidRPr="000F5A05">
        <w:rPr>
          <w:rFonts w:ascii="Book Antiqua" w:hAnsi="Book Antiqua"/>
        </w:rPr>
        <w:t>on the Appellant’</w:t>
      </w:r>
      <w:r w:rsidR="00F105B1" w:rsidRPr="000F5A05">
        <w:rPr>
          <w:rFonts w:ascii="Book Antiqua" w:hAnsi="Book Antiqua"/>
        </w:rPr>
        <w:t>s</w:t>
      </w:r>
      <w:r w:rsidR="00D567B5">
        <w:rPr>
          <w:rFonts w:ascii="Book Antiqua" w:hAnsi="Book Antiqua"/>
        </w:rPr>
        <w:t xml:space="preserve"> failure to explain</w:t>
      </w:r>
      <w:r w:rsidR="00AB5A16" w:rsidRPr="000F5A05">
        <w:rPr>
          <w:rFonts w:ascii="Book Antiqua" w:hAnsi="Book Antiqua"/>
        </w:rPr>
        <w:t xml:space="preserve"> how</w:t>
      </w:r>
      <w:r w:rsidR="00D567B5">
        <w:rPr>
          <w:rFonts w:ascii="Book Antiqua" w:hAnsi="Book Antiqua"/>
        </w:rPr>
        <w:t xml:space="preserve"> he</w:t>
      </w:r>
      <w:r w:rsidR="009D41F3" w:rsidRPr="000F5A05">
        <w:rPr>
          <w:rFonts w:ascii="Book Antiqua" w:hAnsi="Book Antiqua"/>
        </w:rPr>
        <w:t xml:space="preserve"> was able to leave Bangladesh</w:t>
      </w:r>
      <w:r w:rsidR="001022D2" w:rsidRPr="000F5A05">
        <w:rPr>
          <w:rFonts w:ascii="Book Antiqua" w:hAnsi="Book Antiqua"/>
        </w:rPr>
        <w:t xml:space="preserve"> given the existence of an extant arrest warrant</w:t>
      </w:r>
      <w:r w:rsidR="00F105B1" w:rsidRPr="000F5A05">
        <w:rPr>
          <w:rFonts w:ascii="Book Antiqua" w:hAnsi="Book Antiqua"/>
        </w:rPr>
        <w:t>.</w:t>
      </w:r>
      <w:r w:rsidR="00AB5A16" w:rsidRPr="000F5A05">
        <w:rPr>
          <w:rFonts w:ascii="Book Antiqua" w:hAnsi="Book Antiqua"/>
        </w:rPr>
        <w:t xml:space="preserve"> </w:t>
      </w:r>
      <w:r w:rsidR="000F5A05" w:rsidRPr="000F5A05">
        <w:rPr>
          <w:rFonts w:ascii="Book Antiqua" w:hAnsi="Book Antiqua"/>
        </w:rPr>
        <w:t>The grounds complain that the FtTJ failed to</w:t>
      </w:r>
      <w:r w:rsidR="00D567B5">
        <w:rPr>
          <w:rFonts w:ascii="Book Antiqua" w:hAnsi="Book Antiqua"/>
        </w:rPr>
        <w:t xml:space="preserve"> take into account the explanation given</w:t>
      </w:r>
      <w:r w:rsidR="000F5A05" w:rsidRPr="000F5A05">
        <w:rPr>
          <w:rFonts w:ascii="Book Antiqua" w:hAnsi="Book Antiqua"/>
        </w:rPr>
        <w:t xml:space="preserve"> in the grounds of appeal to the First-</w:t>
      </w:r>
      <w:r w:rsidR="00D567B5">
        <w:rPr>
          <w:rFonts w:ascii="Book Antiqua" w:hAnsi="Book Antiqua"/>
        </w:rPr>
        <w:t>tier T</w:t>
      </w:r>
      <w:r w:rsidR="000F5A05" w:rsidRPr="000F5A05">
        <w:rPr>
          <w:rFonts w:ascii="Book Antiqua" w:hAnsi="Book Antiqua"/>
        </w:rPr>
        <w:t>ribunal</w:t>
      </w:r>
      <w:r w:rsidR="00D567B5">
        <w:rPr>
          <w:rFonts w:ascii="Book Antiqua" w:hAnsi="Book Antiqua"/>
        </w:rPr>
        <w:t>,</w:t>
      </w:r>
      <w:r w:rsidR="000F5A05" w:rsidRPr="000F5A05">
        <w:rPr>
          <w:rFonts w:ascii="Book Antiqua" w:hAnsi="Book Antiqua"/>
        </w:rPr>
        <w:t xml:space="preserve"> but the </w:t>
      </w:r>
      <w:r w:rsidRPr="000F5A05">
        <w:rPr>
          <w:rFonts w:ascii="Book Antiqua" w:hAnsi="Book Antiqua"/>
        </w:rPr>
        <w:t>difficulty</w:t>
      </w:r>
      <w:r w:rsidR="000F5A05" w:rsidRPr="000F5A05">
        <w:rPr>
          <w:rFonts w:ascii="Book Antiqua" w:hAnsi="Book Antiqua"/>
        </w:rPr>
        <w:t xml:space="preserve"> with that submission is that the grounds are not evidence</w:t>
      </w:r>
      <w:r w:rsidR="00D567B5">
        <w:rPr>
          <w:rFonts w:ascii="Book Antiqua" w:hAnsi="Book Antiqua"/>
        </w:rPr>
        <w:t xml:space="preserve"> and are not signed by the A</w:t>
      </w:r>
      <w:r w:rsidR="000F5A05" w:rsidRPr="000F5A05">
        <w:rPr>
          <w:rFonts w:ascii="Book Antiqua" w:hAnsi="Book Antiqua"/>
        </w:rPr>
        <w:t>ppellant; there is no indication or assertion that the explanation therein</w:t>
      </w:r>
      <w:r w:rsidR="00D567B5">
        <w:rPr>
          <w:rFonts w:ascii="Book Antiqua" w:hAnsi="Book Antiqua"/>
        </w:rPr>
        <w:t xml:space="preserve"> was adopted by the A</w:t>
      </w:r>
      <w:r w:rsidR="000F5A05" w:rsidRPr="000F5A05">
        <w:rPr>
          <w:rFonts w:ascii="Book Antiqua" w:hAnsi="Book Antiqua"/>
        </w:rPr>
        <w:t>ppellant in evidence before the FtTJ and none of the assertions advan</w:t>
      </w:r>
      <w:r w:rsidR="00D567B5">
        <w:rPr>
          <w:rFonts w:ascii="Book Antiqua" w:hAnsi="Book Antiqua"/>
        </w:rPr>
        <w:t>ced therein are supported by</w:t>
      </w:r>
      <w:r w:rsidR="000F5A05" w:rsidRPr="000F5A05">
        <w:rPr>
          <w:rFonts w:ascii="Book Antiqua" w:hAnsi="Book Antiqua"/>
        </w:rPr>
        <w:t xml:space="preserve"> evidence.  </w:t>
      </w:r>
      <w:r w:rsidR="00F105B1" w:rsidRPr="000F5A05">
        <w:rPr>
          <w:rFonts w:ascii="Book Antiqua" w:hAnsi="Book Antiqua"/>
        </w:rPr>
        <w:t xml:space="preserve"> </w:t>
      </w:r>
    </w:p>
    <w:p w:rsidR="00806EEF" w:rsidRPr="000F5A05" w:rsidRDefault="00806EEF" w:rsidP="00806EEF">
      <w:pPr>
        <w:rPr>
          <w:rFonts w:ascii="Book Antiqua" w:hAnsi="Book Antiqua"/>
        </w:rPr>
      </w:pPr>
    </w:p>
    <w:p w:rsidR="0035644F" w:rsidRPr="000F5A05" w:rsidRDefault="005D3D5B" w:rsidP="00D567B5">
      <w:pPr>
        <w:pStyle w:val="p"/>
        <w:numPr>
          <w:ilvl w:val="0"/>
          <w:numId w:val="0"/>
        </w:numPr>
        <w:ind w:left="720" w:hanging="720"/>
      </w:pPr>
      <w:r>
        <w:t>18.</w:t>
      </w:r>
      <w:r>
        <w:tab/>
      </w:r>
      <w:r w:rsidR="00F105B1" w:rsidRPr="000F5A05">
        <w:t xml:space="preserve">I have no hesitation in concluding that the FtTJ did not err in his consideration of the arrest warrant. </w:t>
      </w:r>
    </w:p>
    <w:p w:rsidR="004539FA" w:rsidRPr="000F5A05" w:rsidRDefault="004539FA" w:rsidP="004539FA">
      <w:pPr>
        <w:pStyle w:val="p"/>
        <w:numPr>
          <w:ilvl w:val="0"/>
          <w:numId w:val="0"/>
        </w:numPr>
        <w:ind w:left="570" w:hanging="570"/>
      </w:pPr>
    </w:p>
    <w:p w:rsidR="00F43464" w:rsidRPr="000F5A05" w:rsidRDefault="005D3D5B" w:rsidP="00C92D3F">
      <w:pPr>
        <w:pStyle w:val="p"/>
        <w:numPr>
          <w:ilvl w:val="0"/>
          <w:numId w:val="0"/>
        </w:numPr>
        <w:ind w:left="720" w:hanging="720"/>
      </w:pPr>
      <w:r>
        <w:t>19.</w:t>
      </w:r>
      <w:r>
        <w:tab/>
      </w:r>
      <w:r w:rsidR="00F43464" w:rsidRPr="000F5A05">
        <w:t>In his concluding submissions Mr Claire submitted that</w:t>
      </w:r>
      <w:r w:rsidR="00843A21" w:rsidRPr="000F5A05">
        <w:t xml:space="preserve"> the Respondent had failed to discharge the burden </w:t>
      </w:r>
      <w:r w:rsidR="00B80634">
        <w:t xml:space="preserve">of proof </w:t>
      </w:r>
      <w:r w:rsidR="00843A21" w:rsidRPr="000F5A05">
        <w:t>and adduce evidence to supp</w:t>
      </w:r>
      <w:r w:rsidR="00C92D3F">
        <w:t>ort her case that the documentary evidence</w:t>
      </w:r>
      <w:r w:rsidR="00843A21" w:rsidRPr="000F5A05">
        <w:t xml:space="preserve"> was fraudulen</w:t>
      </w:r>
      <w:r w:rsidR="000F5A05" w:rsidRPr="000F5A05">
        <w:t xml:space="preserve">t. </w:t>
      </w:r>
      <w:r w:rsidR="00843A21" w:rsidRPr="000F5A05">
        <w:t>While</w:t>
      </w:r>
      <w:r w:rsidR="000F5A05" w:rsidRPr="000F5A05">
        <w:t xml:space="preserve"> that</w:t>
      </w:r>
      <w:r w:rsidR="00843A21" w:rsidRPr="000F5A05">
        <w:t xml:space="preserve"> contention as a matter of fact and law is correct</w:t>
      </w:r>
      <w:r w:rsidR="000F5A05" w:rsidRPr="000F5A05">
        <w:t>,</w:t>
      </w:r>
      <w:r w:rsidR="00843A21" w:rsidRPr="000F5A05">
        <w:t xml:space="preserve"> it fails to identify any error on the part of the FtTJ. </w:t>
      </w:r>
      <w:r w:rsidR="00214E18" w:rsidRPr="000F5A05">
        <w:t xml:space="preserve">In the absence of any evidence of fraud the FtTJ applied the </w:t>
      </w:r>
      <w:r w:rsidRPr="000F5A05">
        <w:t>correct</w:t>
      </w:r>
      <w:r w:rsidR="00214E18" w:rsidRPr="000F5A05">
        <w:t xml:space="preserve"> approach to the consideration of documentary evidence in-line with the principle</w:t>
      </w:r>
      <w:r w:rsidR="000F5A05" w:rsidRPr="000F5A05">
        <w:t>s</w:t>
      </w:r>
      <w:r>
        <w:t xml:space="preserve"> enunciated in </w:t>
      </w:r>
      <w:r w:rsidRPr="00C92D3F">
        <w:rPr>
          <w:u w:val="single"/>
        </w:rPr>
        <w:t>Tanvee</w:t>
      </w:r>
      <w:r w:rsidR="00214E18" w:rsidRPr="00C92D3F">
        <w:rPr>
          <w:u w:val="single"/>
        </w:rPr>
        <w:t>r Ahmed</w:t>
      </w:r>
      <w:r w:rsidR="00214E18" w:rsidRPr="000F5A05">
        <w:t xml:space="preserve"> at [50] and [60]. </w:t>
      </w:r>
      <w:r w:rsidR="00F43464" w:rsidRPr="000F5A05">
        <w:t xml:space="preserve"> </w:t>
      </w:r>
    </w:p>
    <w:p w:rsidR="00F43464" w:rsidRPr="000F5A05" w:rsidRDefault="00F43464" w:rsidP="00F43464">
      <w:pPr>
        <w:pStyle w:val="p"/>
        <w:numPr>
          <w:ilvl w:val="0"/>
          <w:numId w:val="0"/>
        </w:numPr>
        <w:ind w:left="570" w:hanging="570"/>
      </w:pPr>
    </w:p>
    <w:p w:rsidR="00F43464" w:rsidRPr="000F5A05" w:rsidRDefault="005D3D5B" w:rsidP="00502C68">
      <w:pPr>
        <w:ind w:left="720" w:hanging="720"/>
        <w:jc w:val="both"/>
        <w:rPr>
          <w:rFonts w:ascii="Book Antiqua" w:hAnsi="Book Antiqua"/>
        </w:rPr>
      </w:pPr>
      <w:r>
        <w:rPr>
          <w:rFonts w:ascii="Book Antiqua" w:hAnsi="Book Antiqua" w:cs="Arial"/>
        </w:rPr>
        <w:t>20.</w:t>
      </w:r>
      <w:r>
        <w:rPr>
          <w:rFonts w:ascii="Book Antiqua" w:hAnsi="Book Antiqua" w:cs="Arial"/>
        </w:rPr>
        <w:tab/>
      </w:r>
      <w:r w:rsidR="00D933B3" w:rsidRPr="000F5A05">
        <w:rPr>
          <w:rFonts w:ascii="Book Antiqua" w:hAnsi="Book Antiqua" w:cs="Arial"/>
        </w:rPr>
        <w:t>The grounds raise additional iss</w:t>
      </w:r>
      <w:r w:rsidR="000F5A05" w:rsidRPr="000F5A05">
        <w:rPr>
          <w:rFonts w:ascii="Book Antiqua" w:hAnsi="Book Antiqua" w:cs="Arial"/>
        </w:rPr>
        <w:t>ues which Mr Claire did not expand</w:t>
      </w:r>
      <w:r w:rsidR="00D933B3" w:rsidRPr="000F5A05">
        <w:rPr>
          <w:rFonts w:ascii="Book Antiqua" w:hAnsi="Book Antiqua" w:cs="Arial"/>
        </w:rPr>
        <w:t xml:space="preserve"> upon in his oral submissions which I have considered. </w:t>
      </w:r>
      <w:r w:rsidR="00BC711B" w:rsidRPr="000F5A05">
        <w:rPr>
          <w:rFonts w:ascii="Book Antiqua" w:hAnsi="Book Antiqua" w:cs="Arial"/>
        </w:rPr>
        <w:t>In</w:t>
      </w:r>
      <w:r w:rsidR="001E060C" w:rsidRPr="000F5A05">
        <w:rPr>
          <w:rFonts w:ascii="Book Antiqua" w:hAnsi="Book Antiqua" w:cs="Arial"/>
        </w:rPr>
        <w:t xml:space="preserve"> my judgement, they are without merit and</w:t>
      </w:r>
      <w:r w:rsidR="00BC711B" w:rsidRPr="000F5A05">
        <w:rPr>
          <w:rFonts w:ascii="Book Antiqua" w:hAnsi="Book Antiqua" w:cs="Arial"/>
        </w:rPr>
        <w:t xml:space="preserve"> amount to a mere disagreement with</w:t>
      </w:r>
      <w:r w:rsidR="000F5A05" w:rsidRPr="000F5A05">
        <w:rPr>
          <w:rFonts w:ascii="Book Antiqua" w:hAnsi="Book Antiqua" w:cs="Arial"/>
        </w:rPr>
        <w:t xml:space="preserve"> the FtTJ’s findings</w:t>
      </w:r>
      <w:r w:rsidR="00BC711B" w:rsidRPr="000F5A05">
        <w:rPr>
          <w:rFonts w:ascii="Book Antiqua" w:hAnsi="Book Antiqua" w:cs="Arial"/>
        </w:rPr>
        <w:t xml:space="preserve">. </w:t>
      </w:r>
      <w:r w:rsidR="00F43464" w:rsidRPr="000F5A05">
        <w:rPr>
          <w:rFonts w:ascii="Book Antiqua" w:hAnsi="Book Antiqua"/>
        </w:rPr>
        <w:t xml:space="preserve"> </w:t>
      </w:r>
    </w:p>
    <w:p w:rsidR="00330730" w:rsidRPr="000F5A05" w:rsidRDefault="00330730" w:rsidP="00F43464">
      <w:pPr>
        <w:rPr>
          <w:rFonts w:ascii="Book Antiqua" w:hAnsi="Book Antiqua"/>
        </w:rPr>
      </w:pPr>
    </w:p>
    <w:p w:rsidR="00330730" w:rsidRPr="000F5A05" w:rsidRDefault="005D3D5B" w:rsidP="00502C68">
      <w:pPr>
        <w:ind w:left="720" w:hanging="720"/>
        <w:jc w:val="both"/>
        <w:rPr>
          <w:rFonts w:ascii="Book Antiqua" w:hAnsi="Book Antiqua"/>
        </w:rPr>
      </w:pPr>
      <w:r>
        <w:rPr>
          <w:rFonts w:ascii="Book Antiqua" w:hAnsi="Book Antiqua"/>
        </w:rPr>
        <w:t>21.</w:t>
      </w:r>
      <w:r>
        <w:rPr>
          <w:rFonts w:ascii="Book Antiqua" w:hAnsi="Book Antiqua"/>
        </w:rPr>
        <w:tab/>
      </w:r>
      <w:r w:rsidR="00330730" w:rsidRPr="000F5A05">
        <w:rPr>
          <w:rFonts w:ascii="Book Antiqua" w:hAnsi="Book Antiqua"/>
        </w:rPr>
        <w:t>First, there is a bold assertion that the FtTJ applied a higher standard of proof to that applicable in protection claim</w:t>
      </w:r>
      <w:r w:rsidR="005B48BA">
        <w:rPr>
          <w:rFonts w:ascii="Book Antiqua" w:hAnsi="Book Antiqua"/>
        </w:rPr>
        <w:t>s. The</w:t>
      </w:r>
      <w:r w:rsidR="002437CD">
        <w:rPr>
          <w:rFonts w:ascii="Book Antiqua" w:hAnsi="Book Antiqua"/>
        </w:rPr>
        <w:t xml:space="preserve"> assertion is not </w:t>
      </w:r>
      <w:r w:rsidR="00502C68">
        <w:rPr>
          <w:rFonts w:ascii="Book Antiqua" w:hAnsi="Book Antiqua"/>
        </w:rPr>
        <w:t>particularised</w:t>
      </w:r>
      <w:r w:rsidR="00330730" w:rsidRPr="000F5A05">
        <w:rPr>
          <w:rFonts w:ascii="Book Antiqua" w:hAnsi="Book Antiqua"/>
        </w:rPr>
        <w:t xml:space="preserve"> and is a</w:t>
      </w:r>
      <w:r w:rsidR="005B48BA">
        <w:rPr>
          <w:rFonts w:ascii="Book Antiqua" w:hAnsi="Book Antiqua"/>
        </w:rPr>
        <w:t>n</w:t>
      </w:r>
      <w:r w:rsidR="002437CD">
        <w:rPr>
          <w:rFonts w:ascii="Book Antiqua" w:hAnsi="Book Antiqua"/>
        </w:rPr>
        <w:t>other</w:t>
      </w:r>
      <w:r w:rsidR="00330730" w:rsidRPr="000F5A05">
        <w:rPr>
          <w:rFonts w:ascii="Book Antiqua" w:hAnsi="Book Antiqua"/>
        </w:rPr>
        <w:t xml:space="preserve"> </w:t>
      </w:r>
      <w:r w:rsidR="00330730" w:rsidRPr="000F5A05">
        <w:rPr>
          <w:rFonts w:ascii="Book Antiqua" w:hAnsi="Book Antiqua"/>
        </w:rPr>
        <w:lastRenderedPageBreak/>
        <w:t xml:space="preserve">unjustified </w:t>
      </w:r>
      <w:r w:rsidRPr="000F5A05">
        <w:rPr>
          <w:rFonts w:ascii="Book Antiqua" w:hAnsi="Book Antiqua"/>
        </w:rPr>
        <w:t>criticism</w:t>
      </w:r>
      <w:r w:rsidR="00330730" w:rsidRPr="000F5A05">
        <w:rPr>
          <w:rFonts w:ascii="Book Antiqua" w:hAnsi="Book Antiqua"/>
        </w:rPr>
        <w:t>. The FtTJ was plainly aware of the lower standard of proof an</w:t>
      </w:r>
      <w:r w:rsidR="002437CD">
        <w:rPr>
          <w:rFonts w:ascii="Book Antiqua" w:hAnsi="Book Antiqua"/>
        </w:rPr>
        <w:t>d applied that standard</w:t>
      </w:r>
      <w:r w:rsidR="00330730" w:rsidRPr="000F5A05">
        <w:rPr>
          <w:rFonts w:ascii="Book Antiqua" w:hAnsi="Book Antiqua"/>
        </w:rPr>
        <w:t xml:space="preserve"> throughout. </w:t>
      </w:r>
    </w:p>
    <w:p w:rsidR="00330730" w:rsidRPr="000F5A05" w:rsidRDefault="00330730" w:rsidP="00F43464">
      <w:pPr>
        <w:rPr>
          <w:rFonts w:ascii="Book Antiqua" w:hAnsi="Book Antiqua"/>
        </w:rPr>
      </w:pPr>
    </w:p>
    <w:p w:rsidR="004708FC" w:rsidRDefault="005D3D5B" w:rsidP="00A45470">
      <w:pPr>
        <w:ind w:left="720" w:hanging="720"/>
        <w:jc w:val="both"/>
        <w:rPr>
          <w:rFonts w:ascii="Book Antiqua" w:hAnsi="Book Antiqua"/>
        </w:rPr>
      </w:pPr>
      <w:r>
        <w:rPr>
          <w:rFonts w:ascii="Book Antiqua" w:hAnsi="Book Antiqua"/>
        </w:rPr>
        <w:t>22.</w:t>
      </w:r>
      <w:r>
        <w:rPr>
          <w:rFonts w:ascii="Book Antiqua" w:hAnsi="Book Antiqua"/>
        </w:rPr>
        <w:tab/>
      </w:r>
      <w:r w:rsidR="00330730" w:rsidRPr="000F5A05">
        <w:rPr>
          <w:rFonts w:ascii="Book Antiqua" w:hAnsi="Book Antiqua"/>
        </w:rPr>
        <w:t>Second, criticism is made of the FtTJ’s consideration of the BNP letter</w:t>
      </w:r>
      <w:r w:rsidR="009200BB" w:rsidRPr="000F5A05">
        <w:rPr>
          <w:rFonts w:ascii="Book Antiqua" w:hAnsi="Book Antiqua"/>
        </w:rPr>
        <w:t xml:space="preserve"> at [51]</w:t>
      </w:r>
      <w:r w:rsidR="00330730" w:rsidRPr="000F5A05">
        <w:rPr>
          <w:rFonts w:ascii="Book Antiqua" w:hAnsi="Book Antiqua"/>
        </w:rPr>
        <w:t>.</w:t>
      </w:r>
      <w:r w:rsidR="009200BB" w:rsidRPr="000F5A05">
        <w:rPr>
          <w:rFonts w:ascii="Book Antiqua" w:hAnsi="Book Antiqua"/>
        </w:rPr>
        <w:t xml:space="preserve"> </w:t>
      </w:r>
      <w:r w:rsidR="001E251F" w:rsidRPr="000F5A05">
        <w:rPr>
          <w:rFonts w:ascii="Book Antiqua" w:hAnsi="Book Antiqua"/>
        </w:rPr>
        <w:t>The FtTJ</w:t>
      </w:r>
      <w:r w:rsidR="005B48BA">
        <w:rPr>
          <w:rFonts w:ascii="Book Antiqua" w:hAnsi="Book Antiqua"/>
        </w:rPr>
        <w:t xml:space="preserve"> noted various </w:t>
      </w:r>
      <w:r>
        <w:rPr>
          <w:rFonts w:ascii="Book Antiqua" w:hAnsi="Book Antiqua"/>
        </w:rPr>
        <w:t>anomalies</w:t>
      </w:r>
      <w:r w:rsidR="005B48BA">
        <w:rPr>
          <w:rFonts w:ascii="Book Antiqua" w:hAnsi="Book Antiqua"/>
        </w:rPr>
        <w:t xml:space="preserve"> in its content</w:t>
      </w:r>
      <w:r w:rsidR="001E251F" w:rsidRPr="000F5A05">
        <w:rPr>
          <w:rFonts w:ascii="Book Antiqua" w:hAnsi="Book Antiqua"/>
        </w:rPr>
        <w:t xml:space="preserve"> and noted</w:t>
      </w:r>
      <w:r>
        <w:rPr>
          <w:rFonts w:ascii="Book Antiqua" w:hAnsi="Book Antiqua"/>
        </w:rPr>
        <w:t xml:space="preserve"> it</w:t>
      </w:r>
      <w:r w:rsidR="001E251F" w:rsidRPr="000F5A05">
        <w:rPr>
          <w:rFonts w:ascii="Book Antiqua" w:hAnsi="Book Antiqua"/>
        </w:rPr>
        <w:t xml:space="preserve"> was unda</w:t>
      </w:r>
      <w:r w:rsidR="00C9117B">
        <w:rPr>
          <w:rFonts w:ascii="Book Antiqua" w:hAnsi="Book Antiqua"/>
        </w:rPr>
        <w:t>ted where a space for the date i</w:t>
      </w:r>
      <w:r w:rsidR="001E251F" w:rsidRPr="000F5A05">
        <w:rPr>
          <w:rFonts w:ascii="Book Antiqua" w:hAnsi="Book Antiqua"/>
        </w:rPr>
        <w:t>s specified and</w:t>
      </w:r>
      <w:r w:rsidR="005B48BA">
        <w:rPr>
          <w:rFonts w:ascii="Book Antiqua" w:hAnsi="Book Antiqua"/>
        </w:rPr>
        <w:t xml:space="preserve"> that the contents did not refer </w:t>
      </w:r>
      <w:r w:rsidR="00C9117B">
        <w:rPr>
          <w:rFonts w:ascii="Book Antiqua" w:hAnsi="Book Antiqua"/>
        </w:rPr>
        <w:t xml:space="preserve">to </w:t>
      </w:r>
      <w:r w:rsidR="005B48BA">
        <w:rPr>
          <w:rFonts w:ascii="Book Antiqua" w:hAnsi="Book Antiqua"/>
        </w:rPr>
        <w:t xml:space="preserve">the Appellant’s </w:t>
      </w:r>
      <w:r w:rsidR="001E251F" w:rsidRPr="000F5A05">
        <w:rPr>
          <w:rFonts w:ascii="Book Antiqua" w:hAnsi="Book Antiqua"/>
        </w:rPr>
        <w:t>prison sentence. Th</w:t>
      </w:r>
      <w:r w:rsidR="005B48BA">
        <w:rPr>
          <w:rFonts w:ascii="Book Antiqua" w:hAnsi="Book Antiqua"/>
        </w:rPr>
        <w:t>e grounds point to the fact that the letter i</w:t>
      </w:r>
      <w:r w:rsidR="001E251F" w:rsidRPr="000F5A05">
        <w:rPr>
          <w:rFonts w:ascii="Book Antiqua" w:hAnsi="Book Antiqua"/>
        </w:rPr>
        <w:t>s dated at the bottom</w:t>
      </w:r>
      <w:r w:rsidR="005B48BA">
        <w:rPr>
          <w:rFonts w:ascii="Book Antiqua" w:hAnsi="Book Antiqua"/>
        </w:rPr>
        <w:t xml:space="preserve"> by the signature and while there is a date as asserted</w:t>
      </w:r>
      <w:r w:rsidR="00C9117B">
        <w:rPr>
          <w:rFonts w:ascii="Book Antiqua" w:hAnsi="Book Antiqua"/>
        </w:rPr>
        <w:t>,</w:t>
      </w:r>
      <w:r w:rsidR="005B48BA">
        <w:rPr>
          <w:rFonts w:ascii="Book Antiqua" w:hAnsi="Book Antiqua"/>
        </w:rPr>
        <w:t xml:space="preserve"> the grounds fail to point out</w:t>
      </w:r>
      <w:r w:rsidR="001E251F" w:rsidRPr="000F5A05">
        <w:rPr>
          <w:rFonts w:ascii="Book Antiqua" w:hAnsi="Book Antiqua"/>
        </w:rPr>
        <w:t xml:space="preserve"> </w:t>
      </w:r>
      <w:r w:rsidR="00C9117B">
        <w:rPr>
          <w:rFonts w:ascii="Book Antiqua" w:hAnsi="Book Antiqua"/>
        </w:rPr>
        <w:t xml:space="preserve">that the FtTJ also noted that </w:t>
      </w:r>
      <w:r w:rsidR="001E251F" w:rsidRPr="000F5A05">
        <w:rPr>
          <w:rFonts w:ascii="Book Antiqua" w:hAnsi="Book Antiqua"/>
        </w:rPr>
        <w:t>date</w:t>
      </w:r>
      <w:r w:rsidR="005B48BA">
        <w:rPr>
          <w:rFonts w:ascii="Book Antiqua" w:hAnsi="Book Antiqua"/>
        </w:rPr>
        <w:t xml:space="preserve"> at [51</w:t>
      </w:r>
      <w:r w:rsidR="004708FC">
        <w:rPr>
          <w:rFonts w:ascii="Book Antiqua" w:hAnsi="Book Antiqua"/>
        </w:rPr>
        <w:t>]. That date, I note</w:t>
      </w:r>
      <w:r w:rsidR="001E251F" w:rsidRPr="000F5A05">
        <w:rPr>
          <w:rFonts w:ascii="Book Antiqua" w:hAnsi="Book Antiqua"/>
        </w:rPr>
        <w:t>, relates to the date the Notary Public signed the document</w:t>
      </w:r>
      <w:r w:rsidR="004708FC">
        <w:rPr>
          <w:rFonts w:ascii="Book Antiqua" w:hAnsi="Book Antiqua"/>
        </w:rPr>
        <w:t xml:space="preserve"> rather tha</w:t>
      </w:r>
      <w:r w:rsidR="00C9117B">
        <w:rPr>
          <w:rFonts w:ascii="Book Antiqua" w:hAnsi="Book Antiqua"/>
        </w:rPr>
        <w:t>n the date of the actual letter</w:t>
      </w:r>
      <w:r w:rsidR="004708FC">
        <w:rPr>
          <w:rFonts w:ascii="Book Antiqua" w:hAnsi="Book Antiqua"/>
        </w:rPr>
        <w:t xml:space="preserve"> and</w:t>
      </w:r>
      <w:r w:rsidR="00C9117B">
        <w:rPr>
          <w:rFonts w:ascii="Book Antiqua" w:hAnsi="Book Antiqua"/>
        </w:rPr>
        <w:t>,</w:t>
      </w:r>
      <w:r w:rsidR="004708FC">
        <w:rPr>
          <w:rFonts w:ascii="Book Antiqua" w:hAnsi="Book Antiqua"/>
        </w:rPr>
        <w:t xml:space="preserve"> in any event, the FtTJ</w:t>
      </w:r>
      <w:r w:rsidR="001E251F" w:rsidRPr="000F5A05">
        <w:rPr>
          <w:rFonts w:ascii="Book Antiqua" w:hAnsi="Book Antiqua"/>
        </w:rPr>
        <w:t xml:space="preserve"> </w:t>
      </w:r>
      <w:r w:rsidRPr="000F5A05">
        <w:rPr>
          <w:rFonts w:ascii="Book Antiqua" w:hAnsi="Book Antiqua"/>
        </w:rPr>
        <w:t>correctly</w:t>
      </w:r>
      <w:r w:rsidR="004708FC">
        <w:rPr>
          <w:rFonts w:ascii="Book Antiqua" w:hAnsi="Book Antiqua"/>
        </w:rPr>
        <w:t xml:space="preserve"> observed the omission of a date at the top of the letter in the specified space.</w:t>
      </w:r>
      <w:r w:rsidR="00C22878">
        <w:rPr>
          <w:rFonts w:ascii="Book Antiqua" w:hAnsi="Book Antiqua"/>
        </w:rPr>
        <w:t xml:space="preserve"> The FtTJ was entitled to take that omission into account. </w:t>
      </w:r>
      <w:r w:rsidR="001E251F" w:rsidRPr="000F5A05">
        <w:rPr>
          <w:rFonts w:ascii="Book Antiqua" w:hAnsi="Book Antiqua"/>
        </w:rPr>
        <w:t xml:space="preserve"> </w:t>
      </w:r>
    </w:p>
    <w:p w:rsidR="004708FC" w:rsidRDefault="004708FC" w:rsidP="00F43464">
      <w:pPr>
        <w:rPr>
          <w:rFonts w:ascii="Book Antiqua" w:hAnsi="Book Antiqua"/>
        </w:rPr>
      </w:pPr>
    </w:p>
    <w:p w:rsidR="004708FC" w:rsidRDefault="00304A15" w:rsidP="00C22878">
      <w:pPr>
        <w:ind w:left="720" w:hanging="720"/>
        <w:jc w:val="both"/>
        <w:rPr>
          <w:rFonts w:ascii="Book Antiqua" w:hAnsi="Book Antiqua"/>
        </w:rPr>
      </w:pPr>
      <w:r>
        <w:rPr>
          <w:rFonts w:ascii="Book Antiqua" w:hAnsi="Book Antiqua"/>
        </w:rPr>
        <w:t>23.</w:t>
      </w:r>
      <w:r>
        <w:rPr>
          <w:rFonts w:ascii="Book Antiqua" w:hAnsi="Book Antiqua"/>
        </w:rPr>
        <w:tab/>
      </w:r>
      <w:r w:rsidR="00AE52DE" w:rsidRPr="000F5A05">
        <w:rPr>
          <w:rFonts w:ascii="Book Antiqua" w:hAnsi="Book Antiqua"/>
        </w:rPr>
        <w:t>Further,</w:t>
      </w:r>
      <w:r w:rsidR="004708FC">
        <w:rPr>
          <w:rFonts w:ascii="Book Antiqua" w:hAnsi="Book Antiqua"/>
        </w:rPr>
        <w:t xml:space="preserve"> it is asserted </w:t>
      </w:r>
      <w:r w:rsidR="00AE52DE" w:rsidRPr="000F5A05">
        <w:rPr>
          <w:rFonts w:ascii="Book Antiqua" w:hAnsi="Book Antiqua"/>
        </w:rPr>
        <w:t>that</w:t>
      </w:r>
      <w:r w:rsidR="00BA148E">
        <w:rPr>
          <w:rFonts w:ascii="Book Antiqua" w:hAnsi="Book Antiqua"/>
        </w:rPr>
        <w:t xml:space="preserve"> the BNP</w:t>
      </w:r>
      <w:r w:rsidR="00AE52DE" w:rsidRPr="000F5A05">
        <w:rPr>
          <w:rFonts w:ascii="Book Antiqua" w:hAnsi="Book Antiqua"/>
        </w:rPr>
        <w:t xml:space="preserve"> letter was a </w:t>
      </w:r>
      <w:r w:rsidR="00BA148E">
        <w:rPr>
          <w:rFonts w:ascii="Book Antiqua" w:hAnsi="Book Antiqua"/>
        </w:rPr>
        <w:t>mere confirmation of</w:t>
      </w:r>
      <w:r w:rsidR="004708FC">
        <w:rPr>
          <w:rFonts w:ascii="Book Antiqua" w:hAnsi="Book Antiqua"/>
        </w:rPr>
        <w:t xml:space="preserve"> the A</w:t>
      </w:r>
      <w:r w:rsidR="00AE52DE" w:rsidRPr="000F5A05">
        <w:rPr>
          <w:rFonts w:ascii="Book Antiqua" w:hAnsi="Book Antiqua"/>
        </w:rPr>
        <w:t xml:space="preserve">ppellant’s </w:t>
      </w:r>
      <w:r w:rsidR="00BA148E">
        <w:rPr>
          <w:rFonts w:ascii="Book Antiqua" w:hAnsi="Book Antiqua"/>
        </w:rPr>
        <w:t>membership</w:t>
      </w:r>
      <w:r w:rsidR="00AE52DE" w:rsidRPr="000F5A05">
        <w:rPr>
          <w:rFonts w:ascii="Book Antiqua" w:hAnsi="Book Antiqua"/>
        </w:rPr>
        <w:t xml:space="preserve"> and</w:t>
      </w:r>
      <w:r w:rsidR="004708FC">
        <w:rPr>
          <w:rFonts w:ascii="Book Antiqua" w:hAnsi="Book Antiqua"/>
        </w:rPr>
        <w:t xml:space="preserve"> thus</w:t>
      </w:r>
      <w:r w:rsidR="00AE52DE" w:rsidRPr="000F5A05">
        <w:rPr>
          <w:rFonts w:ascii="Book Antiqua" w:hAnsi="Book Antiqua"/>
        </w:rPr>
        <w:t xml:space="preserve"> would not usually refer to personal information such as a </w:t>
      </w:r>
      <w:r w:rsidR="005D3D5B" w:rsidRPr="000F5A05">
        <w:rPr>
          <w:rFonts w:ascii="Book Antiqua" w:hAnsi="Book Antiqua"/>
        </w:rPr>
        <w:t>p</w:t>
      </w:r>
      <w:r w:rsidR="005D3D5B">
        <w:rPr>
          <w:rFonts w:ascii="Book Antiqua" w:hAnsi="Book Antiqua"/>
        </w:rPr>
        <w:t>rison</w:t>
      </w:r>
      <w:r w:rsidR="004708FC">
        <w:rPr>
          <w:rFonts w:ascii="Book Antiqua" w:hAnsi="Book Antiqua"/>
        </w:rPr>
        <w:t xml:space="preserve"> sentence. Notwithstanding</w:t>
      </w:r>
      <w:r w:rsidR="00AE52DE" w:rsidRPr="000F5A05">
        <w:rPr>
          <w:rFonts w:ascii="Book Antiqua" w:hAnsi="Book Antiqua"/>
        </w:rPr>
        <w:t xml:space="preserve"> the fact that there i</w:t>
      </w:r>
      <w:r w:rsidR="00BA148E">
        <w:rPr>
          <w:rFonts w:ascii="Book Antiqua" w:hAnsi="Book Antiqua"/>
        </w:rPr>
        <w:t xml:space="preserve">s no evidence to support that </w:t>
      </w:r>
      <w:r w:rsidR="00AE52DE" w:rsidRPr="000F5A05">
        <w:rPr>
          <w:rFonts w:ascii="Book Antiqua" w:hAnsi="Book Antiqua"/>
        </w:rPr>
        <w:t>contention, the letter itself refers to t</w:t>
      </w:r>
      <w:r w:rsidR="004708FC">
        <w:rPr>
          <w:rFonts w:ascii="Book Antiqua" w:hAnsi="Book Antiqua"/>
        </w:rPr>
        <w:t>he A</w:t>
      </w:r>
      <w:r w:rsidR="00AE52DE" w:rsidRPr="000F5A05">
        <w:rPr>
          <w:rFonts w:ascii="Book Antiqua" w:hAnsi="Book Antiqua"/>
        </w:rPr>
        <w:t xml:space="preserve">ppellant facing police harassment, false charges and </w:t>
      </w:r>
      <w:r w:rsidR="004708FC">
        <w:rPr>
          <w:rFonts w:ascii="Book Antiqua" w:hAnsi="Book Antiqua"/>
        </w:rPr>
        <w:t xml:space="preserve">to </w:t>
      </w:r>
      <w:r w:rsidR="00AE52DE" w:rsidRPr="000F5A05">
        <w:rPr>
          <w:rFonts w:ascii="Book Antiqua" w:hAnsi="Book Antiqua"/>
        </w:rPr>
        <w:t>an arrest warrant. The letter therefore does refer to personal information which goes b</w:t>
      </w:r>
      <w:r w:rsidR="00BA148E">
        <w:rPr>
          <w:rFonts w:ascii="Book Antiqua" w:hAnsi="Book Antiqua"/>
        </w:rPr>
        <w:t>eyond merely confirming</w:t>
      </w:r>
      <w:r w:rsidR="004708FC">
        <w:rPr>
          <w:rFonts w:ascii="Book Antiqua" w:hAnsi="Book Antiqua"/>
        </w:rPr>
        <w:t xml:space="preserve"> the Appellant’</w:t>
      </w:r>
      <w:r w:rsidR="00AE52DE" w:rsidRPr="000F5A05">
        <w:rPr>
          <w:rFonts w:ascii="Book Antiqua" w:hAnsi="Book Antiqua"/>
        </w:rPr>
        <w:t>s membership.</w:t>
      </w:r>
      <w:r w:rsidR="00BA148E">
        <w:rPr>
          <w:rFonts w:ascii="Book Antiqua" w:hAnsi="Book Antiqua"/>
        </w:rPr>
        <w:t xml:space="preserve"> In the circumstances, I am satisfied that the FtTJ was entitled to have regard to this omission also.</w:t>
      </w:r>
      <w:r w:rsidR="00AE52DE" w:rsidRPr="000F5A05">
        <w:rPr>
          <w:rFonts w:ascii="Book Antiqua" w:hAnsi="Book Antiqua"/>
        </w:rPr>
        <w:t xml:space="preserve"> </w:t>
      </w:r>
    </w:p>
    <w:p w:rsidR="004708FC" w:rsidRDefault="004708FC" w:rsidP="00F43464">
      <w:pPr>
        <w:rPr>
          <w:rFonts w:ascii="Book Antiqua" w:hAnsi="Book Antiqua"/>
        </w:rPr>
      </w:pPr>
    </w:p>
    <w:p w:rsidR="008D1FC1" w:rsidRPr="000F5A05" w:rsidRDefault="00304A15" w:rsidP="00BA148E">
      <w:pPr>
        <w:ind w:left="720" w:hanging="720"/>
        <w:jc w:val="both"/>
        <w:rPr>
          <w:rFonts w:ascii="Book Antiqua" w:hAnsi="Book Antiqua"/>
        </w:rPr>
      </w:pPr>
      <w:r>
        <w:rPr>
          <w:rFonts w:ascii="Book Antiqua" w:hAnsi="Book Antiqua"/>
        </w:rPr>
        <w:t xml:space="preserve">24.     </w:t>
      </w:r>
      <w:r w:rsidR="00BA148E">
        <w:rPr>
          <w:rFonts w:ascii="Book Antiqua" w:hAnsi="Book Antiqua"/>
        </w:rPr>
        <w:tab/>
        <w:t xml:space="preserve">The remaining </w:t>
      </w:r>
      <w:r w:rsidR="00502C68">
        <w:rPr>
          <w:rFonts w:ascii="Book Antiqua" w:hAnsi="Book Antiqua"/>
        </w:rPr>
        <w:t>arguments</w:t>
      </w:r>
      <w:r w:rsidR="00BA148E">
        <w:rPr>
          <w:rFonts w:ascii="Book Antiqua" w:hAnsi="Book Antiqua"/>
        </w:rPr>
        <w:t xml:space="preserve"> advanced in the grounds I consider seek to reargue the A</w:t>
      </w:r>
      <w:r w:rsidR="004708FC">
        <w:rPr>
          <w:rFonts w:ascii="Book Antiqua" w:hAnsi="Book Antiqua"/>
        </w:rPr>
        <w:t xml:space="preserve">ppellant’s case. No </w:t>
      </w:r>
      <w:r w:rsidR="005D3D5B">
        <w:rPr>
          <w:rFonts w:ascii="Book Antiqua" w:hAnsi="Book Antiqua"/>
        </w:rPr>
        <w:t>discernible</w:t>
      </w:r>
      <w:r w:rsidR="004708FC">
        <w:rPr>
          <w:rFonts w:ascii="Book Antiqua" w:hAnsi="Book Antiqua"/>
        </w:rPr>
        <w:t xml:space="preserve"> error of law can be </w:t>
      </w:r>
      <w:r w:rsidR="00502C68">
        <w:rPr>
          <w:rFonts w:ascii="Book Antiqua" w:hAnsi="Book Antiqua"/>
        </w:rPr>
        <w:t>identified,</w:t>
      </w:r>
      <w:r w:rsidR="00BA148E">
        <w:rPr>
          <w:rFonts w:ascii="Book Antiqua" w:hAnsi="Book Antiqua"/>
        </w:rPr>
        <w:t xml:space="preserve"> and I find that these challenges</w:t>
      </w:r>
      <w:r w:rsidR="004708FC">
        <w:rPr>
          <w:rFonts w:ascii="Book Antiqua" w:hAnsi="Book Antiqua"/>
        </w:rPr>
        <w:t xml:space="preserve"> amount to </w:t>
      </w:r>
      <w:r w:rsidR="00BA148E">
        <w:rPr>
          <w:rFonts w:ascii="Book Antiqua" w:hAnsi="Book Antiqua"/>
        </w:rPr>
        <w:t xml:space="preserve">no more than </w:t>
      </w:r>
      <w:r w:rsidR="004708FC">
        <w:rPr>
          <w:rFonts w:ascii="Book Antiqua" w:hAnsi="Book Antiqua"/>
        </w:rPr>
        <w:t>a</w:t>
      </w:r>
      <w:r w:rsidR="008D1FC1" w:rsidRPr="000F5A05">
        <w:rPr>
          <w:rFonts w:ascii="Book Antiqua" w:hAnsi="Book Antiqua"/>
        </w:rPr>
        <w:t xml:space="preserve"> disag</w:t>
      </w:r>
      <w:r w:rsidR="00BA148E">
        <w:rPr>
          <w:rFonts w:ascii="Book Antiqua" w:hAnsi="Book Antiqua"/>
        </w:rPr>
        <w:t>reement with the FtTJ’s findings</w:t>
      </w:r>
      <w:r w:rsidR="008D1FC1" w:rsidRPr="000F5A05">
        <w:rPr>
          <w:rFonts w:ascii="Book Antiqua" w:hAnsi="Book Antiqua"/>
        </w:rPr>
        <w:t xml:space="preserve">. </w:t>
      </w:r>
    </w:p>
    <w:p w:rsidR="008D1FC1" w:rsidRPr="000F5A05" w:rsidRDefault="008D1FC1" w:rsidP="00304A15">
      <w:pPr>
        <w:jc w:val="both"/>
        <w:rPr>
          <w:rFonts w:ascii="Book Antiqua" w:hAnsi="Book Antiqua"/>
        </w:rPr>
      </w:pPr>
    </w:p>
    <w:p w:rsidR="00330730" w:rsidRPr="000F5A05" w:rsidRDefault="00502C68" w:rsidP="00BA148E">
      <w:pPr>
        <w:ind w:left="720" w:hanging="720"/>
        <w:jc w:val="both"/>
        <w:rPr>
          <w:rFonts w:ascii="Book Antiqua" w:hAnsi="Book Antiqua"/>
        </w:rPr>
      </w:pPr>
      <w:r>
        <w:rPr>
          <w:rFonts w:ascii="Book Antiqua" w:hAnsi="Book Antiqua"/>
        </w:rPr>
        <w:t>25</w:t>
      </w:r>
      <w:r w:rsidR="00304A15">
        <w:rPr>
          <w:rFonts w:ascii="Book Antiqua" w:hAnsi="Book Antiqua"/>
        </w:rPr>
        <w:t>.</w:t>
      </w:r>
      <w:r w:rsidR="00304A15">
        <w:rPr>
          <w:rFonts w:ascii="Book Antiqua" w:hAnsi="Book Antiqua"/>
        </w:rPr>
        <w:tab/>
      </w:r>
      <w:r w:rsidR="008D1FC1" w:rsidRPr="000F5A05">
        <w:rPr>
          <w:rFonts w:ascii="Book Antiqua" w:hAnsi="Book Antiqua"/>
        </w:rPr>
        <w:t>The grounds in conclusion co</w:t>
      </w:r>
      <w:r w:rsidR="004708FC">
        <w:rPr>
          <w:rFonts w:ascii="Book Antiqua" w:hAnsi="Book Antiqua"/>
        </w:rPr>
        <w:t>ntend that the FtTJ</w:t>
      </w:r>
      <w:r w:rsidR="006965A8">
        <w:rPr>
          <w:rFonts w:ascii="Book Antiqua" w:hAnsi="Book Antiqua"/>
        </w:rPr>
        <w:t>’s</w:t>
      </w:r>
      <w:r w:rsidR="004708FC">
        <w:rPr>
          <w:rFonts w:ascii="Book Antiqua" w:hAnsi="Book Antiqua"/>
        </w:rPr>
        <w:t xml:space="preserve"> reasoning in respect of Article 8 was</w:t>
      </w:r>
      <w:r w:rsidR="008D1FC1" w:rsidRPr="000F5A05">
        <w:rPr>
          <w:rFonts w:ascii="Book Antiqua" w:hAnsi="Book Antiqua"/>
        </w:rPr>
        <w:t xml:space="preserve"> inadequate. </w:t>
      </w:r>
      <w:r w:rsidR="004708FC">
        <w:rPr>
          <w:rFonts w:ascii="Book Antiqua" w:hAnsi="Book Antiqua"/>
        </w:rPr>
        <w:t xml:space="preserve">That claim is surprising given that </w:t>
      </w:r>
      <w:r w:rsidR="001A3562">
        <w:rPr>
          <w:rFonts w:ascii="Book Antiqua" w:hAnsi="Book Antiqua"/>
        </w:rPr>
        <w:t xml:space="preserve">the FtTJ noted that the Appellant “does not insist upon an article 8 ECHR Claim” (sic). </w:t>
      </w:r>
      <w:r w:rsidR="004708FC" w:rsidRPr="000F5A05">
        <w:rPr>
          <w:rFonts w:ascii="Book Antiqua" w:hAnsi="Book Antiqua"/>
        </w:rPr>
        <w:t xml:space="preserve">A bare assertion </w:t>
      </w:r>
      <w:r w:rsidR="004708FC">
        <w:rPr>
          <w:rFonts w:ascii="Book Antiqua" w:hAnsi="Book Antiqua"/>
        </w:rPr>
        <w:t>that the Appellant</w:t>
      </w:r>
      <w:r w:rsidR="004708FC" w:rsidRPr="000F5A05">
        <w:rPr>
          <w:rFonts w:ascii="Book Antiqua" w:hAnsi="Book Antiqua"/>
        </w:rPr>
        <w:t xml:space="preserve"> has established his righ</w:t>
      </w:r>
      <w:r w:rsidR="004708FC">
        <w:rPr>
          <w:rFonts w:ascii="Book Antiqua" w:hAnsi="Book Antiqua"/>
        </w:rPr>
        <w:t>ts under A</w:t>
      </w:r>
      <w:r w:rsidR="004708FC" w:rsidRPr="000F5A05">
        <w:rPr>
          <w:rFonts w:ascii="Book Antiqua" w:hAnsi="Book Antiqua"/>
        </w:rPr>
        <w:t xml:space="preserve">rticle 8 </w:t>
      </w:r>
      <w:r w:rsidR="001A3562">
        <w:rPr>
          <w:rFonts w:ascii="Book Antiqua" w:hAnsi="Book Antiqua"/>
        </w:rPr>
        <w:t>without any reference to the exceptional circumsta</w:t>
      </w:r>
      <w:r w:rsidR="006965A8">
        <w:rPr>
          <w:rFonts w:ascii="Book Antiqua" w:hAnsi="Book Antiqua"/>
        </w:rPr>
        <w:t>nces that would have led the FtT</w:t>
      </w:r>
      <w:r w:rsidR="001A3562">
        <w:rPr>
          <w:rFonts w:ascii="Book Antiqua" w:hAnsi="Book Antiqua"/>
        </w:rPr>
        <w:t>J</w:t>
      </w:r>
      <w:r w:rsidR="006965A8">
        <w:rPr>
          <w:rFonts w:ascii="Book Antiqua" w:hAnsi="Book Antiqua"/>
        </w:rPr>
        <w:t xml:space="preserve"> to a</w:t>
      </w:r>
      <w:r w:rsidR="001A3562">
        <w:rPr>
          <w:rFonts w:ascii="Book Antiqua" w:hAnsi="Book Antiqua"/>
        </w:rPr>
        <w:t xml:space="preserve"> different conclusion </w:t>
      </w:r>
      <w:r w:rsidR="004708FC">
        <w:rPr>
          <w:rFonts w:ascii="Book Antiqua" w:hAnsi="Book Antiqua"/>
        </w:rPr>
        <w:t xml:space="preserve">does not establish </w:t>
      </w:r>
      <w:r w:rsidR="001A3562">
        <w:rPr>
          <w:rFonts w:ascii="Book Antiqua" w:hAnsi="Book Antiqua"/>
        </w:rPr>
        <w:t>an</w:t>
      </w:r>
      <w:r w:rsidR="004708FC">
        <w:rPr>
          <w:rFonts w:ascii="Book Antiqua" w:hAnsi="Book Antiqua"/>
        </w:rPr>
        <w:t xml:space="preserve"> error on the </w:t>
      </w:r>
      <w:r w:rsidR="001A3562">
        <w:rPr>
          <w:rFonts w:ascii="Book Antiqua" w:hAnsi="Book Antiqua"/>
        </w:rPr>
        <w:t xml:space="preserve">part of the FtTJ. There </w:t>
      </w:r>
      <w:r w:rsidR="005D3D5B">
        <w:rPr>
          <w:rFonts w:ascii="Book Antiqua" w:hAnsi="Book Antiqua"/>
        </w:rPr>
        <w:t>is no</w:t>
      </w:r>
      <w:r w:rsidR="001A3562">
        <w:rPr>
          <w:rFonts w:ascii="Book Antiqua" w:hAnsi="Book Antiqua"/>
        </w:rPr>
        <w:t xml:space="preserve"> merit in this challenge whatsoever. </w:t>
      </w:r>
    </w:p>
    <w:p w:rsidR="00F76A13" w:rsidRPr="000F5A05" w:rsidRDefault="00F76A13" w:rsidP="004539FA">
      <w:pPr>
        <w:pStyle w:val="p"/>
        <w:numPr>
          <w:ilvl w:val="0"/>
          <w:numId w:val="0"/>
        </w:numPr>
        <w:ind w:left="570" w:hanging="570"/>
      </w:pPr>
    </w:p>
    <w:p w:rsidR="006C0220" w:rsidRPr="000F5A05" w:rsidRDefault="00502C68" w:rsidP="00502C68">
      <w:pPr>
        <w:ind w:left="720" w:hanging="720"/>
        <w:jc w:val="both"/>
        <w:rPr>
          <w:rFonts w:ascii="Book Antiqua" w:hAnsi="Book Antiqua" w:cs="Arial"/>
        </w:rPr>
      </w:pPr>
      <w:r>
        <w:rPr>
          <w:rFonts w:ascii="Book Antiqua" w:hAnsi="Book Antiqua" w:cs="Arial"/>
        </w:rPr>
        <w:t>26.</w:t>
      </w:r>
      <w:r>
        <w:rPr>
          <w:rFonts w:ascii="Book Antiqua" w:hAnsi="Book Antiqua" w:cs="Arial"/>
        </w:rPr>
        <w:tab/>
      </w:r>
      <w:r w:rsidR="001A3562">
        <w:rPr>
          <w:rFonts w:ascii="Book Antiqua" w:hAnsi="Book Antiqua" w:cs="Arial"/>
        </w:rPr>
        <w:t>In summary</w:t>
      </w:r>
      <w:r>
        <w:rPr>
          <w:rFonts w:ascii="Book Antiqua" w:hAnsi="Book Antiqua" w:cs="Arial"/>
        </w:rPr>
        <w:t>,</w:t>
      </w:r>
      <w:r w:rsidR="001A3562">
        <w:rPr>
          <w:rFonts w:ascii="Book Antiqua" w:hAnsi="Book Antiqua" w:cs="Arial"/>
        </w:rPr>
        <w:t xml:space="preserve"> this is a well-reasoned decision</w:t>
      </w:r>
      <w:r>
        <w:rPr>
          <w:rFonts w:ascii="Book Antiqua" w:hAnsi="Book Antiqua" w:cs="Arial"/>
        </w:rPr>
        <w:t>. The F</w:t>
      </w:r>
      <w:r w:rsidR="001A3562">
        <w:rPr>
          <w:rFonts w:ascii="Book Antiqua" w:hAnsi="Book Antiqua" w:cs="Arial"/>
        </w:rPr>
        <w:t xml:space="preserve">tTJ reached conclusions that were entirely open to him on the evidence and is sufficiently reasoned. </w:t>
      </w:r>
    </w:p>
    <w:p w:rsidR="006C0220" w:rsidRPr="000F5A05" w:rsidRDefault="006C0220" w:rsidP="006C0220">
      <w:pPr>
        <w:jc w:val="both"/>
        <w:rPr>
          <w:rFonts w:ascii="Book Antiqua" w:hAnsi="Book Antiqua" w:cs="Arial"/>
          <w:i/>
        </w:rPr>
      </w:pPr>
    </w:p>
    <w:p w:rsidR="006C0220" w:rsidRPr="000F5A05" w:rsidRDefault="006C0220" w:rsidP="006C0220">
      <w:pPr>
        <w:jc w:val="both"/>
        <w:rPr>
          <w:rFonts w:ascii="Book Antiqua" w:hAnsi="Book Antiqua" w:cs="Arial"/>
          <w:b/>
          <w:u w:val="single"/>
        </w:rPr>
      </w:pPr>
      <w:r w:rsidRPr="000F5A05">
        <w:rPr>
          <w:rFonts w:ascii="Book Antiqua" w:hAnsi="Book Antiqua" w:cs="Arial"/>
          <w:b/>
          <w:u w:val="single"/>
        </w:rPr>
        <w:t>Notice of Decision</w:t>
      </w:r>
    </w:p>
    <w:p w:rsidR="006C0220" w:rsidRPr="000F5A05" w:rsidRDefault="006C0220" w:rsidP="006C0220">
      <w:pPr>
        <w:jc w:val="both"/>
        <w:rPr>
          <w:rFonts w:ascii="Book Antiqua" w:hAnsi="Book Antiqua" w:cs="Arial"/>
        </w:rPr>
      </w:pPr>
    </w:p>
    <w:p w:rsidR="006C0220" w:rsidRPr="000F5A05" w:rsidRDefault="006C0220" w:rsidP="00502C68">
      <w:pPr>
        <w:ind w:left="720"/>
        <w:jc w:val="both"/>
        <w:rPr>
          <w:rFonts w:ascii="Book Antiqua" w:hAnsi="Book Antiqua" w:cs="Arial"/>
        </w:rPr>
      </w:pPr>
      <w:r w:rsidRPr="000F5A05">
        <w:rPr>
          <w:rFonts w:ascii="Book Antiqua" w:hAnsi="Book Antiqua" w:cs="Arial"/>
        </w:rPr>
        <w:t>The Decision of the First-tier Tribunal does not contain a material error of law and shall stand. The Appellant’s appeal is dismissed.</w:t>
      </w:r>
    </w:p>
    <w:p w:rsidR="006C0220" w:rsidRDefault="006C0220" w:rsidP="006C0220">
      <w:pPr>
        <w:jc w:val="both"/>
        <w:rPr>
          <w:rFonts w:ascii="Book Antiqua" w:hAnsi="Book Antiqua" w:cs="Arial"/>
        </w:rPr>
      </w:pPr>
    </w:p>
    <w:p w:rsidR="00976462" w:rsidRPr="000F5A05" w:rsidRDefault="00976462" w:rsidP="006C0220">
      <w:pPr>
        <w:jc w:val="both"/>
        <w:rPr>
          <w:rFonts w:ascii="Book Antiqua" w:hAnsi="Book Antiqua" w:cs="Arial"/>
        </w:rPr>
      </w:pPr>
    </w:p>
    <w:p w:rsidR="006C0220" w:rsidRPr="000F5A05" w:rsidRDefault="006C0220" w:rsidP="006C0220">
      <w:pPr>
        <w:jc w:val="both"/>
        <w:rPr>
          <w:rFonts w:ascii="Book Antiqua" w:hAnsi="Book Antiqua" w:cs="Arial"/>
        </w:rPr>
      </w:pPr>
      <w:r w:rsidRPr="000F5A05">
        <w:rPr>
          <w:rFonts w:ascii="Book Antiqua" w:hAnsi="Book Antiqua" w:cs="Arial"/>
        </w:rPr>
        <w:t>Signed:</w:t>
      </w:r>
      <w:r w:rsidRPr="000F5A05">
        <w:rPr>
          <w:rFonts w:ascii="Book Antiqua" w:hAnsi="Book Antiqua" w:cs="Arial"/>
        </w:rPr>
        <w:tab/>
      </w:r>
      <w:r w:rsidRPr="000F5A05">
        <w:rPr>
          <w:rFonts w:ascii="Book Antiqua" w:hAnsi="Book Antiqua" w:cs="Arial"/>
        </w:rPr>
        <w:tab/>
      </w:r>
      <w:r w:rsidRPr="000F5A05">
        <w:rPr>
          <w:rFonts w:ascii="Book Antiqua" w:hAnsi="Book Antiqua" w:cs="Arial"/>
        </w:rPr>
        <w:tab/>
      </w:r>
      <w:r w:rsidRPr="000F5A05">
        <w:rPr>
          <w:rFonts w:ascii="Book Antiqua" w:hAnsi="Book Antiqua" w:cs="Arial"/>
        </w:rPr>
        <w:tab/>
      </w:r>
      <w:r w:rsidRPr="000F5A05">
        <w:rPr>
          <w:rFonts w:ascii="Book Antiqua" w:hAnsi="Book Antiqua" w:cs="Arial"/>
        </w:rPr>
        <w:tab/>
      </w:r>
      <w:r w:rsidRPr="000F5A05">
        <w:rPr>
          <w:rFonts w:ascii="Book Antiqua" w:hAnsi="Book Antiqua" w:cs="Arial"/>
        </w:rPr>
        <w:tab/>
      </w:r>
      <w:r w:rsidRPr="000F5A05">
        <w:rPr>
          <w:rFonts w:ascii="Book Antiqua" w:hAnsi="Book Antiqua" w:cs="Arial"/>
        </w:rPr>
        <w:tab/>
      </w:r>
      <w:r w:rsidRPr="000F5A05">
        <w:rPr>
          <w:rFonts w:ascii="Book Antiqua" w:hAnsi="Book Antiqua" w:cs="Arial"/>
        </w:rPr>
        <w:tab/>
        <w:t xml:space="preserve">Date: 20 </w:t>
      </w:r>
      <w:r w:rsidR="00183BD5" w:rsidRPr="000F5A05">
        <w:rPr>
          <w:rFonts w:ascii="Book Antiqua" w:hAnsi="Book Antiqua" w:cs="Arial"/>
        </w:rPr>
        <w:t>June</w:t>
      </w:r>
      <w:r w:rsidRPr="000F5A05">
        <w:rPr>
          <w:rFonts w:ascii="Book Antiqua" w:hAnsi="Book Antiqua" w:cs="Arial"/>
        </w:rPr>
        <w:t xml:space="preserve"> 2018</w:t>
      </w:r>
    </w:p>
    <w:p w:rsidR="006C0220" w:rsidRPr="000F5A05" w:rsidRDefault="006C0220" w:rsidP="006C0220">
      <w:pPr>
        <w:jc w:val="both"/>
        <w:rPr>
          <w:rFonts w:ascii="Book Antiqua" w:hAnsi="Book Antiqua" w:cs="Arial"/>
        </w:rPr>
      </w:pPr>
    </w:p>
    <w:p w:rsidR="006C0220" w:rsidRPr="000F5A05" w:rsidRDefault="006C0220" w:rsidP="006C0220">
      <w:pPr>
        <w:jc w:val="both"/>
        <w:rPr>
          <w:rFonts w:ascii="Book Antiqua" w:hAnsi="Book Antiqua" w:cs="Arial"/>
          <w:color w:val="000000"/>
        </w:rPr>
      </w:pPr>
      <w:r w:rsidRPr="000F5A05">
        <w:rPr>
          <w:rFonts w:ascii="Book Antiqua" w:hAnsi="Book Antiqua" w:cs="Arial"/>
          <w:color w:val="000000"/>
        </w:rPr>
        <w:t xml:space="preserve">Deputy Upper Tribunal Judge Bagral </w:t>
      </w:r>
    </w:p>
    <w:sectPr w:rsidR="006C0220" w:rsidRPr="000F5A05" w:rsidSect="00141B96">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8C4" w:rsidRDefault="009378C4" w:rsidP="00D92FD4">
      <w:r>
        <w:separator/>
      </w:r>
    </w:p>
  </w:endnote>
  <w:endnote w:type="continuationSeparator" w:id="0">
    <w:p w:rsidR="009378C4" w:rsidRDefault="009378C4" w:rsidP="00D92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B96" w:rsidRPr="00AE6DDE" w:rsidRDefault="00141B96" w:rsidP="00141B96">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EB46C4">
      <w:rPr>
        <w:rStyle w:val="PageNumber"/>
        <w:rFonts w:ascii="Book Antiqua" w:hAnsi="Book Antiqua" w:cs="Arial"/>
        <w:noProof/>
        <w:sz w:val="16"/>
        <w:szCs w:val="16"/>
      </w:rPr>
      <w:t>5</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B96" w:rsidRPr="00AE6DDE" w:rsidRDefault="00141B96" w:rsidP="00141B96">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8C4" w:rsidRDefault="009378C4" w:rsidP="00D92FD4">
      <w:r>
        <w:separator/>
      </w:r>
    </w:p>
  </w:footnote>
  <w:footnote w:type="continuationSeparator" w:id="0">
    <w:p w:rsidR="009378C4" w:rsidRDefault="009378C4" w:rsidP="00D92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B96" w:rsidRPr="00ED716C" w:rsidRDefault="00141B96" w:rsidP="00141B96">
    <w:pPr>
      <w:ind w:left="6480" w:firstLine="720"/>
      <w:rPr>
        <w:rFonts w:ascii="Book Antiqua" w:hAnsi="Book Antiqua"/>
        <w:sz w:val="16"/>
        <w:szCs w:val="16"/>
      </w:rPr>
    </w:pPr>
    <w:r w:rsidRPr="00ED716C">
      <w:rPr>
        <w:rFonts w:ascii="Book Antiqua" w:hAnsi="Book Antiqua"/>
        <w:sz w:val="16"/>
        <w:szCs w:val="16"/>
      </w:rPr>
      <w:t>Appeal Number:</w:t>
    </w:r>
    <w:r w:rsidR="00D92FD4">
      <w:rPr>
        <w:rFonts w:ascii="Book Antiqua" w:hAnsi="Book Antiqua"/>
        <w:sz w:val="16"/>
        <w:szCs w:val="16"/>
      </w:rPr>
      <w:t xml:space="preserve"> PA/06023/2017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B96" w:rsidRPr="00AE6DDE" w:rsidRDefault="00141B96">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7439"/>
    <w:multiLevelType w:val="hybridMultilevel"/>
    <w:tmpl w:val="1D1AE576"/>
    <w:lvl w:ilvl="0" w:tplc="160E5D52">
      <w:start w:val="1"/>
      <w:numFmt w:val="decimal"/>
      <w:lvlText w:val="%1."/>
      <w:lvlJc w:val="left"/>
      <w:pPr>
        <w:tabs>
          <w:tab w:val="num" w:pos="510"/>
        </w:tabs>
        <w:ind w:left="510" w:hanging="510"/>
      </w:pPr>
      <w:rPr>
        <w:rFonts w:cs="Times New Roman" w:hint="default"/>
        <w:b w:val="0"/>
      </w:rPr>
    </w:lvl>
    <w:lvl w:ilvl="1" w:tplc="08090019" w:tentative="1">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E41600C"/>
    <w:multiLevelType w:val="hybridMultilevel"/>
    <w:tmpl w:val="915E630C"/>
    <w:lvl w:ilvl="0" w:tplc="5CDE1C4E">
      <w:start w:val="1"/>
      <w:numFmt w:val="decimal"/>
      <w:pStyle w:val="p"/>
      <w:lvlText w:val="%1."/>
      <w:lvlJc w:val="left"/>
      <w:pPr>
        <w:tabs>
          <w:tab w:val="num" w:pos="570"/>
        </w:tabs>
        <w:ind w:left="570" w:hanging="600"/>
      </w:pPr>
      <w:rPr>
        <w:rFonts w:hint="default"/>
      </w:rPr>
    </w:lvl>
    <w:lvl w:ilvl="1" w:tplc="26A04894">
      <w:start w:val="1"/>
      <w:numFmt w:val="lowerRoman"/>
      <w:lvlText w:val="(%2)"/>
      <w:lvlJc w:val="left"/>
      <w:pPr>
        <w:tabs>
          <w:tab w:val="num" w:pos="1410"/>
        </w:tabs>
        <w:ind w:left="1410" w:hanging="720"/>
      </w:pPr>
      <w:rPr>
        <w:rFonts w:hint="default"/>
      </w:rPr>
    </w:lvl>
    <w:lvl w:ilvl="2" w:tplc="8D30E1F8">
      <w:start w:val="1"/>
      <w:numFmt w:val="lowerLetter"/>
      <w:lvlText w:val="(%3)"/>
      <w:lvlJc w:val="left"/>
      <w:pPr>
        <w:tabs>
          <w:tab w:val="num" w:pos="2445"/>
        </w:tabs>
        <w:ind w:left="2445" w:hanging="855"/>
      </w:pPr>
      <w:rPr>
        <w:rFonts w:hint="default"/>
      </w:rPr>
    </w:lvl>
    <w:lvl w:ilvl="3" w:tplc="0809000F" w:tentative="1">
      <w:start w:val="1"/>
      <w:numFmt w:val="decimal"/>
      <w:lvlText w:val="%4."/>
      <w:lvlJc w:val="left"/>
      <w:pPr>
        <w:tabs>
          <w:tab w:val="num" w:pos="2490"/>
        </w:tabs>
        <w:ind w:left="2490" w:hanging="360"/>
      </w:pPr>
    </w:lvl>
    <w:lvl w:ilvl="4" w:tplc="08090019" w:tentative="1">
      <w:start w:val="1"/>
      <w:numFmt w:val="lowerLetter"/>
      <w:lvlText w:val="%5."/>
      <w:lvlJc w:val="left"/>
      <w:pPr>
        <w:tabs>
          <w:tab w:val="num" w:pos="3210"/>
        </w:tabs>
        <w:ind w:left="3210" w:hanging="360"/>
      </w:pPr>
    </w:lvl>
    <w:lvl w:ilvl="5" w:tplc="0809001B" w:tentative="1">
      <w:start w:val="1"/>
      <w:numFmt w:val="lowerRoman"/>
      <w:lvlText w:val="%6."/>
      <w:lvlJc w:val="right"/>
      <w:pPr>
        <w:tabs>
          <w:tab w:val="num" w:pos="3930"/>
        </w:tabs>
        <w:ind w:left="3930" w:hanging="180"/>
      </w:pPr>
    </w:lvl>
    <w:lvl w:ilvl="6" w:tplc="0809000F" w:tentative="1">
      <w:start w:val="1"/>
      <w:numFmt w:val="decimal"/>
      <w:lvlText w:val="%7."/>
      <w:lvlJc w:val="left"/>
      <w:pPr>
        <w:tabs>
          <w:tab w:val="num" w:pos="4650"/>
        </w:tabs>
        <w:ind w:left="4650" w:hanging="360"/>
      </w:pPr>
    </w:lvl>
    <w:lvl w:ilvl="7" w:tplc="08090019" w:tentative="1">
      <w:start w:val="1"/>
      <w:numFmt w:val="lowerLetter"/>
      <w:lvlText w:val="%8."/>
      <w:lvlJc w:val="left"/>
      <w:pPr>
        <w:tabs>
          <w:tab w:val="num" w:pos="5370"/>
        </w:tabs>
        <w:ind w:left="5370" w:hanging="360"/>
      </w:pPr>
    </w:lvl>
    <w:lvl w:ilvl="8" w:tplc="0809001B" w:tentative="1">
      <w:start w:val="1"/>
      <w:numFmt w:val="lowerRoman"/>
      <w:lvlText w:val="%9."/>
      <w:lvlJc w:val="right"/>
      <w:pPr>
        <w:tabs>
          <w:tab w:val="num" w:pos="6090"/>
        </w:tabs>
        <w:ind w:left="60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220"/>
    <w:rsid w:val="000371AE"/>
    <w:rsid w:val="000F5A05"/>
    <w:rsid w:val="001022D2"/>
    <w:rsid w:val="0011732C"/>
    <w:rsid w:val="001343DE"/>
    <w:rsid w:val="00141B96"/>
    <w:rsid w:val="00146E7F"/>
    <w:rsid w:val="001600A8"/>
    <w:rsid w:val="00183BD5"/>
    <w:rsid w:val="001A3562"/>
    <w:rsid w:val="001E060C"/>
    <w:rsid w:val="001E251F"/>
    <w:rsid w:val="001F6A7F"/>
    <w:rsid w:val="00214E18"/>
    <w:rsid w:val="002437CD"/>
    <w:rsid w:val="00271562"/>
    <w:rsid w:val="002B5C2A"/>
    <w:rsid w:val="002E2FBB"/>
    <w:rsid w:val="00304A15"/>
    <w:rsid w:val="00330730"/>
    <w:rsid w:val="0035644F"/>
    <w:rsid w:val="00413D53"/>
    <w:rsid w:val="004539FA"/>
    <w:rsid w:val="004708FC"/>
    <w:rsid w:val="00502C68"/>
    <w:rsid w:val="005246C0"/>
    <w:rsid w:val="0059363B"/>
    <w:rsid w:val="005B48BA"/>
    <w:rsid w:val="005D3D5B"/>
    <w:rsid w:val="006965A8"/>
    <w:rsid w:val="006C0220"/>
    <w:rsid w:val="00763A63"/>
    <w:rsid w:val="00806EEF"/>
    <w:rsid w:val="00843A21"/>
    <w:rsid w:val="00855A0E"/>
    <w:rsid w:val="00865BB2"/>
    <w:rsid w:val="008D1FC1"/>
    <w:rsid w:val="008D6523"/>
    <w:rsid w:val="009200BB"/>
    <w:rsid w:val="009378C4"/>
    <w:rsid w:val="00976462"/>
    <w:rsid w:val="009A7D74"/>
    <w:rsid w:val="009C0833"/>
    <w:rsid w:val="009C7376"/>
    <w:rsid w:val="009D41F3"/>
    <w:rsid w:val="009E5F84"/>
    <w:rsid w:val="009F30B6"/>
    <w:rsid w:val="00A30EA4"/>
    <w:rsid w:val="00A45470"/>
    <w:rsid w:val="00AB0B79"/>
    <w:rsid w:val="00AB5A16"/>
    <w:rsid w:val="00AB5B2D"/>
    <w:rsid w:val="00AE52DE"/>
    <w:rsid w:val="00B31B5C"/>
    <w:rsid w:val="00B80634"/>
    <w:rsid w:val="00BA148E"/>
    <w:rsid w:val="00BC711B"/>
    <w:rsid w:val="00C22878"/>
    <w:rsid w:val="00C9117B"/>
    <w:rsid w:val="00C92D3F"/>
    <w:rsid w:val="00CB0A29"/>
    <w:rsid w:val="00D01F54"/>
    <w:rsid w:val="00D431FB"/>
    <w:rsid w:val="00D567B5"/>
    <w:rsid w:val="00D92FD4"/>
    <w:rsid w:val="00D933B3"/>
    <w:rsid w:val="00DA02DD"/>
    <w:rsid w:val="00DC6384"/>
    <w:rsid w:val="00DF0502"/>
    <w:rsid w:val="00E86630"/>
    <w:rsid w:val="00EB46C4"/>
    <w:rsid w:val="00EF437F"/>
    <w:rsid w:val="00F105B1"/>
    <w:rsid w:val="00F43464"/>
    <w:rsid w:val="00F76A13"/>
    <w:rsid w:val="00FA665C"/>
    <w:rsid w:val="00FF4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407358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2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C0220"/>
    <w:pPr>
      <w:tabs>
        <w:tab w:val="center" w:pos="4153"/>
        <w:tab w:val="right" w:pos="8306"/>
      </w:tabs>
    </w:pPr>
  </w:style>
  <w:style w:type="character" w:customStyle="1" w:styleId="HeaderChar">
    <w:name w:val="Header Char"/>
    <w:link w:val="Header"/>
    <w:rsid w:val="006C0220"/>
    <w:rPr>
      <w:rFonts w:ascii="Times New Roman" w:eastAsia="Times New Roman" w:hAnsi="Times New Roman" w:cs="Times New Roman"/>
      <w:sz w:val="24"/>
      <w:szCs w:val="24"/>
      <w:lang w:eastAsia="en-GB"/>
    </w:rPr>
  </w:style>
  <w:style w:type="paragraph" w:styleId="Footer">
    <w:name w:val="footer"/>
    <w:basedOn w:val="Normal"/>
    <w:link w:val="FooterChar"/>
    <w:rsid w:val="006C0220"/>
    <w:pPr>
      <w:tabs>
        <w:tab w:val="center" w:pos="4153"/>
        <w:tab w:val="right" w:pos="8306"/>
      </w:tabs>
    </w:pPr>
  </w:style>
  <w:style w:type="character" w:customStyle="1" w:styleId="FooterChar">
    <w:name w:val="Footer Char"/>
    <w:link w:val="Footer"/>
    <w:rsid w:val="006C0220"/>
    <w:rPr>
      <w:rFonts w:ascii="Times New Roman" w:eastAsia="Times New Roman" w:hAnsi="Times New Roman" w:cs="Times New Roman"/>
      <w:sz w:val="24"/>
      <w:szCs w:val="24"/>
      <w:lang w:eastAsia="en-GB"/>
    </w:rPr>
  </w:style>
  <w:style w:type="character" w:styleId="PageNumber">
    <w:name w:val="page number"/>
    <w:rsid w:val="006C0220"/>
  </w:style>
  <w:style w:type="paragraph" w:customStyle="1" w:styleId="p">
    <w:name w:val="p"/>
    <w:basedOn w:val="Normal"/>
    <w:rsid w:val="006C0220"/>
    <w:pPr>
      <w:numPr>
        <w:numId w:val="1"/>
      </w:numPr>
      <w:jc w:val="both"/>
    </w:pPr>
    <w:rPr>
      <w:rFonts w:ascii="Book Antiqua" w:hAnsi="Book Antiqua" w:cs="Arial"/>
    </w:rPr>
  </w:style>
  <w:style w:type="paragraph" w:customStyle="1" w:styleId="ContinCol">
    <w:name w:val="Contin Col"/>
    <w:basedOn w:val="Normal"/>
    <w:next w:val="Normal"/>
    <w:uiPriority w:val="99"/>
    <w:rsid w:val="006C0220"/>
    <w:pPr>
      <w:widowControl w:val="0"/>
      <w:autoSpaceDE w:val="0"/>
      <w:autoSpaceDN w:val="0"/>
      <w:adjustRightInd w:val="0"/>
      <w:spacing w:line="528" w:lineRule="atLeast"/>
      <w:ind w:left="576" w:right="15" w:hanging="576"/>
    </w:pPr>
    <w:rPr>
      <w:rFonts w:ascii="Courier New" w:hAnsi="Courier New" w:cs="Courier New"/>
      <w:lang w:val="en-US" w:eastAsia="en-US"/>
    </w:rPr>
  </w:style>
  <w:style w:type="paragraph" w:styleId="BalloonText">
    <w:name w:val="Balloon Text"/>
    <w:basedOn w:val="Normal"/>
    <w:link w:val="BalloonTextChar"/>
    <w:uiPriority w:val="99"/>
    <w:semiHidden/>
    <w:unhideWhenUsed/>
    <w:rsid w:val="00304A15"/>
    <w:rPr>
      <w:rFonts w:ascii="Segoe UI" w:hAnsi="Segoe UI" w:cs="Segoe UI"/>
      <w:sz w:val="18"/>
      <w:szCs w:val="18"/>
    </w:rPr>
  </w:style>
  <w:style w:type="character" w:customStyle="1" w:styleId="BalloonTextChar">
    <w:name w:val="Balloon Text Char"/>
    <w:link w:val="BalloonText"/>
    <w:uiPriority w:val="99"/>
    <w:semiHidden/>
    <w:rsid w:val="00304A1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1853</Words>
  <Characters>10566</Characters>
  <Application>Microsoft Office Word</Application>
  <DocSecurity>0</DocSecurity>
  <Lines>88</Lines>
  <Paragraphs>24</Paragraphs>
  <ScaleCrop>false</ScaleCrop>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2018-07-20T11:02:00Z</dcterms:created>
  <dcterms:modified xsi:type="dcterms:W3CDTF">2018-07-20T11:02:00Z</dcterms:modified>
</cp:coreProperties>
</file>