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4BA13" w14:textId="77777777" w:rsidR="00F97703" w:rsidRPr="00004BF0" w:rsidRDefault="00082D15" w:rsidP="00004BF0">
      <w:pPr>
        <w:jc w:val="center"/>
        <w:rPr>
          <w:rFonts w:ascii="Arial" w:hAnsi="Arial" w:cs="Arial"/>
          <w:color w:val="000000"/>
          <w:sz w:val="16"/>
          <w:szCs w:val="16"/>
        </w:rPr>
      </w:pPr>
      <w:r w:rsidRPr="00004BF0">
        <w:rPr>
          <w:rFonts w:ascii="Arial" w:hAnsi="Arial" w:cs="Arial"/>
          <w:noProof/>
          <w:sz w:val="16"/>
          <w:szCs w:val="16"/>
          <w:lang w:val="en-US" w:eastAsia="en-US"/>
        </w:rPr>
        <w:drawing>
          <wp:inline distT="0" distB="0" distL="0" distR="0" wp14:anchorId="3BB4BB07" wp14:editId="3BB4BB08">
            <wp:extent cx="1497965" cy="113474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7965" cy="1134745"/>
                    </a:xfrm>
                    <a:prstGeom prst="rect">
                      <a:avLst/>
                    </a:prstGeom>
                    <a:noFill/>
                    <a:ln>
                      <a:noFill/>
                    </a:ln>
                  </pic:spPr>
                </pic:pic>
              </a:graphicData>
            </a:graphic>
          </wp:inline>
        </w:drawing>
      </w:r>
    </w:p>
    <w:p w14:paraId="5D437922" w14:textId="77777777" w:rsidR="00004BF0" w:rsidRPr="00004BF0" w:rsidRDefault="00004BF0" w:rsidP="00004BF0">
      <w:pPr>
        <w:rPr>
          <w:rFonts w:ascii="Arial" w:hAnsi="Arial" w:cs="Arial"/>
          <w:color w:val="000000"/>
          <w:sz w:val="16"/>
          <w:szCs w:val="16"/>
        </w:rPr>
      </w:pPr>
    </w:p>
    <w:p w14:paraId="3BB4BA14" w14:textId="77777777" w:rsidR="00F97703" w:rsidRPr="008578D0" w:rsidRDefault="576901D2" w:rsidP="00004BF0">
      <w:pPr>
        <w:outlineLvl w:val="0"/>
        <w:rPr>
          <w:rFonts w:ascii="Arial" w:eastAsia="Arial" w:hAnsi="Arial" w:cs="Arial"/>
          <w:b/>
          <w:bCs/>
          <w:color w:val="000000" w:themeColor="text1"/>
        </w:rPr>
      </w:pPr>
      <w:r w:rsidRPr="576901D2">
        <w:rPr>
          <w:rFonts w:ascii="Arial" w:eastAsia="Arial" w:hAnsi="Arial" w:cs="Arial"/>
          <w:b/>
          <w:bCs/>
          <w:color w:val="000000" w:themeColor="text1"/>
        </w:rPr>
        <w:t xml:space="preserve">Upper Tribunal </w:t>
      </w:r>
    </w:p>
    <w:p w14:paraId="397B1B41" w14:textId="77777777" w:rsidR="00004BF0" w:rsidRDefault="00F97703" w:rsidP="00004BF0">
      <w:pPr>
        <w:tabs>
          <w:tab w:val="right" w:pos="9638"/>
        </w:tabs>
        <w:rPr>
          <w:rFonts w:ascii="Arial" w:eastAsia="Arial" w:hAnsi="Arial" w:cs="Arial"/>
          <w:color w:val="000000"/>
        </w:rPr>
      </w:pPr>
      <w:r w:rsidRPr="576901D2">
        <w:rPr>
          <w:rFonts w:ascii="Arial" w:eastAsia="Arial" w:hAnsi="Arial" w:cs="Arial"/>
          <w:b/>
          <w:bCs/>
          <w:color w:val="000000"/>
        </w:rPr>
        <w:t>(Immigration and Asylum Chamber)</w:t>
      </w:r>
      <w:r w:rsidR="00DB70AE" w:rsidRPr="008578D0">
        <w:rPr>
          <w:rFonts w:ascii="Arial" w:hAnsi="Arial" w:cs="Arial"/>
          <w:b/>
          <w:color w:val="000000"/>
        </w:rPr>
        <w:tab/>
      </w:r>
      <w:r w:rsidR="00B3524D" w:rsidRPr="576901D2">
        <w:rPr>
          <w:rFonts w:ascii="Arial" w:eastAsia="Arial" w:hAnsi="Arial" w:cs="Arial"/>
          <w:color w:val="000000"/>
        </w:rPr>
        <w:t>Appeal Number</w:t>
      </w:r>
      <w:r w:rsidR="00D53769" w:rsidRPr="576901D2">
        <w:rPr>
          <w:rFonts w:ascii="Arial" w:eastAsia="Arial" w:hAnsi="Arial" w:cs="Arial"/>
          <w:color w:val="000000"/>
        </w:rPr>
        <w:t>:</w:t>
      </w:r>
      <w:r w:rsidR="00B3524D" w:rsidRPr="576901D2">
        <w:rPr>
          <w:rFonts w:ascii="Arial" w:eastAsia="Arial" w:hAnsi="Arial" w:cs="Arial"/>
          <w:color w:val="000000"/>
        </w:rPr>
        <w:t xml:space="preserve"> </w:t>
      </w:r>
      <w:bookmarkStart w:id="0" w:name="_GoBack"/>
      <w:r w:rsidR="00F7793D">
        <w:rPr>
          <w:rFonts w:ascii="Arial" w:eastAsia="Arial" w:hAnsi="Arial" w:cs="Arial"/>
          <w:color w:val="000000"/>
        </w:rPr>
        <w:t>PA/06027/2018</w:t>
      </w:r>
      <w:bookmarkEnd w:id="0"/>
    </w:p>
    <w:p w14:paraId="3A2469C9" w14:textId="77777777" w:rsidR="00004BF0" w:rsidRDefault="00F7793D" w:rsidP="00004BF0">
      <w:pPr>
        <w:tabs>
          <w:tab w:val="right" w:pos="9638"/>
        </w:tabs>
        <w:jc w:val="right"/>
        <w:rPr>
          <w:rFonts w:ascii="Arial" w:eastAsia="Arial" w:hAnsi="Arial" w:cs="Arial"/>
          <w:color w:val="000000"/>
        </w:rPr>
      </w:pPr>
      <w:r>
        <w:rPr>
          <w:rFonts w:ascii="Arial" w:eastAsia="Arial" w:hAnsi="Arial" w:cs="Arial"/>
          <w:color w:val="000000"/>
        </w:rPr>
        <w:t>PA/06028/2018</w:t>
      </w:r>
    </w:p>
    <w:p w14:paraId="3B3E8EBA" w14:textId="77777777" w:rsidR="00004BF0" w:rsidRDefault="00F7793D" w:rsidP="00004BF0">
      <w:pPr>
        <w:tabs>
          <w:tab w:val="right" w:pos="9638"/>
        </w:tabs>
        <w:jc w:val="right"/>
        <w:rPr>
          <w:rFonts w:ascii="Arial" w:eastAsia="Arial" w:hAnsi="Arial" w:cs="Arial"/>
          <w:color w:val="000000"/>
        </w:rPr>
      </w:pPr>
      <w:r>
        <w:rPr>
          <w:rFonts w:ascii="Arial" w:eastAsia="Arial" w:hAnsi="Arial" w:cs="Arial"/>
          <w:color w:val="000000"/>
        </w:rPr>
        <w:t>PA/06029/2018</w:t>
      </w:r>
    </w:p>
    <w:p w14:paraId="3BB4BA16" w14:textId="3130494C" w:rsidR="00C345E1" w:rsidRPr="008578D0" w:rsidRDefault="00F7793D" w:rsidP="00004BF0">
      <w:pPr>
        <w:tabs>
          <w:tab w:val="right" w:pos="9638"/>
        </w:tabs>
        <w:jc w:val="right"/>
        <w:rPr>
          <w:rFonts w:ascii="Arial" w:hAnsi="Arial" w:cs="Arial"/>
          <w:color w:val="000000"/>
        </w:rPr>
      </w:pPr>
      <w:r>
        <w:rPr>
          <w:rFonts w:ascii="Arial" w:eastAsia="Arial" w:hAnsi="Arial" w:cs="Arial"/>
          <w:color w:val="000000"/>
        </w:rPr>
        <w:t>PA/06030/2018</w:t>
      </w:r>
    </w:p>
    <w:p w14:paraId="3BB4BA17" w14:textId="6D6FF26D" w:rsidR="00C345E1" w:rsidRDefault="00C345E1" w:rsidP="00004BF0">
      <w:pPr>
        <w:jc w:val="center"/>
        <w:rPr>
          <w:rFonts w:ascii="Arial" w:hAnsi="Arial" w:cs="Arial"/>
          <w:color w:val="000000"/>
        </w:rPr>
      </w:pPr>
    </w:p>
    <w:p w14:paraId="7AB4384E" w14:textId="77777777" w:rsidR="00004BF0" w:rsidRPr="008578D0" w:rsidRDefault="00004BF0" w:rsidP="00004BF0">
      <w:pPr>
        <w:jc w:val="center"/>
        <w:rPr>
          <w:rFonts w:ascii="Arial" w:hAnsi="Arial" w:cs="Arial"/>
          <w:color w:val="000000"/>
        </w:rPr>
      </w:pPr>
    </w:p>
    <w:p w14:paraId="3BB4BA18" w14:textId="77777777" w:rsidR="00C345E1" w:rsidRPr="008578D0" w:rsidRDefault="576901D2" w:rsidP="00004BF0">
      <w:pPr>
        <w:jc w:val="center"/>
        <w:outlineLvl w:val="0"/>
        <w:rPr>
          <w:rFonts w:ascii="Arial" w:eastAsia="Arial" w:hAnsi="Arial" w:cs="Arial"/>
          <w:b/>
          <w:bCs/>
          <w:color w:val="000000" w:themeColor="text1"/>
          <w:u w:val="single"/>
        </w:rPr>
      </w:pPr>
      <w:r w:rsidRPr="576901D2">
        <w:rPr>
          <w:rFonts w:ascii="Arial" w:eastAsia="Arial" w:hAnsi="Arial" w:cs="Arial"/>
          <w:b/>
          <w:bCs/>
          <w:color w:val="000000" w:themeColor="text1"/>
          <w:u w:val="single"/>
        </w:rPr>
        <w:t>THE IMMIGRATION ACTS</w:t>
      </w:r>
    </w:p>
    <w:p w14:paraId="3BB4BA19" w14:textId="77777777" w:rsidR="00C345E1" w:rsidRPr="008578D0" w:rsidRDefault="00C345E1" w:rsidP="00004BF0">
      <w:pPr>
        <w:jc w:val="center"/>
        <w:rPr>
          <w:rFonts w:ascii="Arial" w:hAnsi="Arial" w:cs="Arial"/>
          <w:b/>
          <w:u w:val="single"/>
        </w:rPr>
      </w:pPr>
    </w:p>
    <w:p w14:paraId="3BB4BA1A" w14:textId="77777777" w:rsidR="00C345E1" w:rsidRPr="008578D0" w:rsidRDefault="00C345E1" w:rsidP="00004BF0">
      <w:pPr>
        <w:jc w:val="center"/>
        <w:rPr>
          <w:rFonts w:ascii="Arial" w:hAnsi="Arial" w:cs="Arial"/>
          <w:b/>
          <w:u w:val="single"/>
        </w:rPr>
      </w:pPr>
    </w:p>
    <w:tbl>
      <w:tblPr>
        <w:tblW w:w="5000" w:type="pct"/>
        <w:tblLook w:val="01E0" w:firstRow="1" w:lastRow="1" w:firstColumn="1" w:lastColumn="1" w:noHBand="0" w:noVBand="0"/>
      </w:tblPr>
      <w:tblGrid>
        <w:gridCol w:w="4819"/>
        <w:gridCol w:w="4819"/>
      </w:tblGrid>
      <w:tr w:rsidR="00D22636" w:rsidRPr="00FD50E5" w14:paraId="3BB4BA1D" w14:textId="77777777" w:rsidTr="00004BF0">
        <w:tc>
          <w:tcPr>
            <w:tcW w:w="2500" w:type="pct"/>
            <w:shd w:val="clear" w:color="auto" w:fill="auto"/>
          </w:tcPr>
          <w:p w14:paraId="3BB4BA1B" w14:textId="0FB08BE9" w:rsidR="00D22636" w:rsidRPr="00FD50E5" w:rsidRDefault="576901D2" w:rsidP="00004BF0">
            <w:pPr>
              <w:jc w:val="both"/>
              <w:rPr>
                <w:rFonts w:ascii="Arial" w:eastAsia="Arial" w:hAnsi="Arial" w:cs="Arial"/>
                <w:b/>
                <w:bCs/>
              </w:rPr>
            </w:pPr>
            <w:r w:rsidRPr="576901D2">
              <w:rPr>
                <w:rFonts w:ascii="Arial" w:eastAsia="Arial" w:hAnsi="Arial" w:cs="Arial"/>
                <w:b/>
                <w:bCs/>
              </w:rPr>
              <w:t xml:space="preserve">Heard at </w:t>
            </w:r>
            <w:r w:rsidR="00F7793D">
              <w:rPr>
                <w:rFonts w:ascii="Arial" w:eastAsia="Arial" w:hAnsi="Arial" w:cs="Arial"/>
                <w:b/>
                <w:bCs/>
              </w:rPr>
              <w:t>Manchester Civil Justice Centre</w:t>
            </w:r>
            <w:r w:rsidRPr="576901D2">
              <w:rPr>
                <w:rFonts w:ascii="Arial" w:eastAsia="Arial" w:hAnsi="Arial" w:cs="Arial"/>
                <w:b/>
                <w:bCs/>
              </w:rPr>
              <w:t xml:space="preserve"> </w:t>
            </w:r>
          </w:p>
        </w:tc>
        <w:tc>
          <w:tcPr>
            <w:tcW w:w="2500" w:type="pct"/>
            <w:shd w:val="clear" w:color="auto" w:fill="auto"/>
          </w:tcPr>
          <w:p w14:paraId="3BB4BA1C" w14:textId="6E1975AA" w:rsidR="00D22636" w:rsidRPr="00FD50E5" w:rsidRDefault="00583686" w:rsidP="00004BF0">
            <w:pPr>
              <w:jc w:val="right"/>
              <w:rPr>
                <w:rFonts w:ascii="Arial" w:eastAsia="Arial" w:hAnsi="Arial" w:cs="Arial"/>
                <w:b/>
                <w:bCs/>
                <w:color w:val="000000" w:themeColor="text1"/>
              </w:rPr>
            </w:pPr>
            <w:r>
              <w:rPr>
                <w:rFonts w:ascii="Arial" w:eastAsia="Arial" w:hAnsi="Arial" w:cs="Arial"/>
                <w:b/>
                <w:bCs/>
                <w:color w:val="000000" w:themeColor="text1"/>
              </w:rPr>
              <w:t>Decision &amp; Reasons</w:t>
            </w:r>
            <w:r w:rsidR="576901D2" w:rsidRPr="576901D2">
              <w:rPr>
                <w:rFonts w:ascii="Arial" w:eastAsia="Arial" w:hAnsi="Arial" w:cs="Arial"/>
                <w:b/>
                <w:bCs/>
                <w:color w:val="000000" w:themeColor="text1"/>
              </w:rPr>
              <w:t xml:space="preserve"> Promulgated</w:t>
            </w:r>
          </w:p>
        </w:tc>
      </w:tr>
      <w:tr w:rsidR="00D22636" w:rsidRPr="00FD50E5" w14:paraId="3BB4BA20" w14:textId="77777777" w:rsidTr="00004BF0">
        <w:tc>
          <w:tcPr>
            <w:tcW w:w="2500" w:type="pct"/>
            <w:shd w:val="clear" w:color="auto" w:fill="auto"/>
          </w:tcPr>
          <w:p w14:paraId="3BB4BA1E" w14:textId="2C5F9EAF" w:rsidR="00D22636" w:rsidRPr="00FD50E5" w:rsidRDefault="576901D2" w:rsidP="00004BF0">
            <w:pPr>
              <w:jc w:val="both"/>
              <w:rPr>
                <w:rFonts w:ascii="Arial" w:eastAsia="Arial" w:hAnsi="Arial" w:cs="Arial"/>
                <w:b/>
                <w:bCs/>
              </w:rPr>
            </w:pPr>
            <w:r w:rsidRPr="576901D2">
              <w:rPr>
                <w:rFonts w:ascii="Arial" w:eastAsia="Arial" w:hAnsi="Arial" w:cs="Arial"/>
                <w:b/>
                <w:bCs/>
              </w:rPr>
              <w:t xml:space="preserve">On </w:t>
            </w:r>
            <w:r w:rsidR="00F7793D">
              <w:rPr>
                <w:rFonts w:ascii="Arial" w:eastAsia="Arial" w:hAnsi="Arial" w:cs="Arial"/>
                <w:b/>
                <w:bCs/>
              </w:rPr>
              <w:t>10</w:t>
            </w:r>
            <w:r w:rsidR="00F7793D" w:rsidRPr="00F7793D">
              <w:rPr>
                <w:rFonts w:ascii="Arial" w:eastAsia="Arial" w:hAnsi="Arial" w:cs="Arial"/>
                <w:b/>
                <w:bCs/>
                <w:vertAlign w:val="superscript"/>
              </w:rPr>
              <w:t>th</w:t>
            </w:r>
            <w:r w:rsidR="00F7793D">
              <w:rPr>
                <w:rFonts w:ascii="Arial" w:eastAsia="Arial" w:hAnsi="Arial" w:cs="Arial"/>
                <w:b/>
                <w:bCs/>
              </w:rPr>
              <w:t xml:space="preserve"> September 2018</w:t>
            </w:r>
          </w:p>
        </w:tc>
        <w:tc>
          <w:tcPr>
            <w:tcW w:w="2500" w:type="pct"/>
            <w:shd w:val="clear" w:color="auto" w:fill="auto"/>
          </w:tcPr>
          <w:p w14:paraId="3BB4BA1F" w14:textId="2A029659" w:rsidR="00D22636" w:rsidRPr="00FD50E5" w:rsidRDefault="00583686" w:rsidP="00004BF0">
            <w:pPr>
              <w:jc w:val="right"/>
              <w:rPr>
                <w:rFonts w:ascii="Arial" w:hAnsi="Arial" w:cs="Arial"/>
                <w:b/>
              </w:rPr>
            </w:pPr>
            <w:r>
              <w:rPr>
                <w:rFonts w:ascii="Arial" w:hAnsi="Arial" w:cs="Arial"/>
                <w:b/>
              </w:rPr>
              <w:t>On 13</w:t>
            </w:r>
            <w:r w:rsidRPr="00583686">
              <w:rPr>
                <w:rFonts w:ascii="Arial" w:hAnsi="Arial" w:cs="Arial"/>
                <w:b/>
                <w:vertAlign w:val="superscript"/>
              </w:rPr>
              <w:t>th</w:t>
            </w:r>
            <w:r>
              <w:rPr>
                <w:rFonts w:ascii="Arial" w:hAnsi="Arial" w:cs="Arial"/>
                <w:b/>
              </w:rPr>
              <w:t xml:space="preserve"> September 2018</w:t>
            </w:r>
          </w:p>
        </w:tc>
      </w:tr>
      <w:tr w:rsidR="00D22636" w:rsidRPr="00FD50E5" w14:paraId="3BB4BA23" w14:textId="77777777" w:rsidTr="00004BF0">
        <w:tc>
          <w:tcPr>
            <w:tcW w:w="2500" w:type="pct"/>
            <w:shd w:val="clear" w:color="auto" w:fill="auto"/>
          </w:tcPr>
          <w:p w14:paraId="3BB4BA21" w14:textId="77777777" w:rsidR="00D22636" w:rsidRPr="00FD50E5" w:rsidRDefault="00D22636" w:rsidP="00004BF0">
            <w:pPr>
              <w:jc w:val="both"/>
              <w:rPr>
                <w:rFonts w:ascii="Arial" w:hAnsi="Arial" w:cs="Arial"/>
                <w:b/>
              </w:rPr>
            </w:pPr>
          </w:p>
        </w:tc>
        <w:tc>
          <w:tcPr>
            <w:tcW w:w="2500" w:type="pct"/>
            <w:shd w:val="clear" w:color="auto" w:fill="auto"/>
          </w:tcPr>
          <w:p w14:paraId="3BB4BA22" w14:textId="56CCC310" w:rsidR="00D22636" w:rsidRPr="00FD50E5" w:rsidRDefault="00D22636" w:rsidP="00004BF0">
            <w:pPr>
              <w:jc w:val="right"/>
              <w:rPr>
                <w:rFonts w:ascii="Arial" w:eastAsia="Arial" w:hAnsi="Arial" w:cs="Arial"/>
                <w:b/>
                <w:bCs/>
              </w:rPr>
            </w:pPr>
          </w:p>
        </w:tc>
      </w:tr>
    </w:tbl>
    <w:p w14:paraId="3BB4BA25" w14:textId="77777777" w:rsidR="00A15234" w:rsidRPr="008578D0" w:rsidRDefault="00A15234" w:rsidP="00004BF0">
      <w:pPr>
        <w:rPr>
          <w:rFonts w:ascii="Arial" w:hAnsi="Arial" w:cs="Arial"/>
        </w:rPr>
      </w:pPr>
    </w:p>
    <w:p w14:paraId="1C8FE009" w14:textId="77777777" w:rsidR="00004BF0" w:rsidRDefault="00004BF0" w:rsidP="00004BF0">
      <w:pPr>
        <w:jc w:val="center"/>
        <w:outlineLvl w:val="0"/>
        <w:rPr>
          <w:rFonts w:ascii="Arial" w:eastAsia="Arial" w:hAnsi="Arial" w:cs="Arial"/>
          <w:b/>
          <w:bCs/>
        </w:rPr>
      </w:pPr>
    </w:p>
    <w:p w14:paraId="3BB4BA26" w14:textId="7921B0FD" w:rsidR="00A15234" w:rsidRPr="008578D0" w:rsidRDefault="576901D2" w:rsidP="00004BF0">
      <w:pPr>
        <w:jc w:val="center"/>
        <w:outlineLvl w:val="0"/>
        <w:rPr>
          <w:rFonts w:ascii="Arial" w:eastAsia="Arial" w:hAnsi="Arial" w:cs="Arial"/>
          <w:b/>
          <w:bCs/>
        </w:rPr>
      </w:pPr>
      <w:r w:rsidRPr="576901D2">
        <w:rPr>
          <w:rFonts w:ascii="Arial" w:eastAsia="Arial" w:hAnsi="Arial" w:cs="Arial"/>
          <w:b/>
          <w:bCs/>
        </w:rPr>
        <w:t>Before</w:t>
      </w:r>
    </w:p>
    <w:p w14:paraId="3BB4BA27" w14:textId="77777777" w:rsidR="00721E7A" w:rsidRPr="008578D0" w:rsidRDefault="00721E7A" w:rsidP="00004BF0">
      <w:pPr>
        <w:jc w:val="center"/>
        <w:rPr>
          <w:rFonts w:ascii="Arial" w:hAnsi="Arial" w:cs="Arial"/>
          <w:b/>
        </w:rPr>
      </w:pPr>
    </w:p>
    <w:p w14:paraId="3BB4BA28" w14:textId="77777777" w:rsidR="00D20757" w:rsidRPr="008578D0" w:rsidRDefault="576901D2" w:rsidP="00004BF0">
      <w:pPr>
        <w:jc w:val="center"/>
        <w:rPr>
          <w:rFonts w:ascii="Arial" w:eastAsia="Arial" w:hAnsi="Arial" w:cs="Arial"/>
          <w:b/>
          <w:bCs/>
        </w:rPr>
      </w:pPr>
      <w:r w:rsidRPr="576901D2">
        <w:rPr>
          <w:rFonts w:ascii="Arial" w:eastAsia="Arial" w:hAnsi="Arial" w:cs="Arial"/>
          <w:b/>
          <w:bCs/>
        </w:rPr>
        <w:t>UPPER TRIBUNAL JUDGE COKER</w:t>
      </w:r>
    </w:p>
    <w:p w14:paraId="3BB4BA29" w14:textId="77777777" w:rsidR="00D8561E" w:rsidRPr="008578D0" w:rsidRDefault="00D8561E" w:rsidP="00004BF0">
      <w:pPr>
        <w:jc w:val="center"/>
        <w:outlineLvl w:val="0"/>
        <w:rPr>
          <w:rFonts w:ascii="Arial" w:hAnsi="Arial" w:cs="Arial"/>
          <w:b/>
        </w:rPr>
      </w:pPr>
    </w:p>
    <w:p w14:paraId="2B8ED55F" w14:textId="77777777" w:rsidR="00004BF0" w:rsidRDefault="00004BF0" w:rsidP="00004BF0">
      <w:pPr>
        <w:jc w:val="center"/>
        <w:outlineLvl w:val="0"/>
        <w:rPr>
          <w:rFonts w:ascii="Arial" w:eastAsia="Arial" w:hAnsi="Arial" w:cs="Arial"/>
          <w:b/>
          <w:bCs/>
        </w:rPr>
      </w:pPr>
    </w:p>
    <w:p w14:paraId="3BB4BA2B" w14:textId="2E9BD6DE" w:rsidR="00A845DC" w:rsidRPr="00C907CB" w:rsidRDefault="576901D2" w:rsidP="00004BF0">
      <w:pPr>
        <w:jc w:val="center"/>
        <w:outlineLvl w:val="0"/>
        <w:rPr>
          <w:rFonts w:ascii="Arial" w:eastAsia="Arial" w:hAnsi="Arial" w:cs="Arial"/>
          <w:b/>
          <w:bCs/>
        </w:rPr>
      </w:pPr>
      <w:r w:rsidRPr="576901D2">
        <w:rPr>
          <w:rFonts w:ascii="Arial" w:eastAsia="Arial" w:hAnsi="Arial" w:cs="Arial"/>
          <w:b/>
          <w:bCs/>
        </w:rPr>
        <w:t>Between</w:t>
      </w:r>
    </w:p>
    <w:p w14:paraId="3BB4BA2C" w14:textId="77777777" w:rsidR="00172D1A" w:rsidRPr="008578D0" w:rsidRDefault="00172D1A" w:rsidP="00004BF0">
      <w:pPr>
        <w:jc w:val="center"/>
        <w:rPr>
          <w:rFonts w:ascii="Arial" w:hAnsi="Arial" w:cs="Arial"/>
          <w:b/>
        </w:rPr>
      </w:pPr>
    </w:p>
    <w:p w14:paraId="3BB4BA2F" w14:textId="70101056" w:rsidR="00172D1A" w:rsidRDefault="00F7793D" w:rsidP="00004BF0">
      <w:pPr>
        <w:jc w:val="center"/>
        <w:outlineLvl w:val="0"/>
        <w:rPr>
          <w:rFonts w:ascii="Arial" w:eastAsia="Arial" w:hAnsi="Arial" w:cs="Arial"/>
          <w:b/>
          <w:bCs/>
        </w:rPr>
      </w:pPr>
      <w:r>
        <w:rPr>
          <w:rFonts w:ascii="Arial" w:eastAsia="Arial" w:hAnsi="Arial" w:cs="Arial"/>
          <w:b/>
          <w:bCs/>
        </w:rPr>
        <w:t>WSK; CCS; WS; SS</w:t>
      </w:r>
    </w:p>
    <w:p w14:paraId="312788E8" w14:textId="54BBE766" w:rsidR="00A67250" w:rsidRPr="008578D0" w:rsidRDefault="00A67250" w:rsidP="00004BF0">
      <w:pPr>
        <w:jc w:val="center"/>
        <w:outlineLvl w:val="0"/>
        <w:rPr>
          <w:rFonts w:ascii="Arial" w:eastAsia="Arial" w:hAnsi="Arial" w:cs="Arial"/>
          <w:b/>
          <w:bCs/>
        </w:rPr>
      </w:pPr>
      <w:r>
        <w:rPr>
          <w:rFonts w:ascii="Arial" w:eastAsia="Arial" w:hAnsi="Arial" w:cs="Arial"/>
          <w:b/>
          <w:bCs/>
        </w:rPr>
        <w:t>(Anonymity order made)</w:t>
      </w:r>
    </w:p>
    <w:p w14:paraId="3BB4BA30" w14:textId="334FA7E8" w:rsidR="00704B61" w:rsidRPr="008578D0" w:rsidRDefault="576901D2" w:rsidP="00004BF0">
      <w:pPr>
        <w:jc w:val="right"/>
        <w:outlineLvl w:val="0"/>
        <w:rPr>
          <w:rFonts w:ascii="Arial" w:eastAsia="Arial" w:hAnsi="Arial" w:cs="Arial"/>
          <w:u w:val="single"/>
        </w:rPr>
      </w:pPr>
      <w:r w:rsidRPr="576901D2">
        <w:rPr>
          <w:rFonts w:ascii="Arial" w:eastAsia="Arial" w:hAnsi="Arial" w:cs="Arial"/>
          <w:u w:val="single"/>
        </w:rPr>
        <w:t>Appellant</w:t>
      </w:r>
      <w:r w:rsidR="00F7793D">
        <w:rPr>
          <w:rFonts w:ascii="Arial" w:eastAsia="Arial" w:hAnsi="Arial" w:cs="Arial"/>
          <w:u w:val="single"/>
        </w:rPr>
        <w:t>s</w:t>
      </w:r>
    </w:p>
    <w:p w14:paraId="3BB4BA31" w14:textId="77777777" w:rsidR="00704B61" w:rsidRPr="008578D0" w:rsidRDefault="576901D2" w:rsidP="00004BF0">
      <w:pPr>
        <w:jc w:val="center"/>
        <w:rPr>
          <w:rFonts w:ascii="Arial" w:eastAsia="Arial" w:hAnsi="Arial" w:cs="Arial"/>
          <w:b/>
          <w:bCs/>
        </w:rPr>
      </w:pPr>
      <w:r w:rsidRPr="576901D2">
        <w:rPr>
          <w:rFonts w:ascii="Arial" w:eastAsia="Arial" w:hAnsi="Arial" w:cs="Arial"/>
          <w:b/>
          <w:bCs/>
        </w:rPr>
        <w:t>And</w:t>
      </w:r>
    </w:p>
    <w:p w14:paraId="3BB4BA32" w14:textId="77777777" w:rsidR="00172D1A" w:rsidRPr="008578D0" w:rsidRDefault="00172D1A" w:rsidP="00004BF0">
      <w:pPr>
        <w:jc w:val="center"/>
        <w:rPr>
          <w:rFonts w:ascii="Arial" w:hAnsi="Arial" w:cs="Arial"/>
          <w:b/>
        </w:rPr>
      </w:pPr>
    </w:p>
    <w:p w14:paraId="3BB4BA33" w14:textId="77777777" w:rsidR="00172D1A" w:rsidRPr="008578D0" w:rsidRDefault="576901D2" w:rsidP="00004BF0">
      <w:pPr>
        <w:jc w:val="center"/>
        <w:rPr>
          <w:rFonts w:ascii="Arial" w:eastAsia="Arial" w:hAnsi="Arial" w:cs="Arial"/>
          <w:b/>
          <w:bCs/>
        </w:rPr>
      </w:pPr>
      <w:r w:rsidRPr="576901D2">
        <w:rPr>
          <w:rFonts w:ascii="Arial" w:eastAsia="Arial" w:hAnsi="Arial" w:cs="Arial"/>
          <w:b/>
          <w:bCs/>
        </w:rPr>
        <w:t>SECRETARY OF STATE FOR THE HOME DEPARTMENT</w:t>
      </w:r>
    </w:p>
    <w:p w14:paraId="3BB4BA34" w14:textId="77777777" w:rsidR="00DD5071" w:rsidRPr="008578D0" w:rsidRDefault="576901D2" w:rsidP="00004BF0">
      <w:pPr>
        <w:jc w:val="right"/>
        <w:outlineLvl w:val="0"/>
        <w:rPr>
          <w:rFonts w:ascii="Arial" w:eastAsia="Arial" w:hAnsi="Arial" w:cs="Arial"/>
          <w:u w:val="single"/>
        </w:rPr>
      </w:pPr>
      <w:r w:rsidRPr="576901D2">
        <w:rPr>
          <w:rFonts w:ascii="Arial" w:eastAsia="Arial" w:hAnsi="Arial" w:cs="Arial"/>
          <w:u w:val="single"/>
        </w:rPr>
        <w:t>Respondent</w:t>
      </w:r>
    </w:p>
    <w:p w14:paraId="3BB4BA35" w14:textId="54DA3CBE" w:rsidR="00DD5071" w:rsidRDefault="00DD5071" w:rsidP="00004BF0">
      <w:pPr>
        <w:rPr>
          <w:rFonts w:ascii="Arial" w:hAnsi="Arial" w:cs="Arial"/>
          <w:u w:val="single"/>
        </w:rPr>
      </w:pPr>
    </w:p>
    <w:p w14:paraId="53593A6F" w14:textId="77777777" w:rsidR="00004BF0" w:rsidRPr="008578D0" w:rsidRDefault="00004BF0" w:rsidP="00004BF0">
      <w:pPr>
        <w:rPr>
          <w:rFonts w:ascii="Arial" w:hAnsi="Arial" w:cs="Arial"/>
          <w:u w:val="single"/>
        </w:rPr>
      </w:pPr>
    </w:p>
    <w:p w14:paraId="3BB4BA36" w14:textId="77777777" w:rsidR="00DD5071" w:rsidRPr="008578D0" w:rsidRDefault="576901D2" w:rsidP="00004BF0">
      <w:pPr>
        <w:outlineLvl w:val="0"/>
        <w:rPr>
          <w:rFonts w:ascii="Arial" w:eastAsia="Arial" w:hAnsi="Arial" w:cs="Arial"/>
        </w:rPr>
      </w:pPr>
      <w:r w:rsidRPr="576901D2">
        <w:rPr>
          <w:rFonts w:ascii="Arial" w:eastAsia="Arial" w:hAnsi="Arial" w:cs="Arial"/>
          <w:b/>
          <w:bCs/>
          <w:u w:val="single"/>
        </w:rPr>
        <w:t>Representation</w:t>
      </w:r>
      <w:r w:rsidRPr="576901D2">
        <w:rPr>
          <w:rFonts w:ascii="Arial" w:eastAsia="Arial" w:hAnsi="Arial" w:cs="Arial"/>
          <w:b/>
          <w:bCs/>
        </w:rPr>
        <w:t>:</w:t>
      </w:r>
    </w:p>
    <w:p w14:paraId="3BB4BA38" w14:textId="4C40F77E" w:rsidR="00DE7DB7" w:rsidRPr="008578D0" w:rsidRDefault="00DE7DB7" w:rsidP="00004BF0">
      <w:pPr>
        <w:tabs>
          <w:tab w:val="left" w:pos="2520"/>
        </w:tabs>
        <w:outlineLvl w:val="0"/>
        <w:rPr>
          <w:rFonts w:ascii="Arial" w:eastAsia="Arial" w:hAnsi="Arial" w:cs="Arial"/>
        </w:rPr>
      </w:pPr>
      <w:r w:rsidRPr="576901D2">
        <w:rPr>
          <w:rFonts w:ascii="Arial" w:eastAsia="Arial" w:hAnsi="Arial" w:cs="Arial"/>
        </w:rPr>
        <w:t>For the Appellant:</w:t>
      </w:r>
      <w:r w:rsidRPr="008578D0">
        <w:rPr>
          <w:rFonts w:ascii="Arial" w:hAnsi="Arial" w:cs="Arial"/>
        </w:rPr>
        <w:tab/>
      </w:r>
      <w:r w:rsidR="00F7793D">
        <w:rPr>
          <w:rFonts w:ascii="Arial" w:hAnsi="Arial" w:cs="Arial"/>
        </w:rPr>
        <w:t>Dr Chimpango of Crown and Law Solicitors</w:t>
      </w:r>
    </w:p>
    <w:p w14:paraId="3BB4BA39" w14:textId="7F8C36D1" w:rsidR="00DE7DB7" w:rsidRPr="008578D0" w:rsidRDefault="00DE7DB7" w:rsidP="00004BF0">
      <w:pPr>
        <w:tabs>
          <w:tab w:val="left" w:pos="2520"/>
        </w:tabs>
        <w:rPr>
          <w:rFonts w:ascii="Arial" w:eastAsia="Arial" w:hAnsi="Arial" w:cs="Arial"/>
        </w:rPr>
      </w:pPr>
      <w:r w:rsidRPr="576901D2">
        <w:rPr>
          <w:rFonts w:ascii="Arial" w:eastAsia="Arial" w:hAnsi="Arial" w:cs="Arial"/>
        </w:rPr>
        <w:t>For the Respondent:</w:t>
      </w:r>
      <w:r w:rsidRPr="008578D0">
        <w:rPr>
          <w:rFonts w:ascii="Arial" w:hAnsi="Arial" w:cs="Arial"/>
        </w:rPr>
        <w:tab/>
      </w:r>
      <w:r w:rsidR="004F77C5" w:rsidRPr="576901D2">
        <w:rPr>
          <w:rFonts w:ascii="Arial" w:eastAsia="Arial" w:hAnsi="Arial" w:cs="Arial"/>
        </w:rPr>
        <w:t>M</w:t>
      </w:r>
      <w:r w:rsidR="00F7793D">
        <w:rPr>
          <w:rFonts w:ascii="Arial" w:eastAsia="Arial" w:hAnsi="Arial" w:cs="Arial"/>
        </w:rPr>
        <w:t>s Peterson</w:t>
      </w:r>
      <w:r w:rsidR="00852DCE" w:rsidRPr="576901D2">
        <w:rPr>
          <w:rFonts w:ascii="Arial" w:eastAsia="Arial" w:hAnsi="Arial" w:cs="Arial"/>
        </w:rPr>
        <w:t xml:space="preserve">, Senior Home Office Presenting Officer </w:t>
      </w:r>
    </w:p>
    <w:p w14:paraId="3BB4BA3B" w14:textId="337486D0" w:rsidR="00D463AA" w:rsidRDefault="00D463AA" w:rsidP="00004BF0">
      <w:pPr>
        <w:tabs>
          <w:tab w:val="left" w:pos="2520"/>
        </w:tabs>
        <w:rPr>
          <w:rFonts w:ascii="Arial" w:hAnsi="Arial" w:cs="Arial"/>
        </w:rPr>
      </w:pPr>
    </w:p>
    <w:p w14:paraId="18649DAD" w14:textId="77777777" w:rsidR="00004BF0" w:rsidRPr="008578D0" w:rsidRDefault="00004BF0" w:rsidP="00004BF0">
      <w:pPr>
        <w:tabs>
          <w:tab w:val="left" w:pos="2520"/>
        </w:tabs>
        <w:rPr>
          <w:rFonts w:ascii="Arial" w:hAnsi="Arial" w:cs="Arial"/>
        </w:rPr>
      </w:pPr>
    </w:p>
    <w:p w14:paraId="3BB4BA3C" w14:textId="77777777" w:rsidR="00DE7DB7" w:rsidRDefault="576901D2" w:rsidP="00004BF0">
      <w:pPr>
        <w:tabs>
          <w:tab w:val="left" w:pos="2520"/>
        </w:tabs>
        <w:jc w:val="center"/>
        <w:outlineLvl w:val="0"/>
        <w:rPr>
          <w:rFonts w:ascii="Arial" w:eastAsia="Arial" w:hAnsi="Arial" w:cs="Arial"/>
          <w:b/>
          <w:bCs/>
          <w:u w:val="single"/>
        </w:rPr>
      </w:pPr>
      <w:r w:rsidRPr="576901D2">
        <w:rPr>
          <w:rFonts w:ascii="Arial" w:eastAsia="Arial" w:hAnsi="Arial" w:cs="Arial"/>
          <w:b/>
          <w:bCs/>
          <w:u w:val="single"/>
        </w:rPr>
        <w:t>DETERMINATION AND REASONS</w:t>
      </w:r>
    </w:p>
    <w:p w14:paraId="3BB4BA3E" w14:textId="69522B51" w:rsidR="00AB6C32" w:rsidRDefault="576901D2" w:rsidP="00004BF0">
      <w:pPr>
        <w:spacing w:before="240"/>
        <w:jc w:val="both"/>
        <w:rPr>
          <w:rFonts w:ascii="Arial" w:eastAsia="Arial" w:hAnsi="Arial" w:cs="Arial"/>
          <w:b/>
          <w:bCs/>
        </w:rPr>
      </w:pPr>
      <w:r w:rsidRPr="576901D2">
        <w:rPr>
          <w:rFonts w:ascii="Arial" w:eastAsia="Arial" w:hAnsi="Arial" w:cs="Arial"/>
          <w:b/>
          <w:bCs/>
        </w:rPr>
        <w:t>Pursuant to Rule 14 of the Tribunal Procedure (Upper Tribunal) Rules 2008 (SI 2008/269) I make an anonymity order. Unless the Upper Tribunal or a Court directs otherwise, no report of these proceedings or any form of publication thereof shall directly or indirectly identify the appellant</w:t>
      </w:r>
      <w:r w:rsidR="00F7793D">
        <w:rPr>
          <w:rFonts w:ascii="Arial" w:eastAsia="Arial" w:hAnsi="Arial" w:cs="Arial"/>
          <w:b/>
          <w:bCs/>
        </w:rPr>
        <w:t>s</w:t>
      </w:r>
      <w:r w:rsidRPr="576901D2">
        <w:rPr>
          <w:rFonts w:ascii="Arial" w:eastAsia="Arial" w:hAnsi="Arial" w:cs="Arial"/>
          <w:b/>
          <w:bCs/>
        </w:rPr>
        <w:t xml:space="preserve"> in this determination identified as </w:t>
      </w:r>
      <w:r w:rsidR="00F7793D">
        <w:rPr>
          <w:rFonts w:ascii="Arial" w:eastAsia="Arial" w:hAnsi="Arial" w:cs="Arial"/>
          <w:b/>
          <w:bCs/>
        </w:rPr>
        <w:t xml:space="preserve">WSK, </w:t>
      </w:r>
      <w:r w:rsidR="00F7793D">
        <w:rPr>
          <w:rFonts w:ascii="Arial" w:eastAsia="Arial" w:hAnsi="Arial" w:cs="Arial"/>
          <w:b/>
          <w:bCs/>
        </w:rPr>
        <w:lastRenderedPageBreak/>
        <w:t>CCS, WS or SS</w:t>
      </w:r>
      <w:r w:rsidRPr="576901D2">
        <w:rPr>
          <w:rFonts w:ascii="Arial" w:eastAsia="Arial" w:hAnsi="Arial" w:cs="Arial"/>
          <w:b/>
          <w:bCs/>
        </w:rPr>
        <w:t>. This direction applies to, amongst others, all parties. Any failure to comply with this direction could give rise to contempt of court proceedings</w:t>
      </w:r>
    </w:p>
    <w:p w14:paraId="1054A26A" w14:textId="77777777" w:rsidR="00004BF0" w:rsidRPr="00004BF0" w:rsidRDefault="00004BF0" w:rsidP="00004BF0">
      <w:pPr>
        <w:spacing w:before="240"/>
        <w:jc w:val="both"/>
        <w:rPr>
          <w:rFonts w:ascii="Arial" w:eastAsia="Arial" w:hAnsi="Arial" w:cs="Arial"/>
          <w:bCs/>
          <w:color w:val="000080"/>
        </w:rPr>
      </w:pPr>
    </w:p>
    <w:p w14:paraId="71ED1B20" w14:textId="0716AD0C" w:rsidR="00A67250" w:rsidRDefault="006750D2" w:rsidP="00004BF0">
      <w:pPr>
        <w:pStyle w:val="ListParagraph"/>
        <w:numPr>
          <w:ilvl w:val="0"/>
          <w:numId w:val="28"/>
        </w:numPr>
        <w:tabs>
          <w:tab w:val="clear" w:pos="1560"/>
        </w:tabs>
        <w:spacing w:before="240"/>
        <w:ind w:left="1134" w:hanging="567"/>
        <w:jc w:val="both"/>
        <w:rPr>
          <w:rFonts w:ascii="Arial" w:eastAsia="Arial" w:hAnsi="Arial" w:cs="Arial"/>
        </w:rPr>
      </w:pPr>
      <w:r>
        <w:rPr>
          <w:rFonts w:ascii="Arial" w:eastAsia="Arial" w:hAnsi="Arial" w:cs="Arial"/>
        </w:rPr>
        <w:t xml:space="preserve">WSK is the main appellant in this appeal. </w:t>
      </w:r>
      <w:r w:rsidR="00EF547C">
        <w:rPr>
          <w:rFonts w:ascii="Arial" w:eastAsia="Arial" w:hAnsi="Arial" w:cs="Arial"/>
        </w:rPr>
        <w:t xml:space="preserve">CCS is his wife and </w:t>
      </w:r>
      <w:r>
        <w:rPr>
          <w:rFonts w:ascii="Arial" w:eastAsia="Arial" w:hAnsi="Arial" w:cs="Arial"/>
        </w:rPr>
        <w:t xml:space="preserve">WS </w:t>
      </w:r>
      <w:r w:rsidR="00A67250">
        <w:rPr>
          <w:rFonts w:ascii="Arial" w:eastAsia="Arial" w:hAnsi="Arial" w:cs="Arial"/>
        </w:rPr>
        <w:t>and SS are his and CCS’ children; they are now both adults.</w:t>
      </w:r>
    </w:p>
    <w:p w14:paraId="7A0811F1" w14:textId="3A0CF2B8" w:rsidR="00A67250" w:rsidRDefault="00A67250" w:rsidP="00004BF0">
      <w:pPr>
        <w:pStyle w:val="ListParagraph"/>
        <w:numPr>
          <w:ilvl w:val="0"/>
          <w:numId w:val="28"/>
        </w:numPr>
        <w:tabs>
          <w:tab w:val="clear" w:pos="1560"/>
        </w:tabs>
        <w:spacing w:before="240"/>
        <w:ind w:left="1134" w:hanging="567"/>
        <w:jc w:val="both"/>
        <w:rPr>
          <w:rFonts w:ascii="Arial" w:eastAsia="Arial" w:hAnsi="Arial" w:cs="Arial"/>
        </w:rPr>
      </w:pPr>
      <w:r>
        <w:rPr>
          <w:rFonts w:ascii="Arial" w:eastAsia="Arial" w:hAnsi="Arial" w:cs="Arial"/>
        </w:rPr>
        <w:t>In a decision promulgated on 22</w:t>
      </w:r>
      <w:r w:rsidRPr="00A67250">
        <w:rPr>
          <w:rFonts w:ascii="Arial" w:eastAsia="Arial" w:hAnsi="Arial" w:cs="Arial"/>
          <w:vertAlign w:val="superscript"/>
        </w:rPr>
        <w:t>nd</w:t>
      </w:r>
      <w:r>
        <w:rPr>
          <w:rFonts w:ascii="Arial" w:eastAsia="Arial" w:hAnsi="Arial" w:cs="Arial"/>
        </w:rPr>
        <w:t xml:space="preserve"> June 2018, First-tier Tribunal </w:t>
      </w:r>
      <w:r w:rsidR="004F166C">
        <w:rPr>
          <w:rFonts w:ascii="Arial" w:eastAsia="Arial" w:hAnsi="Arial" w:cs="Arial"/>
        </w:rPr>
        <w:t>Judge</w:t>
      </w:r>
      <w:r>
        <w:rPr>
          <w:rFonts w:ascii="Arial" w:eastAsia="Arial" w:hAnsi="Arial" w:cs="Arial"/>
        </w:rPr>
        <w:t xml:space="preserve"> M </w:t>
      </w:r>
      <w:proofErr w:type="gramStart"/>
      <w:r>
        <w:rPr>
          <w:rFonts w:ascii="Arial" w:eastAsia="Arial" w:hAnsi="Arial" w:cs="Arial"/>
        </w:rPr>
        <w:t>A</w:t>
      </w:r>
      <w:proofErr w:type="gramEnd"/>
      <w:r>
        <w:rPr>
          <w:rFonts w:ascii="Arial" w:eastAsia="Arial" w:hAnsi="Arial" w:cs="Arial"/>
        </w:rPr>
        <w:t xml:space="preserve"> Hall dismissed their appeals against the decision of the respondent to refuse their international protection and human rights claim.</w:t>
      </w:r>
    </w:p>
    <w:p w14:paraId="1835278C" w14:textId="4A40C09D" w:rsidR="00A878ED" w:rsidRDefault="00A67250" w:rsidP="00004BF0">
      <w:pPr>
        <w:pStyle w:val="ListParagraph"/>
        <w:numPr>
          <w:ilvl w:val="0"/>
          <w:numId w:val="28"/>
        </w:numPr>
        <w:tabs>
          <w:tab w:val="clear" w:pos="1560"/>
        </w:tabs>
        <w:spacing w:before="240"/>
        <w:ind w:left="1134" w:hanging="567"/>
        <w:jc w:val="both"/>
        <w:rPr>
          <w:rFonts w:ascii="Arial" w:eastAsia="Arial" w:hAnsi="Arial" w:cs="Arial"/>
        </w:rPr>
      </w:pPr>
      <w:r>
        <w:rPr>
          <w:rFonts w:ascii="Arial" w:eastAsia="Arial" w:hAnsi="Arial" w:cs="Arial"/>
        </w:rPr>
        <w:t>First-tier Tribunal judge Scott- Baker granted permission to appeal on 26</w:t>
      </w:r>
      <w:r w:rsidRPr="00A67250">
        <w:rPr>
          <w:rFonts w:ascii="Arial" w:eastAsia="Arial" w:hAnsi="Arial" w:cs="Arial"/>
          <w:vertAlign w:val="superscript"/>
        </w:rPr>
        <w:t>th</w:t>
      </w:r>
      <w:r>
        <w:rPr>
          <w:rFonts w:ascii="Arial" w:eastAsia="Arial" w:hAnsi="Arial" w:cs="Arial"/>
        </w:rPr>
        <w:t xml:space="preserve"> July 2018</w:t>
      </w:r>
      <w:r w:rsidR="00A878ED">
        <w:rPr>
          <w:rFonts w:ascii="Arial" w:eastAsia="Arial" w:hAnsi="Arial" w:cs="Arial"/>
        </w:rPr>
        <w:t xml:space="preserve"> on the grounds that it was arguable the judge had failed to give adequate reasons for rejecting the main appellant’s claim that he had been a victim of a politically motivated attack, had made insufficient/inadequate findings on the background material evidence and that there had been insufficient consideration of the private life of the two </w:t>
      </w:r>
      <w:r w:rsidR="00C04F0D">
        <w:rPr>
          <w:rFonts w:ascii="Arial" w:eastAsia="Arial" w:hAnsi="Arial" w:cs="Arial"/>
        </w:rPr>
        <w:t>‘</w:t>
      </w:r>
      <w:r w:rsidR="00A878ED">
        <w:rPr>
          <w:rFonts w:ascii="Arial" w:eastAsia="Arial" w:hAnsi="Arial" w:cs="Arial"/>
        </w:rPr>
        <w:t>children</w:t>
      </w:r>
      <w:r w:rsidR="00C04F0D">
        <w:rPr>
          <w:rFonts w:ascii="Arial" w:eastAsia="Arial" w:hAnsi="Arial" w:cs="Arial"/>
        </w:rPr>
        <w:t>’</w:t>
      </w:r>
      <w:r w:rsidR="00A878ED">
        <w:rPr>
          <w:rFonts w:ascii="Arial" w:eastAsia="Arial" w:hAnsi="Arial" w:cs="Arial"/>
        </w:rPr>
        <w:t xml:space="preserve"> in assessing the proportionality of return to Malawi.</w:t>
      </w:r>
    </w:p>
    <w:p w14:paraId="1FFF9810" w14:textId="471BE203" w:rsidR="00A878ED" w:rsidRDefault="00A878ED" w:rsidP="00004BF0">
      <w:pPr>
        <w:pStyle w:val="ListParagraph"/>
        <w:numPr>
          <w:ilvl w:val="0"/>
          <w:numId w:val="28"/>
        </w:numPr>
        <w:tabs>
          <w:tab w:val="clear" w:pos="1560"/>
        </w:tabs>
        <w:spacing w:before="240"/>
        <w:ind w:left="1134" w:hanging="567"/>
        <w:jc w:val="both"/>
        <w:rPr>
          <w:rFonts w:ascii="Arial" w:eastAsia="Arial" w:hAnsi="Arial" w:cs="Arial"/>
        </w:rPr>
      </w:pPr>
      <w:r>
        <w:rPr>
          <w:rFonts w:ascii="Arial" w:eastAsia="Arial" w:hAnsi="Arial" w:cs="Arial"/>
        </w:rPr>
        <w:t>The grounds themselves raise three protection issues:</w:t>
      </w:r>
    </w:p>
    <w:p w14:paraId="6AD5DF25" w14:textId="71797C7C" w:rsidR="00A878ED" w:rsidRDefault="00A878ED" w:rsidP="00004BF0">
      <w:pPr>
        <w:pStyle w:val="ListParagraph"/>
        <w:numPr>
          <w:ilvl w:val="0"/>
          <w:numId w:val="29"/>
        </w:numPr>
        <w:spacing w:before="120"/>
        <w:ind w:left="1701" w:hanging="567"/>
        <w:jc w:val="both"/>
        <w:rPr>
          <w:rFonts w:ascii="Arial" w:eastAsia="Arial" w:hAnsi="Arial" w:cs="Arial"/>
        </w:rPr>
      </w:pPr>
      <w:r>
        <w:rPr>
          <w:rFonts w:ascii="Arial" w:eastAsia="Arial" w:hAnsi="Arial" w:cs="Arial"/>
        </w:rPr>
        <w:t>The First-tier Tribunal judge failed to recognise that being a member of Parliament (as accepted by the respondent and the judge) and campaigning against the Third Term Bill (as accepted by the respondent and the judge) was a sufficient risk factor.</w:t>
      </w:r>
    </w:p>
    <w:p w14:paraId="3EB7DEF3" w14:textId="7CDB2CF6" w:rsidR="00A878ED" w:rsidRDefault="00BB6940" w:rsidP="00004BF0">
      <w:pPr>
        <w:pStyle w:val="ListParagraph"/>
        <w:numPr>
          <w:ilvl w:val="0"/>
          <w:numId w:val="29"/>
        </w:numPr>
        <w:spacing w:before="120"/>
        <w:ind w:left="1701" w:hanging="567"/>
        <w:jc w:val="both"/>
        <w:rPr>
          <w:rFonts w:ascii="Arial" w:eastAsia="Arial" w:hAnsi="Arial" w:cs="Arial"/>
        </w:rPr>
      </w:pPr>
      <w:r>
        <w:rPr>
          <w:rFonts w:ascii="Arial" w:eastAsia="Arial" w:hAnsi="Arial" w:cs="Arial"/>
        </w:rPr>
        <w:t>The First-tier Tribunal judge p</w:t>
      </w:r>
      <w:r w:rsidR="00A878ED">
        <w:rPr>
          <w:rFonts w:ascii="Arial" w:eastAsia="Arial" w:hAnsi="Arial" w:cs="Arial"/>
        </w:rPr>
        <w:t xml:space="preserve">laced undue weight upon the ability of the first appellant to travel back to Malawi, failing to acknowledge and take account of the fact that the appellant was in fear of individual politicians and not the Government and that living discretely he </w:t>
      </w:r>
      <w:r w:rsidR="002635B3">
        <w:rPr>
          <w:rFonts w:ascii="Arial" w:eastAsia="Arial" w:hAnsi="Arial" w:cs="Arial"/>
        </w:rPr>
        <w:t xml:space="preserve">had been </w:t>
      </w:r>
      <w:r w:rsidR="00A878ED">
        <w:rPr>
          <w:rFonts w:ascii="Arial" w:eastAsia="Arial" w:hAnsi="Arial" w:cs="Arial"/>
        </w:rPr>
        <w:t>able to avoid problems.</w:t>
      </w:r>
    </w:p>
    <w:p w14:paraId="01EA8633" w14:textId="7F58E268" w:rsidR="00A878ED" w:rsidRDefault="00BB6940" w:rsidP="00004BF0">
      <w:pPr>
        <w:pStyle w:val="ListParagraph"/>
        <w:numPr>
          <w:ilvl w:val="0"/>
          <w:numId w:val="29"/>
        </w:numPr>
        <w:spacing w:before="120"/>
        <w:ind w:left="1701" w:hanging="567"/>
        <w:jc w:val="both"/>
        <w:rPr>
          <w:rFonts w:ascii="Arial" w:eastAsia="Arial" w:hAnsi="Arial" w:cs="Arial"/>
        </w:rPr>
      </w:pPr>
      <w:r>
        <w:rPr>
          <w:rFonts w:ascii="Arial" w:eastAsia="Arial" w:hAnsi="Arial" w:cs="Arial"/>
        </w:rPr>
        <w:t>The First-tier Tribunal judge p</w:t>
      </w:r>
      <w:r w:rsidR="00A878ED">
        <w:rPr>
          <w:rFonts w:ascii="Arial" w:eastAsia="Arial" w:hAnsi="Arial" w:cs="Arial"/>
        </w:rPr>
        <w:t>laced undue weight on the failure of the appellants to claim asylum on arrival or earlier than they did</w:t>
      </w:r>
      <w:r w:rsidR="00A67250">
        <w:rPr>
          <w:rFonts w:ascii="Arial" w:eastAsia="Arial" w:hAnsi="Arial" w:cs="Arial"/>
        </w:rPr>
        <w:t>.</w:t>
      </w:r>
    </w:p>
    <w:p w14:paraId="040AEA8D" w14:textId="77777777" w:rsidR="00A878ED" w:rsidRDefault="00A878ED" w:rsidP="00004BF0">
      <w:pPr>
        <w:pStyle w:val="ListParagraph"/>
        <w:numPr>
          <w:ilvl w:val="0"/>
          <w:numId w:val="28"/>
        </w:numPr>
        <w:tabs>
          <w:tab w:val="clear" w:pos="1560"/>
        </w:tabs>
        <w:spacing w:before="240"/>
        <w:ind w:left="1134" w:hanging="567"/>
        <w:jc w:val="both"/>
        <w:rPr>
          <w:rFonts w:ascii="Arial" w:eastAsia="Arial" w:hAnsi="Arial" w:cs="Arial"/>
        </w:rPr>
      </w:pPr>
      <w:r>
        <w:rPr>
          <w:rFonts w:ascii="Arial" w:eastAsia="Arial" w:hAnsi="Arial" w:cs="Arial"/>
        </w:rPr>
        <w:t>The grounds raise two human rights issues:</w:t>
      </w:r>
    </w:p>
    <w:p w14:paraId="02C5BAE1" w14:textId="04566B50" w:rsidR="00BB6940" w:rsidRDefault="00A878ED" w:rsidP="00004BF0">
      <w:pPr>
        <w:pStyle w:val="ListParagraph"/>
        <w:numPr>
          <w:ilvl w:val="0"/>
          <w:numId w:val="30"/>
        </w:numPr>
        <w:spacing w:before="120"/>
        <w:ind w:left="1701" w:hanging="567"/>
        <w:jc w:val="both"/>
        <w:rPr>
          <w:rFonts w:ascii="Arial" w:eastAsia="Arial" w:hAnsi="Arial" w:cs="Arial"/>
        </w:rPr>
      </w:pPr>
      <w:r>
        <w:rPr>
          <w:rFonts w:ascii="Arial" w:eastAsia="Arial" w:hAnsi="Arial" w:cs="Arial"/>
        </w:rPr>
        <w:t>That the First-tier Tribunal judge failed to give adequate weight to the first and second appellants private life which in</w:t>
      </w:r>
      <w:r w:rsidR="00BB6940">
        <w:rPr>
          <w:rFonts w:ascii="Arial" w:eastAsia="Arial" w:hAnsi="Arial" w:cs="Arial"/>
        </w:rPr>
        <w:t>cluded very strong religious, co</w:t>
      </w:r>
      <w:r>
        <w:rPr>
          <w:rFonts w:ascii="Arial" w:eastAsia="Arial" w:hAnsi="Arial" w:cs="Arial"/>
        </w:rPr>
        <w:t xml:space="preserve">mmunity and social ties and </w:t>
      </w:r>
      <w:r w:rsidR="00BB6940">
        <w:rPr>
          <w:rFonts w:ascii="Arial" w:eastAsia="Arial" w:hAnsi="Arial" w:cs="Arial"/>
        </w:rPr>
        <w:t>his unique academic research.</w:t>
      </w:r>
    </w:p>
    <w:p w14:paraId="299EA47B" w14:textId="77777777" w:rsidR="00BB6940" w:rsidRDefault="00BB6940" w:rsidP="00004BF0">
      <w:pPr>
        <w:pStyle w:val="ListParagraph"/>
        <w:numPr>
          <w:ilvl w:val="0"/>
          <w:numId w:val="30"/>
        </w:numPr>
        <w:spacing w:before="120"/>
        <w:ind w:left="1701" w:hanging="567"/>
        <w:jc w:val="both"/>
        <w:rPr>
          <w:rFonts w:ascii="Arial" w:eastAsia="Arial" w:hAnsi="Arial" w:cs="Arial"/>
        </w:rPr>
      </w:pPr>
      <w:r>
        <w:rPr>
          <w:rFonts w:ascii="Arial" w:eastAsia="Arial" w:hAnsi="Arial" w:cs="Arial"/>
        </w:rPr>
        <w:t>That the First-tier Tribunal judge failed to sufficiently consider the private life of the third and fourth appellants.</w:t>
      </w:r>
    </w:p>
    <w:p w14:paraId="3E0870E1" w14:textId="39637A31" w:rsidR="00BB6940" w:rsidRDefault="00BB6940" w:rsidP="00004BF0">
      <w:pPr>
        <w:pStyle w:val="ListParagraph"/>
        <w:numPr>
          <w:ilvl w:val="0"/>
          <w:numId w:val="28"/>
        </w:numPr>
        <w:tabs>
          <w:tab w:val="clear" w:pos="1560"/>
        </w:tabs>
        <w:spacing w:before="240"/>
        <w:ind w:left="1134" w:hanging="567"/>
        <w:jc w:val="both"/>
        <w:rPr>
          <w:rFonts w:ascii="Arial" w:eastAsia="Arial" w:hAnsi="Arial" w:cs="Arial"/>
        </w:rPr>
      </w:pPr>
      <w:r>
        <w:rPr>
          <w:rFonts w:ascii="Arial" w:eastAsia="Arial" w:hAnsi="Arial" w:cs="Arial"/>
        </w:rPr>
        <w:t>Although characterised</w:t>
      </w:r>
      <w:r w:rsidR="002635B3">
        <w:rPr>
          <w:rFonts w:ascii="Arial" w:eastAsia="Arial" w:hAnsi="Arial" w:cs="Arial"/>
        </w:rPr>
        <w:t xml:space="preserve"> </w:t>
      </w:r>
      <w:r>
        <w:rPr>
          <w:rFonts w:ascii="Arial" w:eastAsia="Arial" w:hAnsi="Arial" w:cs="Arial"/>
        </w:rPr>
        <w:t>by First-tier Tribunal Judge Scott-Baker as a “reasons” challenge, it will be seen, as indeed it was argued by Dr Chimpango before me, that the challenge is based on a claimed failure to place adequate weight upon various element</w:t>
      </w:r>
      <w:r w:rsidR="002635B3">
        <w:rPr>
          <w:rFonts w:ascii="Arial" w:eastAsia="Arial" w:hAnsi="Arial" w:cs="Arial"/>
        </w:rPr>
        <w:t>s</w:t>
      </w:r>
      <w:r>
        <w:rPr>
          <w:rFonts w:ascii="Arial" w:eastAsia="Arial" w:hAnsi="Arial" w:cs="Arial"/>
        </w:rPr>
        <w:t xml:space="preserve"> of the evidence that was before the First-tier Tribunal judge.</w:t>
      </w:r>
      <w:r w:rsidR="002635B3">
        <w:rPr>
          <w:rFonts w:ascii="Arial" w:eastAsia="Arial" w:hAnsi="Arial" w:cs="Arial"/>
        </w:rPr>
        <w:t xml:space="preserve"> </w:t>
      </w:r>
      <w:r w:rsidR="00C468BF">
        <w:rPr>
          <w:rFonts w:ascii="Arial" w:eastAsia="Arial" w:hAnsi="Arial" w:cs="Arial"/>
        </w:rPr>
        <w:t>Dr</w:t>
      </w:r>
      <w:r w:rsidR="002635B3">
        <w:rPr>
          <w:rFonts w:ascii="Arial" w:eastAsia="Arial" w:hAnsi="Arial" w:cs="Arial"/>
        </w:rPr>
        <w:t xml:space="preserve"> Chimpango drew my attention to </w:t>
      </w:r>
      <w:r w:rsidR="00D579C1">
        <w:rPr>
          <w:rFonts w:ascii="Arial" w:eastAsia="Arial" w:hAnsi="Arial" w:cs="Arial"/>
        </w:rPr>
        <w:t xml:space="preserve">five newspaper articles which, he submitted, indicated the level of violence perpetrated in Malawi against political opponents of the president and to which </w:t>
      </w:r>
      <w:r w:rsidR="00C468BF">
        <w:rPr>
          <w:rFonts w:ascii="Arial" w:eastAsia="Arial" w:hAnsi="Arial" w:cs="Arial"/>
        </w:rPr>
        <w:t>it was</w:t>
      </w:r>
      <w:r w:rsidR="00D579C1">
        <w:rPr>
          <w:rFonts w:ascii="Arial" w:eastAsia="Arial" w:hAnsi="Arial" w:cs="Arial"/>
        </w:rPr>
        <w:t xml:space="preserve"> submitted the main appellant and his family would be subjected if removed to Malawi. He referred to the personal security measures put in place by the main appellant whilst he was in Malawi.</w:t>
      </w:r>
    </w:p>
    <w:p w14:paraId="2B34E670" w14:textId="1DE6DF76" w:rsidR="00D579C1" w:rsidRDefault="00424B1D" w:rsidP="00004BF0">
      <w:pPr>
        <w:pStyle w:val="ListParagraph"/>
        <w:numPr>
          <w:ilvl w:val="0"/>
          <w:numId w:val="28"/>
        </w:numPr>
        <w:tabs>
          <w:tab w:val="clear" w:pos="1560"/>
        </w:tabs>
        <w:spacing w:before="240"/>
        <w:ind w:left="1134" w:hanging="567"/>
        <w:jc w:val="both"/>
        <w:rPr>
          <w:rFonts w:ascii="Arial" w:eastAsia="Arial" w:hAnsi="Arial" w:cs="Arial"/>
        </w:rPr>
      </w:pPr>
      <w:r>
        <w:rPr>
          <w:rFonts w:ascii="Arial" w:eastAsia="Arial" w:hAnsi="Arial" w:cs="Arial"/>
        </w:rPr>
        <w:lastRenderedPageBreak/>
        <w:t xml:space="preserve">The main appellant led the campaign against the Third Term Bill which was narrowly defeated by three votes in Parliament. </w:t>
      </w:r>
      <w:r w:rsidR="003306AF">
        <w:rPr>
          <w:rFonts w:ascii="Arial" w:eastAsia="Arial" w:hAnsi="Arial" w:cs="Arial"/>
        </w:rPr>
        <w:t>He claim</w:t>
      </w:r>
      <w:r w:rsidR="004B4E0D">
        <w:rPr>
          <w:rFonts w:ascii="Arial" w:eastAsia="Arial" w:hAnsi="Arial" w:cs="Arial"/>
        </w:rPr>
        <w:t>s</w:t>
      </w:r>
      <w:r w:rsidR="003306AF">
        <w:rPr>
          <w:rFonts w:ascii="Arial" w:eastAsia="Arial" w:hAnsi="Arial" w:cs="Arial"/>
        </w:rPr>
        <w:t xml:space="preserve"> that a bout of food </w:t>
      </w:r>
      <w:r w:rsidR="00C468BF">
        <w:rPr>
          <w:rFonts w:ascii="Arial" w:eastAsia="Arial" w:hAnsi="Arial" w:cs="Arial"/>
        </w:rPr>
        <w:t>poisoning after</w:t>
      </w:r>
      <w:r w:rsidR="004B4E0D">
        <w:rPr>
          <w:rFonts w:ascii="Arial" w:eastAsia="Arial" w:hAnsi="Arial" w:cs="Arial"/>
        </w:rPr>
        <w:t xml:space="preserve"> the Bill’s defeat and an attack on him in a hotel room in 2003 were politically motivated. He left his political party but remained an MP. In </w:t>
      </w:r>
      <w:r w:rsidR="00C468BF">
        <w:rPr>
          <w:rFonts w:ascii="Arial" w:eastAsia="Arial" w:hAnsi="Arial" w:cs="Arial"/>
        </w:rPr>
        <w:t>2004,</w:t>
      </w:r>
      <w:r w:rsidR="004B4E0D">
        <w:rPr>
          <w:rFonts w:ascii="Arial" w:eastAsia="Arial" w:hAnsi="Arial" w:cs="Arial"/>
        </w:rPr>
        <w:t xml:space="preserve"> he stood for re-election as an independent but was not elected.  He first came to the UK as a student in September 2005, r</w:t>
      </w:r>
      <w:r w:rsidR="00AD022D">
        <w:rPr>
          <w:rFonts w:ascii="Arial" w:eastAsia="Arial" w:hAnsi="Arial" w:cs="Arial"/>
        </w:rPr>
        <w:t>eturning</w:t>
      </w:r>
      <w:r w:rsidR="004B4E0D">
        <w:rPr>
          <w:rFonts w:ascii="Arial" w:eastAsia="Arial" w:hAnsi="Arial" w:cs="Arial"/>
        </w:rPr>
        <w:t xml:space="preserve"> to Malawi 3 times after that. His leave to remain in the UK expired </w:t>
      </w:r>
      <w:r w:rsidR="00AD022D">
        <w:rPr>
          <w:rFonts w:ascii="Arial" w:eastAsia="Arial" w:hAnsi="Arial" w:cs="Arial"/>
        </w:rPr>
        <w:t>on 7</w:t>
      </w:r>
      <w:r w:rsidR="00AD022D" w:rsidRPr="00AD022D">
        <w:rPr>
          <w:rFonts w:ascii="Arial" w:eastAsia="Arial" w:hAnsi="Arial" w:cs="Arial"/>
          <w:vertAlign w:val="superscript"/>
        </w:rPr>
        <w:t>th</w:t>
      </w:r>
      <w:r w:rsidR="00AD022D">
        <w:rPr>
          <w:rFonts w:ascii="Arial" w:eastAsia="Arial" w:hAnsi="Arial" w:cs="Arial"/>
        </w:rPr>
        <w:t xml:space="preserve"> November 2015. An application for further leave to remain was refused in December 2015. They were notified of their liability to removal in February 2016. An application for judicial review was refused on 22</w:t>
      </w:r>
      <w:r w:rsidR="00AD022D" w:rsidRPr="00AD022D">
        <w:rPr>
          <w:rFonts w:ascii="Arial" w:eastAsia="Arial" w:hAnsi="Arial" w:cs="Arial"/>
          <w:vertAlign w:val="superscript"/>
        </w:rPr>
        <w:t>nd</w:t>
      </w:r>
      <w:r w:rsidR="00AD022D">
        <w:rPr>
          <w:rFonts w:ascii="Arial" w:eastAsia="Arial" w:hAnsi="Arial" w:cs="Arial"/>
        </w:rPr>
        <w:t xml:space="preserve"> July 2016 and it was then that the asylum application was made. </w:t>
      </w:r>
      <w:r w:rsidR="004B4E0D">
        <w:rPr>
          <w:rFonts w:ascii="Arial" w:eastAsia="Arial" w:hAnsi="Arial" w:cs="Arial"/>
        </w:rPr>
        <w:t xml:space="preserve"> </w:t>
      </w:r>
    </w:p>
    <w:p w14:paraId="2250695D" w14:textId="77777777" w:rsidR="002064B8" w:rsidRDefault="001B0E9E" w:rsidP="00004BF0">
      <w:pPr>
        <w:pStyle w:val="ListParagraph"/>
        <w:numPr>
          <w:ilvl w:val="0"/>
          <w:numId w:val="28"/>
        </w:numPr>
        <w:tabs>
          <w:tab w:val="clear" w:pos="1560"/>
        </w:tabs>
        <w:spacing w:before="240"/>
        <w:ind w:left="1134" w:hanging="567"/>
        <w:jc w:val="both"/>
        <w:rPr>
          <w:rFonts w:ascii="Arial" w:eastAsia="Arial" w:hAnsi="Arial" w:cs="Arial"/>
        </w:rPr>
      </w:pPr>
      <w:r>
        <w:rPr>
          <w:rFonts w:ascii="Arial" w:eastAsia="Arial" w:hAnsi="Arial" w:cs="Arial"/>
        </w:rPr>
        <w:t xml:space="preserve">The </w:t>
      </w:r>
      <w:r w:rsidR="002064B8">
        <w:rPr>
          <w:rFonts w:ascii="Arial" w:eastAsia="Arial" w:hAnsi="Arial" w:cs="Arial"/>
        </w:rPr>
        <w:t xml:space="preserve">newspaper reports relied upon are not specifically referred to by the First-tier Tribunal Judge. They are reports of violence perpetrated against individuals who are politically active. There is no report of others who were involved in opposition to the Bill being targeted. There is no report of others who may have been active politically at the same time as the main appellant being violently targeted. </w:t>
      </w:r>
    </w:p>
    <w:p w14:paraId="2C32B0C2" w14:textId="5BDD6F69" w:rsidR="002064B8" w:rsidRDefault="00C468BF" w:rsidP="00004BF0">
      <w:pPr>
        <w:pStyle w:val="ListParagraph"/>
        <w:numPr>
          <w:ilvl w:val="0"/>
          <w:numId w:val="28"/>
        </w:numPr>
        <w:tabs>
          <w:tab w:val="clear" w:pos="1560"/>
        </w:tabs>
        <w:spacing w:before="240"/>
        <w:ind w:left="1134" w:hanging="567"/>
        <w:jc w:val="both"/>
        <w:rPr>
          <w:rFonts w:ascii="Arial" w:eastAsia="Arial" w:hAnsi="Arial" w:cs="Arial"/>
        </w:rPr>
      </w:pPr>
      <w:r>
        <w:rPr>
          <w:rFonts w:ascii="Arial" w:eastAsia="Arial" w:hAnsi="Arial" w:cs="Arial"/>
        </w:rPr>
        <w:t>The main appellant in his evidence said that he had both been living in a rural area and thus escaped notice when he returned to Malawi and that he had worked f</w:t>
      </w:r>
      <w:r w:rsidR="00A47FBC">
        <w:rPr>
          <w:rFonts w:ascii="Arial" w:eastAsia="Arial" w:hAnsi="Arial" w:cs="Arial"/>
        </w:rPr>
        <w:t>rom</w:t>
      </w:r>
      <w:r>
        <w:rPr>
          <w:rFonts w:ascii="Arial" w:eastAsia="Arial" w:hAnsi="Arial" w:cs="Arial"/>
        </w:rPr>
        <w:t xml:space="preserve"> his office </w:t>
      </w:r>
      <w:r w:rsidR="00A47FBC">
        <w:rPr>
          <w:rFonts w:ascii="Arial" w:eastAsia="Arial" w:hAnsi="Arial" w:cs="Arial"/>
        </w:rPr>
        <w:t xml:space="preserve">(in his family home) </w:t>
      </w:r>
      <w:r>
        <w:rPr>
          <w:rFonts w:ascii="Arial" w:eastAsia="Arial" w:hAnsi="Arial" w:cs="Arial"/>
        </w:rPr>
        <w:t xml:space="preserve">in Blantyre for 6 months on one of his trips home. </w:t>
      </w:r>
    </w:p>
    <w:p w14:paraId="3E9630E2" w14:textId="49FEE898" w:rsidR="002064B8" w:rsidRDefault="002064B8" w:rsidP="00004BF0">
      <w:pPr>
        <w:pStyle w:val="ListParagraph"/>
        <w:numPr>
          <w:ilvl w:val="0"/>
          <w:numId w:val="28"/>
        </w:numPr>
        <w:tabs>
          <w:tab w:val="clear" w:pos="1560"/>
        </w:tabs>
        <w:spacing w:before="240"/>
        <w:ind w:left="1134" w:hanging="567"/>
        <w:jc w:val="both"/>
        <w:rPr>
          <w:rFonts w:ascii="Arial" w:eastAsia="Arial" w:hAnsi="Arial" w:cs="Arial"/>
        </w:rPr>
      </w:pPr>
      <w:r>
        <w:rPr>
          <w:rFonts w:ascii="Arial" w:eastAsia="Arial" w:hAnsi="Arial" w:cs="Arial"/>
        </w:rPr>
        <w:t xml:space="preserve">Although the First-tier Tribunal judge did not refer to the newspaper reports directly, there was nothing in them that was of </w:t>
      </w:r>
      <w:r w:rsidR="00D41962">
        <w:rPr>
          <w:rFonts w:ascii="Arial" w:eastAsia="Arial" w:hAnsi="Arial" w:cs="Arial"/>
        </w:rPr>
        <w:t>particular significance</w:t>
      </w:r>
      <w:r>
        <w:rPr>
          <w:rFonts w:ascii="Arial" w:eastAsia="Arial" w:hAnsi="Arial" w:cs="Arial"/>
        </w:rPr>
        <w:t xml:space="preserve"> to the appellants</w:t>
      </w:r>
      <w:r w:rsidR="00D41962">
        <w:rPr>
          <w:rFonts w:ascii="Arial" w:eastAsia="Arial" w:hAnsi="Arial" w:cs="Arial"/>
        </w:rPr>
        <w:t>.</w:t>
      </w:r>
      <w:r>
        <w:rPr>
          <w:rFonts w:ascii="Arial" w:eastAsia="Arial" w:hAnsi="Arial" w:cs="Arial"/>
        </w:rPr>
        <w:t xml:space="preserve"> The judge correctly considered the evidence in the round and, taking the appellants’ evidence into account concluded that the ability to return home and work unmolested for six months, that the main appellant did not seek to bring his wife and children to the UK for some time, that there was a lack of country material indicating a level of violence targeting opposition political activists, that he had remained in Malawi and sought re-election as an MP, </w:t>
      </w:r>
      <w:r w:rsidR="00D41962">
        <w:rPr>
          <w:rFonts w:ascii="Arial" w:eastAsia="Arial" w:hAnsi="Arial" w:cs="Arial"/>
        </w:rPr>
        <w:t xml:space="preserve">that he had remained in Malawi after his electoral defeat with no identified problems, </w:t>
      </w:r>
      <w:r>
        <w:rPr>
          <w:rFonts w:ascii="Arial" w:eastAsia="Arial" w:hAnsi="Arial" w:cs="Arial"/>
        </w:rPr>
        <w:t xml:space="preserve">that they had delayed claiming asylum until after a </w:t>
      </w:r>
      <w:r w:rsidR="00C468BF">
        <w:rPr>
          <w:rFonts w:ascii="Arial" w:eastAsia="Arial" w:hAnsi="Arial" w:cs="Arial"/>
        </w:rPr>
        <w:t>judicial</w:t>
      </w:r>
      <w:r w:rsidR="00D41962">
        <w:rPr>
          <w:rFonts w:ascii="Arial" w:eastAsia="Arial" w:hAnsi="Arial" w:cs="Arial"/>
        </w:rPr>
        <w:t xml:space="preserve"> </w:t>
      </w:r>
      <w:r w:rsidR="00C468BF">
        <w:rPr>
          <w:rFonts w:ascii="Arial" w:eastAsia="Arial" w:hAnsi="Arial" w:cs="Arial"/>
        </w:rPr>
        <w:t>review</w:t>
      </w:r>
      <w:r>
        <w:rPr>
          <w:rFonts w:ascii="Arial" w:eastAsia="Arial" w:hAnsi="Arial" w:cs="Arial"/>
        </w:rPr>
        <w:t xml:space="preserve"> challenge removal had failed, all combined to result in a </w:t>
      </w:r>
      <w:r w:rsidR="00C468BF">
        <w:rPr>
          <w:rFonts w:ascii="Arial" w:eastAsia="Arial" w:hAnsi="Arial" w:cs="Arial"/>
        </w:rPr>
        <w:t>finding</w:t>
      </w:r>
      <w:r>
        <w:rPr>
          <w:rFonts w:ascii="Arial" w:eastAsia="Arial" w:hAnsi="Arial" w:cs="Arial"/>
        </w:rPr>
        <w:t xml:space="preserve"> that the main appellant was not at risk of being </w:t>
      </w:r>
      <w:r w:rsidR="00C468BF">
        <w:rPr>
          <w:rFonts w:ascii="Arial" w:eastAsia="Arial" w:hAnsi="Arial" w:cs="Arial"/>
        </w:rPr>
        <w:t>persecuted</w:t>
      </w:r>
      <w:r>
        <w:rPr>
          <w:rFonts w:ascii="Arial" w:eastAsia="Arial" w:hAnsi="Arial" w:cs="Arial"/>
        </w:rPr>
        <w:t xml:space="preserve"> on return t</w:t>
      </w:r>
      <w:r w:rsidR="00D41962">
        <w:rPr>
          <w:rFonts w:ascii="Arial" w:eastAsia="Arial" w:hAnsi="Arial" w:cs="Arial"/>
        </w:rPr>
        <w:t>o</w:t>
      </w:r>
      <w:r>
        <w:rPr>
          <w:rFonts w:ascii="Arial" w:eastAsia="Arial" w:hAnsi="Arial" w:cs="Arial"/>
        </w:rPr>
        <w:t xml:space="preserve"> Malawi. The other appellants were </w:t>
      </w:r>
      <w:r w:rsidR="00C468BF">
        <w:rPr>
          <w:rFonts w:ascii="Arial" w:eastAsia="Arial" w:hAnsi="Arial" w:cs="Arial"/>
        </w:rPr>
        <w:t>dependents</w:t>
      </w:r>
      <w:r w:rsidR="00D41962">
        <w:rPr>
          <w:rFonts w:ascii="Arial" w:eastAsia="Arial" w:hAnsi="Arial" w:cs="Arial"/>
        </w:rPr>
        <w:t xml:space="preserve"> o</w:t>
      </w:r>
      <w:r>
        <w:rPr>
          <w:rFonts w:ascii="Arial" w:eastAsia="Arial" w:hAnsi="Arial" w:cs="Arial"/>
        </w:rPr>
        <w:t xml:space="preserve">n the main appellant and their claim failed accordingly. </w:t>
      </w:r>
    </w:p>
    <w:p w14:paraId="615B2722" w14:textId="39EBF21A" w:rsidR="005337DB" w:rsidRDefault="002064B8" w:rsidP="00004BF0">
      <w:pPr>
        <w:pStyle w:val="ListParagraph"/>
        <w:numPr>
          <w:ilvl w:val="0"/>
          <w:numId w:val="28"/>
        </w:numPr>
        <w:tabs>
          <w:tab w:val="clear" w:pos="1560"/>
        </w:tabs>
        <w:spacing w:before="240"/>
        <w:ind w:left="1134" w:hanging="567"/>
        <w:jc w:val="both"/>
        <w:rPr>
          <w:rFonts w:ascii="Arial" w:eastAsia="Arial" w:hAnsi="Arial" w:cs="Arial"/>
        </w:rPr>
      </w:pPr>
      <w:r>
        <w:rPr>
          <w:rFonts w:ascii="Arial" w:eastAsia="Arial" w:hAnsi="Arial" w:cs="Arial"/>
        </w:rPr>
        <w:t xml:space="preserve">Although the grounds set out specific matters that it was alleged the judge had failed to accord adequate weight, this is incorrect. Matters of weight are for the judge absent an error of law in his approach to that evidence. The judge in this appeal plainly had in mind the evidence as a whole. He was justified in taking </w:t>
      </w:r>
      <w:r w:rsidR="00C468BF">
        <w:rPr>
          <w:rFonts w:ascii="Arial" w:eastAsia="Arial" w:hAnsi="Arial" w:cs="Arial"/>
        </w:rPr>
        <w:t>account</w:t>
      </w:r>
      <w:r>
        <w:rPr>
          <w:rFonts w:ascii="Arial" w:eastAsia="Arial" w:hAnsi="Arial" w:cs="Arial"/>
        </w:rPr>
        <w:t xml:space="preserve"> of the lengthy delay in claiming asylum in the context of the basis of claim and that the main appellant had travelled back to Malawi and remained there working in Blantyre</w:t>
      </w:r>
      <w:r w:rsidR="00D41962">
        <w:rPr>
          <w:rFonts w:ascii="Arial" w:eastAsia="Arial" w:hAnsi="Arial" w:cs="Arial"/>
        </w:rPr>
        <w:t>, on his evidence,</w:t>
      </w:r>
      <w:r>
        <w:rPr>
          <w:rFonts w:ascii="Arial" w:eastAsia="Arial" w:hAnsi="Arial" w:cs="Arial"/>
        </w:rPr>
        <w:t xml:space="preserve"> with no difficulty. The background material did not indicate a targeting of political opposition members or activists and the appellant remained </w:t>
      </w:r>
      <w:r w:rsidR="00C468BF">
        <w:rPr>
          <w:rFonts w:ascii="Arial" w:eastAsia="Arial" w:hAnsi="Arial" w:cs="Arial"/>
        </w:rPr>
        <w:t>involved</w:t>
      </w:r>
      <w:r>
        <w:rPr>
          <w:rFonts w:ascii="Arial" w:eastAsia="Arial" w:hAnsi="Arial" w:cs="Arial"/>
        </w:rPr>
        <w:t xml:space="preserve"> in political activity after the defeat of the Bill</w:t>
      </w:r>
      <w:r w:rsidR="00D41962">
        <w:rPr>
          <w:rFonts w:ascii="Arial" w:eastAsia="Arial" w:hAnsi="Arial" w:cs="Arial"/>
        </w:rPr>
        <w:t>,</w:t>
      </w:r>
      <w:r>
        <w:rPr>
          <w:rFonts w:ascii="Arial" w:eastAsia="Arial" w:hAnsi="Arial" w:cs="Arial"/>
        </w:rPr>
        <w:t xml:space="preserve"> the </w:t>
      </w:r>
      <w:r w:rsidR="00C468BF">
        <w:rPr>
          <w:rFonts w:ascii="Arial" w:eastAsia="Arial" w:hAnsi="Arial" w:cs="Arial"/>
        </w:rPr>
        <w:t>campaign</w:t>
      </w:r>
      <w:r>
        <w:rPr>
          <w:rFonts w:ascii="Arial" w:eastAsia="Arial" w:hAnsi="Arial" w:cs="Arial"/>
        </w:rPr>
        <w:t xml:space="preserve"> against which he claimed was the root </w:t>
      </w:r>
      <w:r w:rsidR="00C468BF">
        <w:rPr>
          <w:rFonts w:ascii="Arial" w:eastAsia="Arial" w:hAnsi="Arial" w:cs="Arial"/>
        </w:rPr>
        <w:t>cause</w:t>
      </w:r>
      <w:r>
        <w:rPr>
          <w:rFonts w:ascii="Arial" w:eastAsia="Arial" w:hAnsi="Arial" w:cs="Arial"/>
        </w:rPr>
        <w:t xml:space="preserve"> of his fear of per</w:t>
      </w:r>
      <w:r w:rsidR="00D41962">
        <w:rPr>
          <w:rFonts w:ascii="Arial" w:eastAsia="Arial" w:hAnsi="Arial" w:cs="Arial"/>
        </w:rPr>
        <w:t>secution. He was not re-elected and there were no further attacks upon him. The judge was entitled to find that the attack on him, dreadful as it was, was not politically motivated.</w:t>
      </w:r>
      <w:r>
        <w:rPr>
          <w:rFonts w:ascii="Arial" w:eastAsia="Arial" w:hAnsi="Arial" w:cs="Arial"/>
        </w:rPr>
        <w:t xml:space="preserve"> He has undertaken no political activity whilst in the UK and cannot be perceived as a</w:t>
      </w:r>
      <w:r w:rsidR="005337DB">
        <w:rPr>
          <w:rFonts w:ascii="Arial" w:eastAsia="Arial" w:hAnsi="Arial" w:cs="Arial"/>
        </w:rPr>
        <w:t>n active</w:t>
      </w:r>
      <w:r>
        <w:rPr>
          <w:rFonts w:ascii="Arial" w:eastAsia="Arial" w:hAnsi="Arial" w:cs="Arial"/>
        </w:rPr>
        <w:t xml:space="preserve"> political </w:t>
      </w:r>
      <w:r w:rsidR="005337DB">
        <w:rPr>
          <w:rFonts w:ascii="Arial" w:eastAsia="Arial" w:hAnsi="Arial" w:cs="Arial"/>
        </w:rPr>
        <w:t>opponent of the present government or President.</w:t>
      </w:r>
    </w:p>
    <w:p w14:paraId="52CD8240" w14:textId="2381227B" w:rsidR="005337DB" w:rsidRDefault="005337DB" w:rsidP="00004BF0">
      <w:pPr>
        <w:pStyle w:val="ListParagraph"/>
        <w:numPr>
          <w:ilvl w:val="0"/>
          <w:numId w:val="28"/>
        </w:numPr>
        <w:tabs>
          <w:tab w:val="clear" w:pos="1560"/>
        </w:tabs>
        <w:spacing w:before="240"/>
        <w:ind w:left="1134" w:hanging="567"/>
        <w:jc w:val="both"/>
        <w:rPr>
          <w:rFonts w:ascii="Arial" w:eastAsia="Arial" w:hAnsi="Arial" w:cs="Arial"/>
        </w:rPr>
      </w:pPr>
      <w:r>
        <w:rPr>
          <w:rFonts w:ascii="Arial" w:eastAsia="Arial" w:hAnsi="Arial" w:cs="Arial"/>
        </w:rPr>
        <w:lastRenderedPageBreak/>
        <w:t>The decision by the First-tier Tribunal judge on the claim for international protection considered the evidence before him and reached conclusions that were open and sustainable on the evidence before him. There is no material error of law in the conclusion that the appellants</w:t>
      </w:r>
      <w:r w:rsidR="00D41962">
        <w:rPr>
          <w:rFonts w:ascii="Arial" w:eastAsia="Arial" w:hAnsi="Arial" w:cs="Arial"/>
        </w:rPr>
        <w:t>’</w:t>
      </w:r>
      <w:r>
        <w:rPr>
          <w:rFonts w:ascii="Arial" w:eastAsia="Arial" w:hAnsi="Arial" w:cs="Arial"/>
        </w:rPr>
        <w:t xml:space="preserve"> claim for international protection is dismissed.</w:t>
      </w:r>
    </w:p>
    <w:p w14:paraId="624A211D" w14:textId="4D9FB54E" w:rsidR="00866A97" w:rsidRDefault="005337DB" w:rsidP="00004BF0">
      <w:pPr>
        <w:pStyle w:val="ListParagraph"/>
        <w:numPr>
          <w:ilvl w:val="0"/>
          <w:numId w:val="28"/>
        </w:numPr>
        <w:tabs>
          <w:tab w:val="clear" w:pos="1560"/>
        </w:tabs>
        <w:spacing w:before="240"/>
        <w:ind w:left="1134" w:hanging="567"/>
        <w:jc w:val="both"/>
        <w:rPr>
          <w:rFonts w:ascii="Arial" w:eastAsia="Arial" w:hAnsi="Arial" w:cs="Arial"/>
        </w:rPr>
      </w:pPr>
      <w:r>
        <w:rPr>
          <w:rFonts w:ascii="Arial" w:eastAsia="Arial" w:hAnsi="Arial" w:cs="Arial"/>
        </w:rPr>
        <w:t xml:space="preserve">In so far as the human rights claim is concerned, the appellants came to the UK as </w:t>
      </w:r>
      <w:r w:rsidR="00C468BF">
        <w:rPr>
          <w:rFonts w:ascii="Arial" w:eastAsia="Arial" w:hAnsi="Arial" w:cs="Arial"/>
        </w:rPr>
        <w:t>students</w:t>
      </w:r>
      <w:r>
        <w:rPr>
          <w:rFonts w:ascii="Arial" w:eastAsia="Arial" w:hAnsi="Arial" w:cs="Arial"/>
        </w:rPr>
        <w:t xml:space="preserve">/student </w:t>
      </w:r>
      <w:r w:rsidR="00C468BF">
        <w:rPr>
          <w:rFonts w:ascii="Arial" w:eastAsia="Arial" w:hAnsi="Arial" w:cs="Arial"/>
        </w:rPr>
        <w:t>dependents</w:t>
      </w:r>
      <w:r>
        <w:rPr>
          <w:rFonts w:ascii="Arial" w:eastAsia="Arial" w:hAnsi="Arial" w:cs="Arial"/>
        </w:rPr>
        <w:t xml:space="preserve">. The two younger appellants are adults. </w:t>
      </w:r>
      <w:r w:rsidR="00C468BF">
        <w:rPr>
          <w:rFonts w:ascii="Arial" w:eastAsia="Arial" w:hAnsi="Arial" w:cs="Arial"/>
        </w:rPr>
        <w:t xml:space="preserve">Although permission was granted because it was arguable that there had been inadequate consideration of their private life, the First-tier Tribunal judge considered the evidence of their private life in the UK in accordance with the immigration Rules and s117B nationality Immigration and Asylum Act 2002. </w:t>
      </w:r>
      <w:r>
        <w:rPr>
          <w:rFonts w:ascii="Arial" w:eastAsia="Arial" w:hAnsi="Arial" w:cs="Arial"/>
        </w:rPr>
        <w:t xml:space="preserve">There was no sustainable evidence that there were significant obstacles to their return to </w:t>
      </w:r>
      <w:r w:rsidR="00C468BF">
        <w:rPr>
          <w:rFonts w:ascii="Arial" w:eastAsia="Arial" w:hAnsi="Arial" w:cs="Arial"/>
        </w:rPr>
        <w:t>Malawi</w:t>
      </w:r>
      <w:r>
        <w:rPr>
          <w:rFonts w:ascii="Arial" w:eastAsia="Arial" w:hAnsi="Arial" w:cs="Arial"/>
        </w:rPr>
        <w:t xml:space="preserve"> – a finding the judge was entitled to </w:t>
      </w:r>
      <w:r w:rsidR="00C468BF">
        <w:rPr>
          <w:rFonts w:ascii="Arial" w:eastAsia="Arial" w:hAnsi="Arial" w:cs="Arial"/>
        </w:rPr>
        <w:t>reach</w:t>
      </w:r>
      <w:r>
        <w:rPr>
          <w:rFonts w:ascii="Arial" w:eastAsia="Arial" w:hAnsi="Arial" w:cs="Arial"/>
        </w:rPr>
        <w:t xml:space="preserve"> </w:t>
      </w:r>
      <w:r w:rsidR="00C468BF">
        <w:rPr>
          <w:rFonts w:ascii="Arial" w:eastAsia="Arial" w:hAnsi="Arial" w:cs="Arial"/>
        </w:rPr>
        <w:t>based on</w:t>
      </w:r>
      <w:r>
        <w:rPr>
          <w:rFonts w:ascii="Arial" w:eastAsia="Arial" w:hAnsi="Arial" w:cs="Arial"/>
        </w:rPr>
        <w:t xml:space="preserve"> the evidence </w:t>
      </w:r>
      <w:r w:rsidR="00C468BF">
        <w:rPr>
          <w:rFonts w:ascii="Arial" w:eastAsia="Arial" w:hAnsi="Arial" w:cs="Arial"/>
        </w:rPr>
        <w:t>before</w:t>
      </w:r>
      <w:r>
        <w:rPr>
          <w:rFonts w:ascii="Arial" w:eastAsia="Arial" w:hAnsi="Arial" w:cs="Arial"/>
        </w:rPr>
        <w:t xml:space="preserve"> him. At most the younger appellants have been in the UK for a considerable </w:t>
      </w:r>
      <w:r w:rsidR="00C468BF">
        <w:rPr>
          <w:rFonts w:ascii="Arial" w:eastAsia="Arial" w:hAnsi="Arial" w:cs="Arial"/>
        </w:rPr>
        <w:t>period</w:t>
      </w:r>
      <w:r>
        <w:rPr>
          <w:rFonts w:ascii="Arial" w:eastAsia="Arial" w:hAnsi="Arial" w:cs="Arial"/>
        </w:rPr>
        <w:t xml:space="preserve"> including as teenagers, during which they have been educated and achieved</w:t>
      </w:r>
      <w:r w:rsidR="00B16846">
        <w:rPr>
          <w:rFonts w:ascii="Arial" w:eastAsia="Arial" w:hAnsi="Arial" w:cs="Arial"/>
        </w:rPr>
        <w:t xml:space="preserve"> qualifications and life skills. The grounds state they have sent most of their adult life in the UK. They arrived in 2008 aged </w:t>
      </w:r>
      <w:r w:rsidR="00866A97">
        <w:rPr>
          <w:rFonts w:ascii="Arial" w:eastAsia="Arial" w:hAnsi="Arial" w:cs="Arial"/>
        </w:rPr>
        <w:t xml:space="preserve">13 and 14. Dr Chimpango accepted they would be returning to Malawi as a family unit although there was in any event no significant evidence that the two younger appellants were dependant on their parents. </w:t>
      </w:r>
      <w:r w:rsidR="00D41962">
        <w:rPr>
          <w:rFonts w:ascii="Arial" w:eastAsia="Arial" w:hAnsi="Arial" w:cs="Arial"/>
        </w:rPr>
        <w:t xml:space="preserve">The weight placed by the judge on the main appellant’s community and religious and academic ties was weight he was entitled to place. </w:t>
      </w:r>
    </w:p>
    <w:p w14:paraId="59B37158" w14:textId="200023B0" w:rsidR="00866A97" w:rsidRDefault="00866A97" w:rsidP="00004BF0">
      <w:pPr>
        <w:pStyle w:val="ListParagraph"/>
        <w:numPr>
          <w:ilvl w:val="0"/>
          <w:numId w:val="28"/>
        </w:numPr>
        <w:tabs>
          <w:tab w:val="clear" w:pos="1560"/>
        </w:tabs>
        <w:spacing w:before="240"/>
        <w:ind w:left="1134" w:hanging="567"/>
        <w:jc w:val="both"/>
        <w:rPr>
          <w:rFonts w:ascii="Arial" w:eastAsia="Arial" w:hAnsi="Arial" w:cs="Arial"/>
        </w:rPr>
      </w:pPr>
      <w:r>
        <w:rPr>
          <w:rFonts w:ascii="Arial" w:eastAsia="Arial" w:hAnsi="Arial" w:cs="Arial"/>
        </w:rPr>
        <w:t xml:space="preserve">It is correct that the judge did not give specific extensive reasons relating to the </w:t>
      </w:r>
      <w:r w:rsidR="00C468BF">
        <w:rPr>
          <w:rFonts w:ascii="Arial" w:eastAsia="Arial" w:hAnsi="Arial" w:cs="Arial"/>
        </w:rPr>
        <w:t>human</w:t>
      </w:r>
      <w:r>
        <w:rPr>
          <w:rFonts w:ascii="Arial" w:eastAsia="Arial" w:hAnsi="Arial" w:cs="Arial"/>
        </w:rPr>
        <w:t xml:space="preserve"> rights claim of the two younger dependants. </w:t>
      </w:r>
      <w:r w:rsidR="00C468BF">
        <w:rPr>
          <w:rFonts w:ascii="Arial" w:eastAsia="Arial" w:hAnsi="Arial" w:cs="Arial"/>
        </w:rPr>
        <w:t xml:space="preserve">But the acceptance by Dr Chimpango that they would be returning with their parents as a family </w:t>
      </w:r>
      <w:proofErr w:type="spellStart"/>
      <w:r w:rsidR="00D41962">
        <w:rPr>
          <w:rFonts w:ascii="Arial" w:eastAsia="Arial" w:hAnsi="Arial" w:cs="Arial"/>
        </w:rPr>
        <w:t>uni</w:t>
      </w:r>
      <w:r w:rsidR="00C468BF">
        <w:rPr>
          <w:rFonts w:ascii="Arial" w:eastAsia="Arial" w:hAnsi="Arial" w:cs="Arial"/>
        </w:rPr>
        <w:t>l</w:t>
      </w:r>
      <w:proofErr w:type="spellEnd"/>
      <w:r w:rsidR="00C468BF">
        <w:rPr>
          <w:rFonts w:ascii="Arial" w:eastAsia="Arial" w:hAnsi="Arial" w:cs="Arial"/>
        </w:rPr>
        <w:t xml:space="preserve">, the fact that they have been in the UK for about 10 years including 4-5 years as children, that there are no significant obstacles to their re-integration into Malawi, that they do not meet paragraph 276ADE of the Immigration Rules were all matters considered by the judge. </w:t>
      </w:r>
      <w:r>
        <w:rPr>
          <w:rFonts w:ascii="Arial" w:eastAsia="Arial" w:hAnsi="Arial" w:cs="Arial"/>
        </w:rPr>
        <w:t xml:space="preserve">That </w:t>
      </w:r>
      <w:r w:rsidR="00D41962">
        <w:rPr>
          <w:rFonts w:ascii="Arial" w:eastAsia="Arial" w:hAnsi="Arial" w:cs="Arial"/>
        </w:rPr>
        <w:t>the two younger appellants</w:t>
      </w:r>
      <w:r>
        <w:rPr>
          <w:rFonts w:ascii="Arial" w:eastAsia="Arial" w:hAnsi="Arial" w:cs="Arial"/>
        </w:rPr>
        <w:t xml:space="preserve"> have established private life in the UK, albeit as overstayers since 2015 when they were adults, was considered by the Judge.</w:t>
      </w:r>
    </w:p>
    <w:p w14:paraId="3BB4BADA" w14:textId="1DF60075" w:rsidR="005965E5" w:rsidRPr="00866A97" w:rsidRDefault="00866A97" w:rsidP="00004BF0">
      <w:pPr>
        <w:pStyle w:val="ListParagraph"/>
        <w:numPr>
          <w:ilvl w:val="0"/>
          <w:numId w:val="28"/>
        </w:numPr>
        <w:tabs>
          <w:tab w:val="clear" w:pos="1560"/>
        </w:tabs>
        <w:spacing w:before="240"/>
        <w:ind w:left="1134" w:hanging="567"/>
        <w:jc w:val="both"/>
        <w:rPr>
          <w:rFonts w:ascii="Arial" w:hAnsi="Arial" w:cs="Arial"/>
        </w:rPr>
      </w:pPr>
      <w:r>
        <w:rPr>
          <w:rFonts w:ascii="Arial" w:eastAsia="Arial" w:hAnsi="Arial" w:cs="Arial"/>
        </w:rPr>
        <w:t xml:space="preserve">It is possible that the judge could have given more extensive reasons for his conclusion that the appellants failed in their human rights claim but the fact is that none could in any event have </w:t>
      </w:r>
      <w:r w:rsidR="00C468BF">
        <w:rPr>
          <w:rFonts w:ascii="Arial" w:eastAsia="Arial" w:hAnsi="Arial" w:cs="Arial"/>
        </w:rPr>
        <w:t>succeeded</w:t>
      </w:r>
      <w:r>
        <w:rPr>
          <w:rFonts w:ascii="Arial" w:eastAsia="Arial" w:hAnsi="Arial" w:cs="Arial"/>
        </w:rPr>
        <w:t xml:space="preserve">. Although the judge can therefore be said to have erred in law in failing to give more extensive reasons for his dismissal of the </w:t>
      </w:r>
      <w:r w:rsidR="00D41962">
        <w:rPr>
          <w:rFonts w:ascii="Arial" w:eastAsia="Arial" w:hAnsi="Arial" w:cs="Arial"/>
        </w:rPr>
        <w:t xml:space="preserve">human rights </w:t>
      </w:r>
      <w:r>
        <w:rPr>
          <w:rFonts w:ascii="Arial" w:eastAsia="Arial" w:hAnsi="Arial" w:cs="Arial"/>
        </w:rPr>
        <w:t>appeal</w:t>
      </w:r>
      <w:r w:rsidR="00D41962">
        <w:rPr>
          <w:rFonts w:ascii="Arial" w:eastAsia="Arial" w:hAnsi="Arial" w:cs="Arial"/>
        </w:rPr>
        <w:t>s</w:t>
      </w:r>
      <w:r>
        <w:rPr>
          <w:rFonts w:ascii="Arial" w:eastAsia="Arial" w:hAnsi="Arial" w:cs="Arial"/>
        </w:rPr>
        <w:t xml:space="preserve">, the conclusion drawn by him was the correct and </w:t>
      </w:r>
      <w:r w:rsidR="00C468BF">
        <w:rPr>
          <w:rFonts w:ascii="Arial" w:eastAsia="Arial" w:hAnsi="Arial" w:cs="Arial"/>
        </w:rPr>
        <w:t>sustainable</w:t>
      </w:r>
      <w:r>
        <w:rPr>
          <w:rFonts w:ascii="Arial" w:eastAsia="Arial" w:hAnsi="Arial" w:cs="Arial"/>
        </w:rPr>
        <w:t xml:space="preserve"> conclusion; the error is not material. </w:t>
      </w:r>
    </w:p>
    <w:p w14:paraId="33878C07" w14:textId="77777777" w:rsidR="00004BF0" w:rsidRDefault="00004BF0" w:rsidP="00004BF0">
      <w:pPr>
        <w:tabs>
          <w:tab w:val="left" w:pos="567"/>
        </w:tabs>
        <w:spacing w:before="240"/>
        <w:ind w:left="567"/>
        <w:jc w:val="both"/>
        <w:rPr>
          <w:rFonts w:ascii="Arial" w:eastAsia="Arial" w:hAnsi="Arial" w:cs="Arial"/>
          <w:u w:val="single"/>
        </w:rPr>
      </w:pPr>
    </w:p>
    <w:p w14:paraId="3BB4BADB" w14:textId="1513CC0B" w:rsidR="00EB45D2" w:rsidRPr="008578D0" w:rsidRDefault="576901D2" w:rsidP="00004BF0">
      <w:pPr>
        <w:tabs>
          <w:tab w:val="left" w:pos="567"/>
        </w:tabs>
        <w:spacing w:before="240"/>
        <w:ind w:left="567"/>
        <w:jc w:val="both"/>
        <w:rPr>
          <w:rFonts w:ascii="Arial" w:eastAsia="Arial" w:hAnsi="Arial" w:cs="Arial"/>
          <w:u w:val="single"/>
        </w:rPr>
      </w:pPr>
      <w:r w:rsidRPr="576901D2">
        <w:rPr>
          <w:rFonts w:ascii="Arial" w:eastAsia="Arial" w:hAnsi="Arial" w:cs="Arial"/>
          <w:u w:val="single"/>
        </w:rPr>
        <w:t>Conclusions:</w:t>
      </w:r>
    </w:p>
    <w:p w14:paraId="3BB4BADD" w14:textId="01EF1ED5" w:rsidR="00EB45D2" w:rsidRPr="008578D0" w:rsidRDefault="576901D2" w:rsidP="00004BF0">
      <w:pPr>
        <w:tabs>
          <w:tab w:val="left" w:pos="567"/>
        </w:tabs>
        <w:spacing w:before="240"/>
        <w:ind w:left="567"/>
        <w:jc w:val="both"/>
        <w:rPr>
          <w:rFonts w:ascii="Arial" w:eastAsia="Arial" w:hAnsi="Arial" w:cs="Arial"/>
        </w:rPr>
      </w:pPr>
      <w:r w:rsidRPr="576901D2">
        <w:rPr>
          <w:rFonts w:ascii="Arial" w:eastAsia="Arial" w:hAnsi="Arial" w:cs="Arial"/>
        </w:rPr>
        <w:t>The making of the decision</w:t>
      </w:r>
      <w:r w:rsidR="00866A97">
        <w:rPr>
          <w:rFonts w:ascii="Arial" w:eastAsia="Arial" w:hAnsi="Arial" w:cs="Arial"/>
        </w:rPr>
        <w:t xml:space="preserve"> of the First-tier Tribunal </w:t>
      </w:r>
      <w:r w:rsidRPr="576901D2">
        <w:rPr>
          <w:rFonts w:ascii="Arial" w:eastAsia="Arial" w:hAnsi="Arial" w:cs="Arial"/>
        </w:rPr>
        <w:t>did not involve the making of an error on a point of law.</w:t>
      </w:r>
    </w:p>
    <w:p w14:paraId="3BB4BAEB" w14:textId="55709125" w:rsidR="00EB45D2" w:rsidRPr="008578D0" w:rsidRDefault="00866A97" w:rsidP="00004BF0">
      <w:pPr>
        <w:tabs>
          <w:tab w:val="left" w:pos="567"/>
        </w:tabs>
        <w:spacing w:before="240"/>
        <w:ind w:left="567"/>
        <w:jc w:val="both"/>
        <w:rPr>
          <w:rFonts w:ascii="Arial" w:eastAsia="Arial" w:hAnsi="Arial" w:cs="Arial"/>
          <w:i/>
          <w:iCs/>
        </w:rPr>
      </w:pPr>
      <w:r>
        <w:rPr>
          <w:rFonts w:ascii="Arial" w:eastAsia="Arial" w:hAnsi="Arial" w:cs="Arial"/>
        </w:rPr>
        <w:t xml:space="preserve">I </w:t>
      </w:r>
      <w:r w:rsidR="00EB45D2" w:rsidRPr="576901D2">
        <w:rPr>
          <w:rFonts w:ascii="Arial" w:eastAsia="Arial" w:hAnsi="Arial" w:cs="Arial"/>
        </w:rPr>
        <w:t>do not set aside the decision</w:t>
      </w:r>
      <w:r>
        <w:rPr>
          <w:rFonts w:ascii="Arial" w:eastAsia="Arial" w:hAnsi="Arial" w:cs="Arial"/>
        </w:rPr>
        <w:t>. The decision of the First-tier Tribunal judge stands – the appeals are dismissed.</w:t>
      </w:r>
      <w:r w:rsidR="576901D2" w:rsidRPr="576901D2">
        <w:rPr>
          <w:rFonts w:ascii="Arial" w:eastAsia="Arial" w:hAnsi="Arial" w:cs="Arial"/>
          <w:i/>
          <w:iCs/>
        </w:rPr>
        <w:t xml:space="preserve"> </w:t>
      </w:r>
    </w:p>
    <w:p w14:paraId="76AB2A48" w14:textId="77777777" w:rsidR="00004BF0" w:rsidRDefault="00004BF0" w:rsidP="00004BF0">
      <w:pPr>
        <w:tabs>
          <w:tab w:val="left" w:pos="567"/>
        </w:tabs>
        <w:spacing w:before="240"/>
        <w:ind w:left="567"/>
        <w:jc w:val="both"/>
        <w:rPr>
          <w:rFonts w:ascii="Arial" w:eastAsia="Arial" w:hAnsi="Arial" w:cs="Arial"/>
          <w:u w:val="single"/>
        </w:rPr>
      </w:pPr>
    </w:p>
    <w:p w14:paraId="3BB4BAED" w14:textId="69AB9620" w:rsidR="00EB45D2" w:rsidRPr="00004BF0" w:rsidRDefault="576901D2" w:rsidP="00004BF0">
      <w:pPr>
        <w:tabs>
          <w:tab w:val="left" w:pos="567"/>
        </w:tabs>
        <w:spacing w:before="240"/>
        <w:ind w:left="567"/>
        <w:jc w:val="both"/>
        <w:rPr>
          <w:rFonts w:ascii="Arial" w:eastAsia="Arial" w:hAnsi="Arial" w:cs="Arial"/>
          <w:u w:val="single"/>
        </w:rPr>
      </w:pPr>
      <w:r w:rsidRPr="00004BF0">
        <w:rPr>
          <w:rFonts w:ascii="Arial" w:eastAsia="Arial" w:hAnsi="Arial" w:cs="Arial"/>
          <w:u w:val="single"/>
        </w:rPr>
        <w:t>Anonymity</w:t>
      </w:r>
    </w:p>
    <w:p w14:paraId="3BB4BAEF" w14:textId="5A7D1D12" w:rsidR="00EB45D2" w:rsidRPr="008578D0" w:rsidRDefault="576901D2" w:rsidP="00004BF0">
      <w:pPr>
        <w:tabs>
          <w:tab w:val="left" w:pos="567"/>
        </w:tabs>
        <w:spacing w:before="240"/>
        <w:ind w:left="567"/>
        <w:jc w:val="both"/>
        <w:rPr>
          <w:rFonts w:ascii="Arial" w:eastAsia="Arial" w:hAnsi="Arial" w:cs="Arial"/>
        </w:rPr>
      </w:pPr>
      <w:r w:rsidRPr="576901D2">
        <w:rPr>
          <w:rFonts w:ascii="Arial" w:eastAsia="Arial" w:hAnsi="Arial" w:cs="Arial"/>
        </w:rPr>
        <w:t>The First-tier Tribunal made an order pursuant to rule 45(4)(i) of the Asylum and Immigration Tribunal (Procedure) Rules 2005.</w:t>
      </w:r>
    </w:p>
    <w:p w14:paraId="3BB4BAF1" w14:textId="6B086430" w:rsidR="00EB45D2" w:rsidRPr="008578D0" w:rsidRDefault="00866A97" w:rsidP="00004BF0">
      <w:pPr>
        <w:tabs>
          <w:tab w:val="left" w:pos="567"/>
        </w:tabs>
        <w:spacing w:before="240"/>
        <w:ind w:left="567"/>
        <w:jc w:val="both"/>
        <w:rPr>
          <w:rFonts w:ascii="Arial" w:eastAsia="Arial" w:hAnsi="Arial" w:cs="Arial"/>
        </w:rPr>
      </w:pPr>
      <w:r>
        <w:rPr>
          <w:rFonts w:ascii="Arial" w:eastAsia="Arial" w:hAnsi="Arial" w:cs="Arial"/>
        </w:rPr>
        <w:t>I continue</w:t>
      </w:r>
      <w:r w:rsidR="576901D2" w:rsidRPr="576901D2">
        <w:rPr>
          <w:rFonts w:ascii="Arial" w:eastAsia="Arial" w:hAnsi="Arial" w:cs="Arial"/>
        </w:rPr>
        <w:t xml:space="preserve"> that order (pursuant to rule 14 of the Tribunal Procedure (Upper Tribunal) Rules 2008).</w:t>
      </w:r>
    </w:p>
    <w:p w14:paraId="3BB4BAF2" w14:textId="77777777" w:rsidR="00EB45D2" w:rsidRPr="008578D0" w:rsidRDefault="00EB45D2" w:rsidP="00004BF0">
      <w:pPr>
        <w:tabs>
          <w:tab w:val="left" w:pos="567"/>
        </w:tabs>
        <w:rPr>
          <w:rFonts w:ascii="Arial" w:hAnsi="Arial" w:cs="Arial"/>
        </w:rPr>
      </w:pPr>
    </w:p>
    <w:p w14:paraId="3BB4BB01" w14:textId="6AF5CFEC" w:rsidR="00423156" w:rsidRDefault="00423156" w:rsidP="00004BF0">
      <w:pPr>
        <w:rPr>
          <w:rFonts w:ascii="Arial" w:hAnsi="Arial" w:cs="Arial"/>
        </w:rPr>
      </w:pPr>
    </w:p>
    <w:p w14:paraId="7336798E" w14:textId="77777777" w:rsidR="00004BF0" w:rsidRPr="008578D0" w:rsidRDefault="00004BF0" w:rsidP="00004BF0">
      <w:pPr>
        <w:rPr>
          <w:rFonts w:ascii="Arial" w:hAnsi="Arial" w:cs="Arial"/>
        </w:rPr>
      </w:pPr>
    </w:p>
    <w:p w14:paraId="3BB4BB02" w14:textId="0BE045C1" w:rsidR="001F2716" w:rsidRPr="008578D0" w:rsidRDefault="00780F86" w:rsidP="00004BF0">
      <w:pPr>
        <w:tabs>
          <w:tab w:val="left" w:pos="4536"/>
        </w:tabs>
        <w:rPr>
          <w:rFonts w:ascii="Arial" w:eastAsia="Arial" w:hAnsi="Arial" w:cs="Arial"/>
        </w:rPr>
      </w:pPr>
      <w:r w:rsidRPr="008578D0">
        <w:rPr>
          <w:rFonts w:ascii="Arial" w:hAnsi="Arial" w:cs="Arial"/>
        </w:rPr>
        <w:tab/>
      </w:r>
      <w:r w:rsidR="001F2716" w:rsidRPr="576901D2">
        <w:rPr>
          <w:rFonts w:ascii="Arial" w:eastAsia="Arial" w:hAnsi="Arial" w:cs="Arial"/>
        </w:rPr>
        <w:t>Date</w:t>
      </w:r>
      <w:r w:rsidR="002E575D" w:rsidRPr="576901D2">
        <w:rPr>
          <w:rFonts w:ascii="Arial" w:eastAsia="Arial" w:hAnsi="Arial" w:cs="Arial"/>
        </w:rPr>
        <w:t xml:space="preserve"> </w:t>
      </w:r>
      <w:r w:rsidR="00D41962">
        <w:rPr>
          <w:rFonts w:ascii="Arial" w:eastAsia="Arial" w:hAnsi="Arial" w:cs="Arial"/>
        </w:rPr>
        <w:t>11</w:t>
      </w:r>
      <w:r w:rsidR="00D41962" w:rsidRPr="00D41962">
        <w:rPr>
          <w:rFonts w:ascii="Arial" w:eastAsia="Arial" w:hAnsi="Arial" w:cs="Arial"/>
          <w:vertAlign w:val="superscript"/>
        </w:rPr>
        <w:t>th</w:t>
      </w:r>
      <w:r w:rsidR="00D41962">
        <w:rPr>
          <w:rFonts w:ascii="Arial" w:eastAsia="Arial" w:hAnsi="Arial" w:cs="Arial"/>
        </w:rPr>
        <w:t xml:space="preserve"> September 2018 </w:t>
      </w:r>
    </w:p>
    <w:p w14:paraId="3BB4BB03" w14:textId="77777777" w:rsidR="00423156" w:rsidRDefault="00082D15" w:rsidP="00004BF0">
      <w:pPr>
        <w:tabs>
          <w:tab w:val="left" w:pos="2520"/>
        </w:tabs>
        <w:rPr>
          <w:rFonts w:ascii="Arial" w:hAnsi="Arial" w:cs="Arial"/>
          <w:color w:val="000000"/>
        </w:rPr>
      </w:pPr>
      <w:r>
        <w:rPr>
          <w:rFonts w:ascii="Arial" w:hAnsi="Arial" w:cs="Arial"/>
          <w:noProof/>
          <w:color w:val="000000"/>
          <w:lang w:val="en-US" w:eastAsia="en-US"/>
        </w:rPr>
        <w:drawing>
          <wp:inline distT="0" distB="0" distL="0" distR="0" wp14:anchorId="3BB4BB09" wp14:editId="3BB4BB0A">
            <wp:extent cx="1257300" cy="523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523875"/>
                    </a:xfrm>
                    <a:prstGeom prst="rect">
                      <a:avLst/>
                    </a:prstGeom>
                    <a:noFill/>
                  </pic:spPr>
                </pic:pic>
              </a:graphicData>
            </a:graphic>
          </wp:inline>
        </w:drawing>
      </w:r>
    </w:p>
    <w:p w14:paraId="3BB4BB06" w14:textId="77777777" w:rsidR="00B95326" w:rsidRPr="008578D0" w:rsidRDefault="576901D2" w:rsidP="00004BF0">
      <w:pPr>
        <w:tabs>
          <w:tab w:val="left" w:pos="2520"/>
        </w:tabs>
        <w:rPr>
          <w:rFonts w:ascii="Arial" w:eastAsia="Arial" w:hAnsi="Arial" w:cs="Arial"/>
          <w:color w:val="000000" w:themeColor="text1"/>
        </w:rPr>
      </w:pPr>
      <w:r w:rsidRPr="576901D2">
        <w:rPr>
          <w:rFonts w:ascii="Arial" w:eastAsia="Arial" w:hAnsi="Arial" w:cs="Arial"/>
          <w:color w:val="000000" w:themeColor="text1"/>
        </w:rPr>
        <w:t>Upper Tribunal Judge Coker</w:t>
      </w:r>
    </w:p>
    <w:sectPr w:rsidR="00B95326" w:rsidRPr="008578D0" w:rsidSect="00004BF0">
      <w:headerReference w:type="default" r:id="rId10"/>
      <w:footerReference w:type="default" r:id="rId11"/>
      <w:footerReference w:type="first" r:id="rId12"/>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CEA1D" w14:textId="77777777" w:rsidR="005F1869" w:rsidRDefault="005F1869">
      <w:r>
        <w:separator/>
      </w:r>
    </w:p>
  </w:endnote>
  <w:endnote w:type="continuationSeparator" w:id="0">
    <w:p w14:paraId="4DBF6EB8" w14:textId="77777777" w:rsidR="005F1869" w:rsidRDefault="005F1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auto"/>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4BB11" w14:textId="111567F8" w:rsidR="001F6F7E" w:rsidRPr="00593795" w:rsidRDefault="001F6F7E"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9922DF">
      <w:rPr>
        <w:rStyle w:val="PageNumber"/>
        <w:rFonts w:ascii="Arial" w:hAnsi="Arial" w:cs="Arial"/>
        <w:noProof/>
        <w:sz w:val="16"/>
        <w:szCs w:val="16"/>
      </w:rPr>
      <w:t>5</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4BB13" w14:textId="2E6ECE7F" w:rsidR="001F6F7E" w:rsidRPr="00090CF9" w:rsidRDefault="001F6F7E" w:rsidP="576901D2">
    <w:pPr>
      <w:jc w:val="center"/>
      <w:rPr>
        <w:rFonts w:ascii="Arial" w:eastAsia="Arial" w:hAnsi="Arial" w:cs="Arial"/>
        <w:b/>
        <w:bCs/>
      </w:rPr>
    </w:pPr>
    <w:r w:rsidRPr="576901D2">
      <w:rPr>
        <w:rFonts w:ascii="Arial" w:eastAsia="Arial" w:hAnsi="Arial" w:cs="Arial"/>
        <w:b/>
        <w:bCs/>
        <w:spacing w:val="-6"/>
      </w:rPr>
      <w:t>©</w:t>
    </w:r>
    <w:r w:rsidR="00206D4B" w:rsidRPr="576901D2">
      <w:rPr>
        <w:rFonts w:ascii="Arial" w:eastAsia="Arial" w:hAnsi="Arial" w:cs="Arial"/>
        <w:b/>
        <w:bCs/>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21582" w14:textId="77777777" w:rsidR="005F1869" w:rsidRDefault="005F1869">
      <w:r>
        <w:separator/>
      </w:r>
    </w:p>
  </w:footnote>
  <w:footnote w:type="continuationSeparator" w:id="0">
    <w:p w14:paraId="287FFE10" w14:textId="77777777" w:rsidR="005F1869" w:rsidRDefault="005F18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4BB10" w14:textId="5765614F" w:rsidR="001F6F7E" w:rsidRPr="003C5CE5" w:rsidRDefault="001F6F7E" w:rsidP="576901D2">
    <w:pPr>
      <w:pStyle w:val="Header"/>
      <w:jc w:val="right"/>
      <w:rPr>
        <w:rFonts w:ascii="Arial" w:eastAsia="Arial" w:hAnsi="Arial" w:cs="Arial"/>
        <w:sz w:val="16"/>
        <w:szCs w:val="16"/>
      </w:rPr>
    </w:pPr>
    <w:r w:rsidRPr="576901D2">
      <w:rPr>
        <w:rFonts w:ascii="Arial" w:eastAsia="Arial" w:hAnsi="Arial" w:cs="Arial"/>
        <w:sz w:val="16"/>
        <w:szCs w:val="16"/>
      </w:rPr>
      <w:t>Appeal Number:</w:t>
    </w:r>
    <w:r w:rsidR="00D463AA" w:rsidRPr="576901D2">
      <w:rPr>
        <w:rFonts w:ascii="Arial" w:eastAsia="Arial" w:hAnsi="Arial" w:cs="Arial"/>
        <w:sz w:val="16"/>
        <w:szCs w:val="16"/>
      </w:rPr>
      <w:t xml:space="preserve"> </w:t>
    </w:r>
    <w:r w:rsidR="00F7793D">
      <w:rPr>
        <w:rFonts w:ascii="Arial" w:eastAsia="Arial" w:hAnsi="Arial" w:cs="Arial"/>
        <w:sz w:val="16"/>
        <w:szCs w:val="16"/>
      </w:rPr>
      <w:t>PA/06027/2018 + 3</w:t>
    </w:r>
    <w:r w:rsidRPr="576901D2">
      <w:rPr>
        <w:rFonts w:ascii="Arial" w:eastAsia="Arial" w:hAnsi="Arial"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141"/>
    <w:multiLevelType w:val="hybridMultilevel"/>
    <w:tmpl w:val="0492A806"/>
    <w:lvl w:ilvl="0" w:tplc="D89A3BAE">
      <w:start w:val="1"/>
      <w:numFmt w:val="decimal"/>
      <w:lvlText w:val="%1."/>
      <w:lvlJc w:val="left"/>
      <w:pPr>
        <w:tabs>
          <w:tab w:val="num" w:pos="1494"/>
        </w:tabs>
        <w:ind w:left="1494" w:hanging="36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abstractNum w:abstractNumId="1" w15:restartNumberingAfterBreak="0">
    <w:nsid w:val="03FB548A"/>
    <w:multiLevelType w:val="hybridMultilevel"/>
    <w:tmpl w:val="008E808E"/>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66916E0"/>
    <w:multiLevelType w:val="hybridMultilevel"/>
    <w:tmpl w:val="0B8E96E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8F9647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A3375D8"/>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7D57717"/>
    <w:multiLevelType w:val="hybridMultilevel"/>
    <w:tmpl w:val="F8D0C500"/>
    <w:lvl w:ilvl="0" w:tplc="0809000F">
      <w:start w:val="1"/>
      <w:numFmt w:val="decimal"/>
      <w:lvlText w:val="%1."/>
      <w:lvlJc w:val="left"/>
      <w:pPr>
        <w:tabs>
          <w:tab w:val="num" w:pos="720"/>
        </w:tabs>
        <w:ind w:left="720" w:hanging="360"/>
      </w:pPr>
      <w:rPr>
        <w:rFonts w:hint="default"/>
      </w:rPr>
    </w:lvl>
    <w:lvl w:ilvl="1" w:tplc="1D86FBC8">
      <w:start w:val="1"/>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C094D3B"/>
    <w:multiLevelType w:val="hybridMultilevel"/>
    <w:tmpl w:val="BE00B0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120C1"/>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E804AB7"/>
    <w:multiLevelType w:val="hybridMultilevel"/>
    <w:tmpl w:val="C088A642"/>
    <w:lvl w:ilvl="0" w:tplc="571C1E68">
      <w:start w:val="1"/>
      <w:numFmt w:val="lowerRoman"/>
      <w:lvlText w:val="(%1)"/>
      <w:lvlJc w:val="left"/>
      <w:pPr>
        <w:ind w:left="2280" w:hanging="72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9"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347B7DCA"/>
    <w:multiLevelType w:val="hybridMultilevel"/>
    <w:tmpl w:val="33D248CA"/>
    <w:lvl w:ilvl="0" w:tplc="102841C8">
      <w:start w:val="1"/>
      <w:numFmt w:val="decimal"/>
      <w:lvlText w:val="%1."/>
      <w:lvlJc w:val="left"/>
      <w:pPr>
        <w:tabs>
          <w:tab w:val="num" w:pos="1080"/>
        </w:tabs>
        <w:ind w:left="1080" w:hanging="72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536E08EA">
      <w:start w:val="1"/>
      <w:numFmt w:val="lowerRoman"/>
      <w:lvlText w:val="%3."/>
      <w:lvlJc w:val="left"/>
      <w:pPr>
        <w:tabs>
          <w:tab w:val="num" w:pos="2700"/>
        </w:tabs>
        <w:ind w:left="2700" w:hanging="720"/>
      </w:pPr>
      <w:rPr>
        <w:rFonts w:hint="default"/>
      </w:rPr>
    </w:lvl>
    <w:lvl w:ilvl="3" w:tplc="0809000F">
      <w:start w:val="1"/>
      <w:numFmt w:val="decimal"/>
      <w:lvlText w:val="%4."/>
      <w:lvlJc w:val="left"/>
      <w:pPr>
        <w:tabs>
          <w:tab w:val="num" w:pos="2880"/>
        </w:tabs>
        <w:ind w:left="2880" w:hanging="360"/>
      </w:pPr>
      <w:rPr>
        <w:rFonts w:hint="default"/>
      </w:rPr>
    </w:lvl>
    <w:lvl w:ilvl="4" w:tplc="EFF6593C">
      <w:start w:val="1"/>
      <w:numFmt w:val="lowerLetter"/>
      <w:lvlText w:val="%5."/>
      <w:lvlJc w:val="left"/>
      <w:pPr>
        <w:tabs>
          <w:tab w:val="num" w:pos="3600"/>
        </w:tabs>
        <w:ind w:left="3600" w:hanging="360"/>
      </w:pPr>
      <w:rPr>
        <w:rFonts w:hint="default"/>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357E54E0"/>
    <w:multiLevelType w:val="hybridMultilevel"/>
    <w:tmpl w:val="9306DB2A"/>
    <w:lvl w:ilvl="0" w:tplc="2B6E84C6">
      <w:start w:val="1"/>
      <w:numFmt w:val="decimal"/>
      <w:lvlText w:val="%1."/>
      <w:lvlJc w:val="left"/>
      <w:pPr>
        <w:tabs>
          <w:tab w:val="num" w:pos="720"/>
        </w:tabs>
        <w:ind w:left="720" w:hanging="360"/>
      </w:pPr>
      <w:rPr>
        <w:rFonts w:hint="default"/>
        <w:b w:val="0"/>
        <w:i w:val="0"/>
      </w:rPr>
    </w:lvl>
    <w:lvl w:ilvl="1" w:tplc="B95EC7C4">
      <w:start w:val="6"/>
      <w:numFmt w:val="bullet"/>
      <w:lvlText w:val=""/>
      <w:lvlJc w:val="left"/>
      <w:pPr>
        <w:tabs>
          <w:tab w:val="num" w:pos="1800"/>
        </w:tabs>
        <w:ind w:left="1800" w:hanging="720"/>
      </w:pPr>
      <w:rPr>
        <w:rFonts w:ascii="Symbol" w:eastAsia="Times New Roman" w:hAnsi="Symbol" w:cs="Arial" w:hint="default"/>
      </w:rPr>
    </w:lvl>
    <w:lvl w:ilvl="2" w:tplc="6736DCEA">
      <w:start w:val="1"/>
      <w:numFmt w:val="lowerRoman"/>
      <w:lvlText w:val="%3."/>
      <w:lvlJc w:val="left"/>
      <w:pPr>
        <w:tabs>
          <w:tab w:val="num" w:pos="2700"/>
        </w:tabs>
        <w:ind w:left="2700" w:hanging="720"/>
      </w:pPr>
      <w:rPr>
        <w:rFonts w:hint="default"/>
      </w:rPr>
    </w:lvl>
    <w:lvl w:ilvl="3" w:tplc="8A64A2C8">
      <w:start w:val="59"/>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81250ED"/>
    <w:multiLevelType w:val="hybridMultilevel"/>
    <w:tmpl w:val="D3A86C62"/>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13" w15:restartNumberingAfterBreak="0">
    <w:nsid w:val="399301EE"/>
    <w:multiLevelType w:val="hybridMultilevel"/>
    <w:tmpl w:val="85243E72"/>
    <w:lvl w:ilvl="0" w:tplc="08090013">
      <w:start w:val="1"/>
      <w:numFmt w:val="upperRoman"/>
      <w:lvlText w:val="%1."/>
      <w:lvlJc w:val="right"/>
      <w:pPr>
        <w:tabs>
          <w:tab w:val="num" w:pos="2988"/>
        </w:tabs>
        <w:ind w:left="2988" w:hanging="180"/>
      </w:pPr>
    </w:lvl>
    <w:lvl w:ilvl="1" w:tplc="08090019" w:tentative="1">
      <w:start w:val="1"/>
      <w:numFmt w:val="lowerLetter"/>
      <w:lvlText w:val="%2."/>
      <w:lvlJc w:val="left"/>
      <w:pPr>
        <w:tabs>
          <w:tab w:val="num" w:pos="3708"/>
        </w:tabs>
        <w:ind w:left="3708" w:hanging="360"/>
      </w:pPr>
    </w:lvl>
    <w:lvl w:ilvl="2" w:tplc="0809001B" w:tentative="1">
      <w:start w:val="1"/>
      <w:numFmt w:val="lowerRoman"/>
      <w:lvlText w:val="%3."/>
      <w:lvlJc w:val="right"/>
      <w:pPr>
        <w:tabs>
          <w:tab w:val="num" w:pos="4428"/>
        </w:tabs>
        <w:ind w:left="4428" w:hanging="180"/>
      </w:pPr>
    </w:lvl>
    <w:lvl w:ilvl="3" w:tplc="0809000F" w:tentative="1">
      <w:start w:val="1"/>
      <w:numFmt w:val="decimal"/>
      <w:lvlText w:val="%4."/>
      <w:lvlJc w:val="left"/>
      <w:pPr>
        <w:tabs>
          <w:tab w:val="num" w:pos="5148"/>
        </w:tabs>
        <w:ind w:left="5148" w:hanging="360"/>
      </w:pPr>
    </w:lvl>
    <w:lvl w:ilvl="4" w:tplc="08090019" w:tentative="1">
      <w:start w:val="1"/>
      <w:numFmt w:val="lowerLetter"/>
      <w:lvlText w:val="%5."/>
      <w:lvlJc w:val="left"/>
      <w:pPr>
        <w:tabs>
          <w:tab w:val="num" w:pos="5868"/>
        </w:tabs>
        <w:ind w:left="5868" w:hanging="360"/>
      </w:pPr>
    </w:lvl>
    <w:lvl w:ilvl="5" w:tplc="0809001B" w:tentative="1">
      <w:start w:val="1"/>
      <w:numFmt w:val="lowerRoman"/>
      <w:lvlText w:val="%6."/>
      <w:lvlJc w:val="right"/>
      <w:pPr>
        <w:tabs>
          <w:tab w:val="num" w:pos="6588"/>
        </w:tabs>
        <w:ind w:left="6588" w:hanging="180"/>
      </w:pPr>
    </w:lvl>
    <w:lvl w:ilvl="6" w:tplc="0809000F" w:tentative="1">
      <w:start w:val="1"/>
      <w:numFmt w:val="decimal"/>
      <w:lvlText w:val="%7."/>
      <w:lvlJc w:val="left"/>
      <w:pPr>
        <w:tabs>
          <w:tab w:val="num" w:pos="7308"/>
        </w:tabs>
        <w:ind w:left="7308" w:hanging="360"/>
      </w:pPr>
    </w:lvl>
    <w:lvl w:ilvl="7" w:tplc="08090019" w:tentative="1">
      <w:start w:val="1"/>
      <w:numFmt w:val="lowerLetter"/>
      <w:lvlText w:val="%8."/>
      <w:lvlJc w:val="left"/>
      <w:pPr>
        <w:tabs>
          <w:tab w:val="num" w:pos="8028"/>
        </w:tabs>
        <w:ind w:left="8028" w:hanging="360"/>
      </w:pPr>
    </w:lvl>
    <w:lvl w:ilvl="8" w:tplc="0809001B" w:tentative="1">
      <w:start w:val="1"/>
      <w:numFmt w:val="lowerRoman"/>
      <w:lvlText w:val="%9."/>
      <w:lvlJc w:val="right"/>
      <w:pPr>
        <w:tabs>
          <w:tab w:val="num" w:pos="8748"/>
        </w:tabs>
        <w:ind w:left="8748" w:hanging="180"/>
      </w:pPr>
    </w:lvl>
  </w:abstractNum>
  <w:abstractNum w:abstractNumId="14" w15:restartNumberingAfterBreak="0">
    <w:nsid w:val="3DE000EB"/>
    <w:multiLevelType w:val="hybridMultilevel"/>
    <w:tmpl w:val="BD62FDEC"/>
    <w:lvl w:ilvl="0" w:tplc="BCE8A67E">
      <w:start w:val="1"/>
      <w:numFmt w:val="lowerRoman"/>
      <w:lvlText w:val="(%1)"/>
      <w:lvlJc w:val="left"/>
      <w:pPr>
        <w:ind w:left="2280" w:hanging="72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5" w15:restartNumberingAfterBreak="0">
    <w:nsid w:val="3DED65B2"/>
    <w:multiLevelType w:val="hybridMultilevel"/>
    <w:tmpl w:val="1FCE9B1E"/>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5C860664">
      <w:start w:val="1"/>
      <w:numFmt w:val="lowerLetter"/>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E7249C9"/>
    <w:multiLevelType w:val="hybridMultilevel"/>
    <w:tmpl w:val="488EC03A"/>
    <w:lvl w:ilvl="0" w:tplc="34A4ED46">
      <w:start w:val="1"/>
      <w:numFmt w:val="bullet"/>
      <w:lvlText w:val=""/>
      <w:lvlJc w:val="left"/>
      <w:pPr>
        <w:tabs>
          <w:tab w:val="num" w:pos="720"/>
        </w:tabs>
        <w:ind w:left="720" w:hanging="36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846D1C"/>
    <w:multiLevelType w:val="multilevel"/>
    <w:tmpl w:val="33D62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9947C00"/>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4BD4525F"/>
    <w:multiLevelType w:val="hybridMultilevel"/>
    <w:tmpl w:val="B268CD1A"/>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4DCE1B39"/>
    <w:multiLevelType w:val="hybridMultilevel"/>
    <w:tmpl w:val="324E3E4C"/>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21" w15:restartNumberingAfterBreak="0">
    <w:nsid w:val="4F4250BF"/>
    <w:multiLevelType w:val="hybridMultilevel"/>
    <w:tmpl w:val="83FE4D62"/>
    <w:lvl w:ilvl="0" w:tplc="0809000F">
      <w:start w:val="1"/>
      <w:numFmt w:val="decimal"/>
      <w:lvlText w:val="%1."/>
      <w:lvlJc w:val="left"/>
      <w:pPr>
        <w:tabs>
          <w:tab w:val="num" w:pos="927"/>
        </w:tabs>
        <w:ind w:left="927" w:hanging="360"/>
      </w:pPr>
    </w:lvl>
    <w:lvl w:ilvl="1" w:tplc="08090019">
      <w:start w:val="1"/>
      <w:numFmt w:val="lowerLetter"/>
      <w:lvlText w:val="%2."/>
      <w:lvlJc w:val="left"/>
      <w:pPr>
        <w:tabs>
          <w:tab w:val="num" w:pos="1647"/>
        </w:tabs>
        <w:ind w:left="1647"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2" w15:restartNumberingAfterBreak="0">
    <w:nsid w:val="55B25D3E"/>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B4121BF"/>
    <w:multiLevelType w:val="hybridMultilevel"/>
    <w:tmpl w:val="7B80404E"/>
    <w:lvl w:ilvl="0" w:tplc="83BC566A">
      <w:start w:val="3"/>
      <w:numFmt w:val="bullet"/>
      <w:lvlText w:val="-"/>
      <w:lvlJc w:val="left"/>
      <w:pPr>
        <w:tabs>
          <w:tab w:val="num" w:pos="1570"/>
        </w:tabs>
        <w:ind w:left="1570" w:hanging="360"/>
      </w:pPr>
      <w:rPr>
        <w:rFonts w:ascii="Book Antiqua" w:eastAsia="Times New Roman" w:hAnsi="Book Antiqua" w:cs="Times New Roman" w:hint="default"/>
      </w:rPr>
    </w:lvl>
    <w:lvl w:ilvl="1" w:tplc="08090003">
      <w:start w:val="1"/>
      <w:numFmt w:val="bullet"/>
      <w:lvlText w:val="o"/>
      <w:lvlJc w:val="left"/>
      <w:pPr>
        <w:tabs>
          <w:tab w:val="num" w:pos="2290"/>
        </w:tabs>
        <w:ind w:left="2290" w:hanging="360"/>
      </w:pPr>
      <w:rPr>
        <w:rFonts w:ascii="Courier New" w:hAnsi="Courier New" w:cs="Courier New" w:hint="default"/>
      </w:rPr>
    </w:lvl>
    <w:lvl w:ilvl="2" w:tplc="08090005" w:tentative="1">
      <w:start w:val="1"/>
      <w:numFmt w:val="bullet"/>
      <w:lvlText w:val=""/>
      <w:lvlJc w:val="left"/>
      <w:pPr>
        <w:tabs>
          <w:tab w:val="num" w:pos="3010"/>
        </w:tabs>
        <w:ind w:left="3010" w:hanging="360"/>
      </w:pPr>
      <w:rPr>
        <w:rFonts w:ascii="Wingdings" w:hAnsi="Wingdings" w:hint="default"/>
      </w:rPr>
    </w:lvl>
    <w:lvl w:ilvl="3" w:tplc="08090001" w:tentative="1">
      <w:start w:val="1"/>
      <w:numFmt w:val="bullet"/>
      <w:lvlText w:val=""/>
      <w:lvlJc w:val="left"/>
      <w:pPr>
        <w:tabs>
          <w:tab w:val="num" w:pos="3730"/>
        </w:tabs>
        <w:ind w:left="3730" w:hanging="360"/>
      </w:pPr>
      <w:rPr>
        <w:rFonts w:ascii="Symbol" w:hAnsi="Symbol" w:hint="default"/>
      </w:rPr>
    </w:lvl>
    <w:lvl w:ilvl="4" w:tplc="08090003" w:tentative="1">
      <w:start w:val="1"/>
      <w:numFmt w:val="bullet"/>
      <w:lvlText w:val="o"/>
      <w:lvlJc w:val="left"/>
      <w:pPr>
        <w:tabs>
          <w:tab w:val="num" w:pos="4450"/>
        </w:tabs>
        <w:ind w:left="4450" w:hanging="360"/>
      </w:pPr>
      <w:rPr>
        <w:rFonts w:ascii="Courier New" w:hAnsi="Courier New" w:cs="Courier New" w:hint="default"/>
      </w:rPr>
    </w:lvl>
    <w:lvl w:ilvl="5" w:tplc="08090005" w:tentative="1">
      <w:start w:val="1"/>
      <w:numFmt w:val="bullet"/>
      <w:lvlText w:val=""/>
      <w:lvlJc w:val="left"/>
      <w:pPr>
        <w:tabs>
          <w:tab w:val="num" w:pos="5170"/>
        </w:tabs>
        <w:ind w:left="5170" w:hanging="360"/>
      </w:pPr>
      <w:rPr>
        <w:rFonts w:ascii="Wingdings" w:hAnsi="Wingdings" w:hint="default"/>
      </w:rPr>
    </w:lvl>
    <w:lvl w:ilvl="6" w:tplc="08090001" w:tentative="1">
      <w:start w:val="1"/>
      <w:numFmt w:val="bullet"/>
      <w:lvlText w:val=""/>
      <w:lvlJc w:val="left"/>
      <w:pPr>
        <w:tabs>
          <w:tab w:val="num" w:pos="5890"/>
        </w:tabs>
        <w:ind w:left="5890" w:hanging="360"/>
      </w:pPr>
      <w:rPr>
        <w:rFonts w:ascii="Symbol" w:hAnsi="Symbol" w:hint="default"/>
      </w:rPr>
    </w:lvl>
    <w:lvl w:ilvl="7" w:tplc="08090003" w:tentative="1">
      <w:start w:val="1"/>
      <w:numFmt w:val="bullet"/>
      <w:lvlText w:val="o"/>
      <w:lvlJc w:val="left"/>
      <w:pPr>
        <w:tabs>
          <w:tab w:val="num" w:pos="6610"/>
        </w:tabs>
        <w:ind w:left="6610" w:hanging="360"/>
      </w:pPr>
      <w:rPr>
        <w:rFonts w:ascii="Courier New" w:hAnsi="Courier New" w:cs="Courier New" w:hint="default"/>
      </w:rPr>
    </w:lvl>
    <w:lvl w:ilvl="8" w:tplc="08090005" w:tentative="1">
      <w:start w:val="1"/>
      <w:numFmt w:val="bullet"/>
      <w:lvlText w:val=""/>
      <w:lvlJc w:val="left"/>
      <w:pPr>
        <w:tabs>
          <w:tab w:val="num" w:pos="7330"/>
        </w:tabs>
        <w:ind w:left="7330" w:hanging="360"/>
      </w:pPr>
      <w:rPr>
        <w:rFonts w:ascii="Wingdings" w:hAnsi="Wingdings" w:hint="default"/>
      </w:rPr>
    </w:lvl>
  </w:abstractNum>
  <w:abstractNum w:abstractNumId="24" w15:restartNumberingAfterBreak="0">
    <w:nsid w:val="65786B74"/>
    <w:multiLevelType w:val="hybridMultilevel"/>
    <w:tmpl w:val="12F6C9DA"/>
    <w:lvl w:ilvl="0" w:tplc="BD004A4E">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681C55F3"/>
    <w:multiLevelType w:val="hybridMultilevel"/>
    <w:tmpl w:val="3968C7C4"/>
    <w:lvl w:ilvl="0" w:tplc="08090013">
      <w:start w:val="1"/>
      <w:numFmt w:val="upperRoman"/>
      <w:lvlText w:val="%1."/>
      <w:lvlJc w:val="right"/>
      <w:pPr>
        <w:tabs>
          <w:tab w:val="num" w:pos="3528"/>
        </w:tabs>
        <w:ind w:left="3528" w:hanging="180"/>
      </w:pPr>
    </w:lvl>
    <w:lvl w:ilvl="1" w:tplc="08090019" w:tentative="1">
      <w:start w:val="1"/>
      <w:numFmt w:val="lowerLetter"/>
      <w:lvlText w:val="%2."/>
      <w:lvlJc w:val="left"/>
      <w:pPr>
        <w:tabs>
          <w:tab w:val="num" w:pos="4248"/>
        </w:tabs>
        <w:ind w:left="4248" w:hanging="360"/>
      </w:pPr>
    </w:lvl>
    <w:lvl w:ilvl="2" w:tplc="0809001B" w:tentative="1">
      <w:start w:val="1"/>
      <w:numFmt w:val="lowerRoman"/>
      <w:lvlText w:val="%3."/>
      <w:lvlJc w:val="right"/>
      <w:pPr>
        <w:tabs>
          <w:tab w:val="num" w:pos="4968"/>
        </w:tabs>
        <w:ind w:left="4968" w:hanging="180"/>
      </w:pPr>
    </w:lvl>
    <w:lvl w:ilvl="3" w:tplc="0809000F" w:tentative="1">
      <w:start w:val="1"/>
      <w:numFmt w:val="decimal"/>
      <w:lvlText w:val="%4."/>
      <w:lvlJc w:val="left"/>
      <w:pPr>
        <w:tabs>
          <w:tab w:val="num" w:pos="5688"/>
        </w:tabs>
        <w:ind w:left="5688" w:hanging="360"/>
      </w:pPr>
    </w:lvl>
    <w:lvl w:ilvl="4" w:tplc="08090019" w:tentative="1">
      <w:start w:val="1"/>
      <w:numFmt w:val="lowerLetter"/>
      <w:lvlText w:val="%5."/>
      <w:lvlJc w:val="left"/>
      <w:pPr>
        <w:tabs>
          <w:tab w:val="num" w:pos="6408"/>
        </w:tabs>
        <w:ind w:left="6408" w:hanging="360"/>
      </w:pPr>
    </w:lvl>
    <w:lvl w:ilvl="5" w:tplc="0809001B" w:tentative="1">
      <w:start w:val="1"/>
      <w:numFmt w:val="lowerRoman"/>
      <w:lvlText w:val="%6."/>
      <w:lvlJc w:val="right"/>
      <w:pPr>
        <w:tabs>
          <w:tab w:val="num" w:pos="7128"/>
        </w:tabs>
        <w:ind w:left="7128" w:hanging="180"/>
      </w:pPr>
    </w:lvl>
    <w:lvl w:ilvl="6" w:tplc="0809000F" w:tentative="1">
      <w:start w:val="1"/>
      <w:numFmt w:val="decimal"/>
      <w:lvlText w:val="%7."/>
      <w:lvlJc w:val="left"/>
      <w:pPr>
        <w:tabs>
          <w:tab w:val="num" w:pos="7848"/>
        </w:tabs>
        <w:ind w:left="7848" w:hanging="360"/>
      </w:pPr>
    </w:lvl>
    <w:lvl w:ilvl="7" w:tplc="08090019" w:tentative="1">
      <w:start w:val="1"/>
      <w:numFmt w:val="lowerLetter"/>
      <w:lvlText w:val="%8."/>
      <w:lvlJc w:val="left"/>
      <w:pPr>
        <w:tabs>
          <w:tab w:val="num" w:pos="8568"/>
        </w:tabs>
        <w:ind w:left="8568" w:hanging="360"/>
      </w:pPr>
    </w:lvl>
    <w:lvl w:ilvl="8" w:tplc="0809001B" w:tentative="1">
      <w:start w:val="1"/>
      <w:numFmt w:val="lowerRoman"/>
      <w:lvlText w:val="%9."/>
      <w:lvlJc w:val="right"/>
      <w:pPr>
        <w:tabs>
          <w:tab w:val="num" w:pos="9288"/>
        </w:tabs>
        <w:ind w:left="9288" w:hanging="180"/>
      </w:pPr>
    </w:lvl>
  </w:abstractNum>
  <w:abstractNum w:abstractNumId="26" w15:restartNumberingAfterBreak="0">
    <w:nsid w:val="710059E9"/>
    <w:multiLevelType w:val="hybridMultilevel"/>
    <w:tmpl w:val="4920DDC6"/>
    <w:lvl w:ilvl="0" w:tplc="0809000F">
      <w:start w:val="76"/>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781E593A"/>
    <w:multiLevelType w:val="hybridMultilevel"/>
    <w:tmpl w:val="CCDC9F84"/>
    <w:lvl w:ilvl="0" w:tplc="FFFFFFFF">
      <w:start w:val="1"/>
      <w:numFmt w:val="decimal"/>
      <w:lvlText w:val="%1."/>
      <w:lvlJc w:val="left"/>
      <w:pPr>
        <w:tabs>
          <w:tab w:val="num" w:pos="1560"/>
        </w:tabs>
        <w:ind w:left="1560" w:hanging="570"/>
      </w:pPr>
    </w:lvl>
    <w:lvl w:ilvl="1" w:tplc="08090019">
      <w:start w:val="1"/>
      <w:numFmt w:val="lowerLetter"/>
      <w:lvlText w:val="%2."/>
      <w:lvlJc w:val="left"/>
      <w:pPr>
        <w:tabs>
          <w:tab w:val="num" w:pos="2070"/>
        </w:tabs>
        <w:ind w:left="2070" w:hanging="360"/>
      </w:pPr>
    </w:lvl>
    <w:lvl w:ilvl="2" w:tplc="0809001B" w:tentative="1">
      <w:start w:val="1"/>
      <w:numFmt w:val="lowerRoman"/>
      <w:lvlText w:val="%3."/>
      <w:lvlJc w:val="right"/>
      <w:pPr>
        <w:tabs>
          <w:tab w:val="num" w:pos="2790"/>
        </w:tabs>
        <w:ind w:left="2790" w:hanging="180"/>
      </w:pPr>
    </w:lvl>
    <w:lvl w:ilvl="3" w:tplc="0809000F" w:tentative="1">
      <w:start w:val="1"/>
      <w:numFmt w:val="decimal"/>
      <w:lvlText w:val="%4."/>
      <w:lvlJc w:val="left"/>
      <w:pPr>
        <w:tabs>
          <w:tab w:val="num" w:pos="3510"/>
        </w:tabs>
        <w:ind w:left="3510" w:hanging="360"/>
      </w:pPr>
    </w:lvl>
    <w:lvl w:ilvl="4" w:tplc="08090019" w:tentative="1">
      <w:start w:val="1"/>
      <w:numFmt w:val="lowerLetter"/>
      <w:lvlText w:val="%5."/>
      <w:lvlJc w:val="left"/>
      <w:pPr>
        <w:tabs>
          <w:tab w:val="num" w:pos="4230"/>
        </w:tabs>
        <w:ind w:left="4230" w:hanging="360"/>
      </w:pPr>
    </w:lvl>
    <w:lvl w:ilvl="5" w:tplc="0809001B" w:tentative="1">
      <w:start w:val="1"/>
      <w:numFmt w:val="lowerRoman"/>
      <w:lvlText w:val="%6."/>
      <w:lvlJc w:val="right"/>
      <w:pPr>
        <w:tabs>
          <w:tab w:val="num" w:pos="4950"/>
        </w:tabs>
        <w:ind w:left="4950" w:hanging="180"/>
      </w:pPr>
    </w:lvl>
    <w:lvl w:ilvl="6" w:tplc="0809000F" w:tentative="1">
      <w:start w:val="1"/>
      <w:numFmt w:val="decimal"/>
      <w:lvlText w:val="%7."/>
      <w:lvlJc w:val="left"/>
      <w:pPr>
        <w:tabs>
          <w:tab w:val="num" w:pos="5670"/>
        </w:tabs>
        <w:ind w:left="5670" w:hanging="360"/>
      </w:pPr>
    </w:lvl>
    <w:lvl w:ilvl="7" w:tplc="08090019" w:tentative="1">
      <w:start w:val="1"/>
      <w:numFmt w:val="lowerLetter"/>
      <w:lvlText w:val="%8."/>
      <w:lvlJc w:val="left"/>
      <w:pPr>
        <w:tabs>
          <w:tab w:val="num" w:pos="6390"/>
        </w:tabs>
        <w:ind w:left="6390" w:hanging="360"/>
      </w:pPr>
    </w:lvl>
    <w:lvl w:ilvl="8" w:tplc="0809001B" w:tentative="1">
      <w:start w:val="1"/>
      <w:numFmt w:val="lowerRoman"/>
      <w:lvlText w:val="%9."/>
      <w:lvlJc w:val="right"/>
      <w:pPr>
        <w:tabs>
          <w:tab w:val="num" w:pos="7110"/>
        </w:tabs>
        <w:ind w:left="7110" w:hanging="180"/>
      </w:pPr>
    </w:lvl>
  </w:abstractNum>
  <w:abstractNum w:abstractNumId="28" w15:restartNumberingAfterBreak="0">
    <w:nsid w:val="79410371"/>
    <w:multiLevelType w:val="hybridMultilevel"/>
    <w:tmpl w:val="0EF63250"/>
    <w:lvl w:ilvl="0" w:tplc="08090019">
      <w:start w:val="1"/>
      <w:numFmt w:val="lowerLetter"/>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num w:numId="1">
    <w:abstractNumId w:val="5"/>
  </w:num>
  <w:num w:numId="2">
    <w:abstractNumId w:val="16"/>
  </w:num>
  <w:num w:numId="3">
    <w:abstractNumId w:val="2"/>
  </w:num>
  <w:num w:numId="4">
    <w:abstractNumId w:val="11"/>
  </w:num>
  <w:num w:numId="5">
    <w:abstractNumId w:val="23"/>
  </w:num>
  <w:num w:numId="6">
    <w:abstractNumId w:val="26"/>
  </w:num>
  <w:num w:numId="7">
    <w:abstractNumId w:val="24"/>
  </w:num>
  <w:num w:numId="8">
    <w:abstractNumId w:val="28"/>
  </w:num>
  <w:num w:numId="9">
    <w:abstractNumId w:val="10"/>
  </w:num>
  <w:num w:numId="10">
    <w:abstractNumId w:val="15"/>
  </w:num>
  <w:num w:numId="11">
    <w:abstractNumId w:val="1"/>
  </w:num>
  <w:num w:numId="12">
    <w:abstractNumId w:val="9"/>
  </w:num>
  <w:num w:numId="13">
    <w:abstractNumId w:val="0"/>
  </w:num>
  <w:num w:numId="14">
    <w:abstractNumId w:val="18"/>
  </w:num>
  <w:num w:numId="15">
    <w:abstractNumId w:val="20"/>
  </w:num>
  <w:num w:numId="16">
    <w:abstractNumId w:val="22"/>
  </w:num>
  <w:num w:numId="17">
    <w:abstractNumId w:val="19"/>
  </w:num>
  <w:num w:numId="18">
    <w:abstractNumId w:val="7"/>
  </w:num>
  <w:num w:numId="19">
    <w:abstractNumId w:val="13"/>
  </w:num>
  <w:num w:numId="20">
    <w:abstractNumId w:val="3"/>
  </w:num>
  <w:num w:numId="21">
    <w:abstractNumId w:val="25"/>
  </w:num>
  <w:num w:numId="22">
    <w:abstractNumId w:val="4"/>
  </w:num>
  <w:num w:numId="23">
    <w:abstractNumId w:val="12"/>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27"/>
  </w:num>
  <w:num w:numId="29">
    <w:abstractNumId w:val="8"/>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04BF0"/>
    <w:rsid w:val="000111A3"/>
    <w:rsid w:val="00015FC4"/>
    <w:rsid w:val="00023FF2"/>
    <w:rsid w:val="00026617"/>
    <w:rsid w:val="00033D3D"/>
    <w:rsid w:val="00036813"/>
    <w:rsid w:val="00051C2D"/>
    <w:rsid w:val="00062F02"/>
    <w:rsid w:val="000645AE"/>
    <w:rsid w:val="00071A7E"/>
    <w:rsid w:val="00072129"/>
    <w:rsid w:val="00073585"/>
    <w:rsid w:val="000746C0"/>
    <w:rsid w:val="00074D1D"/>
    <w:rsid w:val="00077501"/>
    <w:rsid w:val="00082D15"/>
    <w:rsid w:val="00087276"/>
    <w:rsid w:val="00090CF9"/>
    <w:rsid w:val="00092580"/>
    <w:rsid w:val="00093D4D"/>
    <w:rsid w:val="000A0A34"/>
    <w:rsid w:val="000B2298"/>
    <w:rsid w:val="000C0541"/>
    <w:rsid w:val="000C44DA"/>
    <w:rsid w:val="000C69CA"/>
    <w:rsid w:val="000D572B"/>
    <w:rsid w:val="000D5D94"/>
    <w:rsid w:val="000E3782"/>
    <w:rsid w:val="000F1A0E"/>
    <w:rsid w:val="000F1BC5"/>
    <w:rsid w:val="000F3C7A"/>
    <w:rsid w:val="000F50A8"/>
    <w:rsid w:val="001015A2"/>
    <w:rsid w:val="001022EC"/>
    <w:rsid w:val="001165A7"/>
    <w:rsid w:val="00126036"/>
    <w:rsid w:val="00152C19"/>
    <w:rsid w:val="00165516"/>
    <w:rsid w:val="00167D3A"/>
    <w:rsid w:val="00171775"/>
    <w:rsid w:val="00172D1A"/>
    <w:rsid w:val="00173551"/>
    <w:rsid w:val="00181749"/>
    <w:rsid w:val="00186868"/>
    <w:rsid w:val="00190848"/>
    <w:rsid w:val="001A3082"/>
    <w:rsid w:val="001B0E9E"/>
    <w:rsid w:val="001B186A"/>
    <w:rsid w:val="001B2F75"/>
    <w:rsid w:val="001C715E"/>
    <w:rsid w:val="001D14B9"/>
    <w:rsid w:val="001D3CBB"/>
    <w:rsid w:val="001E0E74"/>
    <w:rsid w:val="001F2716"/>
    <w:rsid w:val="001F4A9C"/>
    <w:rsid w:val="001F6F7E"/>
    <w:rsid w:val="002064B8"/>
    <w:rsid w:val="00206D4B"/>
    <w:rsid w:val="00207617"/>
    <w:rsid w:val="0021104D"/>
    <w:rsid w:val="00212C9C"/>
    <w:rsid w:val="0023134B"/>
    <w:rsid w:val="00232618"/>
    <w:rsid w:val="00232E7A"/>
    <w:rsid w:val="00233CF5"/>
    <w:rsid w:val="00242BC1"/>
    <w:rsid w:val="00247922"/>
    <w:rsid w:val="002635B3"/>
    <w:rsid w:val="00267DEE"/>
    <w:rsid w:val="0027048E"/>
    <w:rsid w:val="00270844"/>
    <w:rsid w:val="00270E13"/>
    <w:rsid w:val="00271186"/>
    <w:rsid w:val="00273160"/>
    <w:rsid w:val="002774EE"/>
    <w:rsid w:val="002814F4"/>
    <w:rsid w:val="00283659"/>
    <w:rsid w:val="00290C6F"/>
    <w:rsid w:val="00296D48"/>
    <w:rsid w:val="002A224B"/>
    <w:rsid w:val="002A67C1"/>
    <w:rsid w:val="002B6EE0"/>
    <w:rsid w:val="002C6BD4"/>
    <w:rsid w:val="002D3F52"/>
    <w:rsid w:val="002D68BF"/>
    <w:rsid w:val="002D6D9A"/>
    <w:rsid w:val="002E151A"/>
    <w:rsid w:val="002E575D"/>
    <w:rsid w:val="002F12D1"/>
    <w:rsid w:val="002F2F63"/>
    <w:rsid w:val="002F5398"/>
    <w:rsid w:val="002F6B98"/>
    <w:rsid w:val="003161B0"/>
    <w:rsid w:val="00322A5E"/>
    <w:rsid w:val="003306AF"/>
    <w:rsid w:val="00336CBF"/>
    <w:rsid w:val="00337CE6"/>
    <w:rsid w:val="00342F01"/>
    <w:rsid w:val="00343FE3"/>
    <w:rsid w:val="003509D4"/>
    <w:rsid w:val="003546C8"/>
    <w:rsid w:val="00354DD7"/>
    <w:rsid w:val="003645CD"/>
    <w:rsid w:val="00365573"/>
    <w:rsid w:val="00373539"/>
    <w:rsid w:val="00381CAE"/>
    <w:rsid w:val="00386793"/>
    <w:rsid w:val="00394820"/>
    <w:rsid w:val="003A3EB7"/>
    <w:rsid w:val="003A7CF2"/>
    <w:rsid w:val="003C0E80"/>
    <w:rsid w:val="003C5CE5"/>
    <w:rsid w:val="003C5D94"/>
    <w:rsid w:val="003E1F16"/>
    <w:rsid w:val="003E260A"/>
    <w:rsid w:val="003E267B"/>
    <w:rsid w:val="003E7CD1"/>
    <w:rsid w:val="004024BC"/>
    <w:rsid w:val="0040281D"/>
    <w:rsid w:val="00402B9E"/>
    <w:rsid w:val="00406F0F"/>
    <w:rsid w:val="004106DE"/>
    <w:rsid w:val="00415F05"/>
    <w:rsid w:val="00420DA0"/>
    <w:rsid w:val="00422F82"/>
    <w:rsid w:val="00423156"/>
    <w:rsid w:val="004249CB"/>
    <w:rsid w:val="00424B1D"/>
    <w:rsid w:val="0043425E"/>
    <w:rsid w:val="0044127D"/>
    <w:rsid w:val="004448DB"/>
    <w:rsid w:val="00446C9A"/>
    <w:rsid w:val="00452EA8"/>
    <w:rsid w:val="00452F2B"/>
    <w:rsid w:val="004751B6"/>
    <w:rsid w:val="00477193"/>
    <w:rsid w:val="0048742E"/>
    <w:rsid w:val="004A0BEA"/>
    <w:rsid w:val="004A1848"/>
    <w:rsid w:val="004A6F4A"/>
    <w:rsid w:val="004B1D2E"/>
    <w:rsid w:val="004B4E0D"/>
    <w:rsid w:val="004C773C"/>
    <w:rsid w:val="004D2C44"/>
    <w:rsid w:val="004D32F6"/>
    <w:rsid w:val="004E416B"/>
    <w:rsid w:val="004E4717"/>
    <w:rsid w:val="004F166C"/>
    <w:rsid w:val="004F77C5"/>
    <w:rsid w:val="005035E7"/>
    <w:rsid w:val="00507FEC"/>
    <w:rsid w:val="00510F0E"/>
    <w:rsid w:val="005176C7"/>
    <w:rsid w:val="00530192"/>
    <w:rsid w:val="005337DB"/>
    <w:rsid w:val="005479E1"/>
    <w:rsid w:val="00550CF9"/>
    <w:rsid w:val="0055283B"/>
    <w:rsid w:val="00553E0A"/>
    <w:rsid w:val="005570FD"/>
    <w:rsid w:val="005575EA"/>
    <w:rsid w:val="00562348"/>
    <w:rsid w:val="005656DF"/>
    <w:rsid w:val="00570EF1"/>
    <w:rsid w:val="0057323B"/>
    <w:rsid w:val="005750C2"/>
    <w:rsid w:val="0057790C"/>
    <w:rsid w:val="00583686"/>
    <w:rsid w:val="00593795"/>
    <w:rsid w:val="00593821"/>
    <w:rsid w:val="005965E5"/>
    <w:rsid w:val="005966DA"/>
    <w:rsid w:val="005A0343"/>
    <w:rsid w:val="005A549B"/>
    <w:rsid w:val="005A75FF"/>
    <w:rsid w:val="005B0A90"/>
    <w:rsid w:val="005D10AB"/>
    <w:rsid w:val="005E52F3"/>
    <w:rsid w:val="005F0ED1"/>
    <w:rsid w:val="005F1869"/>
    <w:rsid w:val="005F484F"/>
    <w:rsid w:val="0060112E"/>
    <w:rsid w:val="00601D8F"/>
    <w:rsid w:val="0060237D"/>
    <w:rsid w:val="006061F8"/>
    <w:rsid w:val="00611276"/>
    <w:rsid w:val="00624F1A"/>
    <w:rsid w:val="0062579D"/>
    <w:rsid w:val="00630C34"/>
    <w:rsid w:val="00633D25"/>
    <w:rsid w:val="00641165"/>
    <w:rsid w:val="00645E92"/>
    <w:rsid w:val="00653E97"/>
    <w:rsid w:val="006664A5"/>
    <w:rsid w:val="00673E8F"/>
    <w:rsid w:val="006750D2"/>
    <w:rsid w:val="00680319"/>
    <w:rsid w:val="00683EEF"/>
    <w:rsid w:val="00684A74"/>
    <w:rsid w:val="00690B8A"/>
    <w:rsid w:val="006A345A"/>
    <w:rsid w:val="006A405B"/>
    <w:rsid w:val="006B0197"/>
    <w:rsid w:val="006B1AB5"/>
    <w:rsid w:val="006B57D6"/>
    <w:rsid w:val="006D333C"/>
    <w:rsid w:val="006E08A1"/>
    <w:rsid w:val="006E46D9"/>
    <w:rsid w:val="006F2CF1"/>
    <w:rsid w:val="006F43A2"/>
    <w:rsid w:val="006F668F"/>
    <w:rsid w:val="007038ED"/>
    <w:rsid w:val="00703BC3"/>
    <w:rsid w:val="00704B61"/>
    <w:rsid w:val="00714348"/>
    <w:rsid w:val="00717C98"/>
    <w:rsid w:val="0072121B"/>
    <w:rsid w:val="00721E7A"/>
    <w:rsid w:val="00723292"/>
    <w:rsid w:val="007243EE"/>
    <w:rsid w:val="007334B3"/>
    <w:rsid w:val="00734672"/>
    <w:rsid w:val="0074320E"/>
    <w:rsid w:val="007552A9"/>
    <w:rsid w:val="007601F3"/>
    <w:rsid w:val="00761858"/>
    <w:rsid w:val="007656C6"/>
    <w:rsid w:val="00767D59"/>
    <w:rsid w:val="0077393E"/>
    <w:rsid w:val="00776E97"/>
    <w:rsid w:val="00780F86"/>
    <w:rsid w:val="00782743"/>
    <w:rsid w:val="00784D03"/>
    <w:rsid w:val="007912AD"/>
    <w:rsid w:val="007937AD"/>
    <w:rsid w:val="00796712"/>
    <w:rsid w:val="007A7B35"/>
    <w:rsid w:val="007B0824"/>
    <w:rsid w:val="007B5D3C"/>
    <w:rsid w:val="007B7552"/>
    <w:rsid w:val="007D6EAB"/>
    <w:rsid w:val="007E37AC"/>
    <w:rsid w:val="007F665C"/>
    <w:rsid w:val="00800360"/>
    <w:rsid w:val="00813C29"/>
    <w:rsid w:val="00815082"/>
    <w:rsid w:val="00821B72"/>
    <w:rsid w:val="008226DD"/>
    <w:rsid w:val="00823EF2"/>
    <w:rsid w:val="00825109"/>
    <w:rsid w:val="008303B8"/>
    <w:rsid w:val="00833DCE"/>
    <w:rsid w:val="00844156"/>
    <w:rsid w:val="00846BE3"/>
    <w:rsid w:val="00846D61"/>
    <w:rsid w:val="0085282C"/>
    <w:rsid w:val="00852DCE"/>
    <w:rsid w:val="00852F5A"/>
    <w:rsid w:val="008578D0"/>
    <w:rsid w:val="00861DFF"/>
    <w:rsid w:val="00866A97"/>
    <w:rsid w:val="00870267"/>
    <w:rsid w:val="00871D34"/>
    <w:rsid w:val="00874C7E"/>
    <w:rsid w:val="008825F7"/>
    <w:rsid w:val="00894951"/>
    <w:rsid w:val="00895F9E"/>
    <w:rsid w:val="008A37E3"/>
    <w:rsid w:val="008B270C"/>
    <w:rsid w:val="008B5078"/>
    <w:rsid w:val="008C3D3D"/>
    <w:rsid w:val="008C71A2"/>
    <w:rsid w:val="008D382E"/>
    <w:rsid w:val="008D4131"/>
    <w:rsid w:val="008F1932"/>
    <w:rsid w:val="008F1E92"/>
    <w:rsid w:val="00903C06"/>
    <w:rsid w:val="009162E8"/>
    <w:rsid w:val="009164EF"/>
    <w:rsid w:val="00921062"/>
    <w:rsid w:val="00924E18"/>
    <w:rsid w:val="00925AB2"/>
    <w:rsid w:val="009722BC"/>
    <w:rsid w:val="0097235D"/>
    <w:rsid w:val="009727A3"/>
    <w:rsid w:val="0097577A"/>
    <w:rsid w:val="00977E5A"/>
    <w:rsid w:val="009873DD"/>
    <w:rsid w:val="00987774"/>
    <w:rsid w:val="00990CF3"/>
    <w:rsid w:val="009922DF"/>
    <w:rsid w:val="00992C74"/>
    <w:rsid w:val="009A0F09"/>
    <w:rsid w:val="009A11E8"/>
    <w:rsid w:val="009A2B75"/>
    <w:rsid w:val="009C1F89"/>
    <w:rsid w:val="009C2408"/>
    <w:rsid w:val="009C40B8"/>
    <w:rsid w:val="009C6CC6"/>
    <w:rsid w:val="009D055C"/>
    <w:rsid w:val="009F5220"/>
    <w:rsid w:val="009F526C"/>
    <w:rsid w:val="009F637C"/>
    <w:rsid w:val="00A15234"/>
    <w:rsid w:val="00A201AB"/>
    <w:rsid w:val="00A27297"/>
    <w:rsid w:val="00A31C8B"/>
    <w:rsid w:val="00A343D8"/>
    <w:rsid w:val="00A35CFC"/>
    <w:rsid w:val="00A47FBC"/>
    <w:rsid w:val="00A509FA"/>
    <w:rsid w:val="00A5238A"/>
    <w:rsid w:val="00A5334F"/>
    <w:rsid w:val="00A61D5D"/>
    <w:rsid w:val="00A67250"/>
    <w:rsid w:val="00A719B9"/>
    <w:rsid w:val="00A845DC"/>
    <w:rsid w:val="00A878ED"/>
    <w:rsid w:val="00A905CD"/>
    <w:rsid w:val="00A91607"/>
    <w:rsid w:val="00A91E1E"/>
    <w:rsid w:val="00AA4965"/>
    <w:rsid w:val="00AA7A2D"/>
    <w:rsid w:val="00AB0287"/>
    <w:rsid w:val="00AB15C9"/>
    <w:rsid w:val="00AB6C32"/>
    <w:rsid w:val="00AC664C"/>
    <w:rsid w:val="00AC6A9F"/>
    <w:rsid w:val="00AD022D"/>
    <w:rsid w:val="00AD27F4"/>
    <w:rsid w:val="00AE1907"/>
    <w:rsid w:val="00AF39EB"/>
    <w:rsid w:val="00B0097A"/>
    <w:rsid w:val="00B03496"/>
    <w:rsid w:val="00B03A37"/>
    <w:rsid w:val="00B10A9C"/>
    <w:rsid w:val="00B11FCD"/>
    <w:rsid w:val="00B16846"/>
    <w:rsid w:val="00B26AA2"/>
    <w:rsid w:val="00B27DFE"/>
    <w:rsid w:val="00B300CE"/>
    <w:rsid w:val="00B3524D"/>
    <w:rsid w:val="00B37AC9"/>
    <w:rsid w:val="00B40F69"/>
    <w:rsid w:val="00B434A7"/>
    <w:rsid w:val="00B46616"/>
    <w:rsid w:val="00B55768"/>
    <w:rsid w:val="00B564F9"/>
    <w:rsid w:val="00B574ED"/>
    <w:rsid w:val="00B64A78"/>
    <w:rsid w:val="00B668D8"/>
    <w:rsid w:val="00B7040A"/>
    <w:rsid w:val="00B71BF5"/>
    <w:rsid w:val="00B83391"/>
    <w:rsid w:val="00B866FB"/>
    <w:rsid w:val="00B9038B"/>
    <w:rsid w:val="00B914CB"/>
    <w:rsid w:val="00B94048"/>
    <w:rsid w:val="00B95326"/>
    <w:rsid w:val="00BA7391"/>
    <w:rsid w:val="00BB0BED"/>
    <w:rsid w:val="00BB39BE"/>
    <w:rsid w:val="00BB6940"/>
    <w:rsid w:val="00BC3E53"/>
    <w:rsid w:val="00BC7D66"/>
    <w:rsid w:val="00BD06DD"/>
    <w:rsid w:val="00BD4196"/>
    <w:rsid w:val="00BF1A11"/>
    <w:rsid w:val="00BF22CA"/>
    <w:rsid w:val="00BF23BB"/>
    <w:rsid w:val="00BF7921"/>
    <w:rsid w:val="00C0003A"/>
    <w:rsid w:val="00C04F0D"/>
    <w:rsid w:val="00C12F97"/>
    <w:rsid w:val="00C22D9F"/>
    <w:rsid w:val="00C26032"/>
    <w:rsid w:val="00C345E1"/>
    <w:rsid w:val="00C43BFD"/>
    <w:rsid w:val="00C441FD"/>
    <w:rsid w:val="00C468BF"/>
    <w:rsid w:val="00C46F62"/>
    <w:rsid w:val="00C640A8"/>
    <w:rsid w:val="00C64A47"/>
    <w:rsid w:val="00C7704B"/>
    <w:rsid w:val="00C81167"/>
    <w:rsid w:val="00C865C1"/>
    <w:rsid w:val="00C907CB"/>
    <w:rsid w:val="00C951B1"/>
    <w:rsid w:val="00C95BBD"/>
    <w:rsid w:val="00CA107F"/>
    <w:rsid w:val="00CA10A1"/>
    <w:rsid w:val="00CA5CE4"/>
    <w:rsid w:val="00CB6E35"/>
    <w:rsid w:val="00CC3A26"/>
    <w:rsid w:val="00CC6AB3"/>
    <w:rsid w:val="00CE1A46"/>
    <w:rsid w:val="00CE465E"/>
    <w:rsid w:val="00CF14D4"/>
    <w:rsid w:val="00D105F2"/>
    <w:rsid w:val="00D20757"/>
    <w:rsid w:val="00D20AA6"/>
    <w:rsid w:val="00D21B5D"/>
    <w:rsid w:val="00D22636"/>
    <w:rsid w:val="00D273A7"/>
    <w:rsid w:val="00D31443"/>
    <w:rsid w:val="00D3621D"/>
    <w:rsid w:val="00D40FD9"/>
    <w:rsid w:val="00D41962"/>
    <w:rsid w:val="00D463AA"/>
    <w:rsid w:val="00D46C41"/>
    <w:rsid w:val="00D472E1"/>
    <w:rsid w:val="00D53769"/>
    <w:rsid w:val="00D579C1"/>
    <w:rsid w:val="00D70B67"/>
    <w:rsid w:val="00D8561E"/>
    <w:rsid w:val="00D85C13"/>
    <w:rsid w:val="00D86F3A"/>
    <w:rsid w:val="00D9111A"/>
    <w:rsid w:val="00D91BE3"/>
    <w:rsid w:val="00D9326A"/>
    <w:rsid w:val="00D94AFC"/>
    <w:rsid w:val="00DA4D91"/>
    <w:rsid w:val="00DB70AE"/>
    <w:rsid w:val="00DC6C25"/>
    <w:rsid w:val="00DD19E4"/>
    <w:rsid w:val="00DD4630"/>
    <w:rsid w:val="00DD5071"/>
    <w:rsid w:val="00DD5ADB"/>
    <w:rsid w:val="00DD5C39"/>
    <w:rsid w:val="00DD7829"/>
    <w:rsid w:val="00DE6C66"/>
    <w:rsid w:val="00DE7DB7"/>
    <w:rsid w:val="00E00A0A"/>
    <w:rsid w:val="00E066DE"/>
    <w:rsid w:val="00E07F57"/>
    <w:rsid w:val="00E13F63"/>
    <w:rsid w:val="00E13FE0"/>
    <w:rsid w:val="00E30683"/>
    <w:rsid w:val="00E453D8"/>
    <w:rsid w:val="00E50BCE"/>
    <w:rsid w:val="00E574BF"/>
    <w:rsid w:val="00E61292"/>
    <w:rsid w:val="00E77C4D"/>
    <w:rsid w:val="00E80AD9"/>
    <w:rsid w:val="00E81D01"/>
    <w:rsid w:val="00E83C14"/>
    <w:rsid w:val="00E92383"/>
    <w:rsid w:val="00EB2144"/>
    <w:rsid w:val="00EB45D2"/>
    <w:rsid w:val="00ED036F"/>
    <w:rsid w:val="00ED6D23"/>
    <w:rsid w:val="00EE1FA1"/>
    <w:rsid w:val="00EE45D8"/>
    <w:rsid w:val="00EF0787"/>
    <w:rsid w:val="00EF49C7"/>
    <w:rsid w:val="00EF547C"/>
    <w:rsid w:val="00EF5E91"/>
    <w:rsid w:val="00F052AB"/>
    <w:rsid w:val="00F10DE1"/>
    <w:rsid w:val="00F12BB0"/>
    <w:rsid w:val="00F22AA0"/>
    <w:rsid w:val="00F22EDA"/>
    <w:rsid w:val="00F313E3"/>
    <w:rsid w:val="00F52CE2"/>
    <w:rsid w:val="00F563B2"/>
    <w:rsid w:val="00F71D8B"/>
    <w:rsid w:val="00F734A7"/>
    <w:rsid w:val="00F7793D"/>
    <w:rsid w:val="00F829C0"/>
    <w:rsid w:val="00F86938"/>
    <w:rsid w:val="00F902FD"/>
    <w:rsid w:val="00F97703"/>
    <w:rsid w:val="00FA0071"/>
    <w:rsid w:val="00FA1D53"/>
    <w:rsid w:val="00FA77E1"/>
    <w:rsid w:val="00FA7A30"/>
    <w:rsid w:val="00FC20F8"/>
    <w:rsid w:val="00FD50E5"/>
    <w:rsid w:val="00FE06E1"/>
    <w:rsid w:val="00FF2A4A"/>
    <w:rsid w:val="576901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BB4BA1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en-GB" w:eastAsia="en-GB"/>
    </w:rPr>
  </w:style>
  <w:style w:type="paragraph" w:styleId="Heading8">
    <w:name w:val="heading 8"/>
    <w:basedOn w:val="Normal"/>
    <w:next w:val="Normal"/>
    <w:qFormat/>
    <w:rsid w:val="00F22AA0"/>
    <w:pPr>
      <w:keepNext/>
      <w:ind w:left="360"/>
      <w:jc w:val="both"/>
      <w:outlineLvl w:val="7"/>
    </w:pPr>
    <w:rPr>
      <w:rFonts w:ascii="Arial" w:hAnsi="Arial" w:cs="Arial"/>
      <w:b/>
      <w:bC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FootnoteText">
    <w:name w:val="footnote text"/>
    <w:basedOn w:val="Normal"/>
    <w:link w:val="FootnoteTextChar"/>
    <w:semiHidden/>
    <w:rsid w:val="00077501"/>
    <w:rPr>
      <w:rFonts w:ascii="Arial" w:hAnsi="Arial"/>
      <w:sz w:val="20"/>
      <w:szCs w:val="20"/>
    </w:rPr>
  </w:style>
  <w:style w:type="character" w:styleId="FootnoteReference">
    <w:name w:val="footnote reference"/>
    <w:semiHidden/>
    <w:rsid w:val="00077501"/>
    <w:rPr>
      <w:vertAlign w:val="superscript"/>
    </w:rPr>
  </w:style>
  <w:style w:type="character" w:customStyle="1" w:styleId="FootnoteTextChar">
    <w:name w:val="Footnote Text Char"/>
    <w:link w:val="FootnoteText"/>
    <w:rsid w:val="00077501"/>
    <w:rPr>
      <w:rFonts w:ascii="Arial" w:hAnsi="Arial"/>
      <w:lang w:val="en-GB" w:eastAsia="en-GB" w:bidi="ar-SA"/>
    </w:rPr>
  </w:style>
  <w:style w:type="paragraph" w:styleId="EndnoteText">
    <w:name w:val="endnote text"/>
    <w:basedOn w:val="Normal"/>
    <w:semiHidden/>
    <w:rsid w:val="00077501"/>
    <w:pPr>
      <w:ind w:left="360"/>
    </w:pPr>
    <w:rPr>
      <w:rFonts w:ascii="Arial" w:hAnsi="Arial" w:cs="Arial"/>
      <w:sz w:val="20"/>
      <w:szCs w:val="20"/>
    </w:rPr>
  </w:style>
  <w:style w:type="character" w:styleId="EndnoteReference">
    <w:name w:val="endnote reference"/>
    <w:semiHidden/>
    <w:rsid w:val="00077501"/>
    <w:rPr>
      <w:vertAlign w:val="superscript"/>
    </w:rPr>
  </w:style>
  <w:style w:type="paragraph" w:customStyle="1" w:styleId="western">
    <w:name w:val="western"/>
    <w:basedOn w:val="Normal"/>
    <w:rsid w:val="00D70B67"/>
    <w:pPr>
      <w:spacing w:before="100" w:beforeAutospacing="1" w:after="100" w:afterAutospacing="1"/>
    </w:pPr>
    <w:rPr>
      <w:color w:val="000000"/>
    </w:rPr>
  </w:style>
  <w:style w:type="paragraph" w:customStyle="1" w:styleId="TxBrp1">
    <w:name w:val="TxBr_p1"/>
    <w:basedOn w:val="Normal"/>
    <w:rsid w:val="00F22AA0"/>
    <w:pPr>
      <w:tabs>
        <w:tab w:val="left" w:pos="204"/>
      </w:tabs>
      <w:spacing w:line="243" w:lineRule="atLeast"/>
    </w:pPr>
    <w:rPr>
      <w:szCs w:val="20"/>
      <w:lang w:eastAsia="en-US"/>
    </w:rPr>
  </w:style>
  <w:style w:type="paragraph" w:customStyle="1" w:styleId="TxBrp9">
    <w:name w:val="TxBr_p9"/>
    <w:basedOn w:val="Normal"/>
    <w:rsid w:val="00F22AA0"/>
    <w:pPr>
      <w:tabs>
        <w:tab w:val="left" w:pos="204"/>
      </w:tabs>
      <w:spacing w:line="243" w:lineRule="atLeast"/>
      <w:jc w:val="both"/>
    </w:pPr>
    <w:rPr>
      <w:szCs w:val="20"/>
      <w:lang w:eastAsia="en-US"/>
    </w:rPr>
  </w:style>
  <w:style w:type="paragraph" w:styleId="BodyTextIndent">
    <w:name w:val="Body Text Indent"/>
    <w:basedOn w:val="Normal"/>
    <w:rsid w:val="00F22AA0"/>
    <w:pPr>
      <w:ind w:left="1440"/>
      <w:jc w:val="both"/>
    </w:pPr>
    <w:rPr>
      <w:rFonts w:ascii="Courier New" w:hAnsi="Courier New"/>
      <w:szCs w:val="20"/>
      <w:lang w:eastAsia="en-US"/>
    </w:rPr>
  </w:style>
  <w:style w:type="paragraph" w:styleId="ListParagraph">
    <w:name w:val="List Paragraph"/>
    <w:basedOn w:val="Normal"/>
    <w:qFormat/>
    <w:rsid w:val="00BA7391"/>
    <w:pPr>
      <w:ind w:left="720"/>
    </w:pPr>
  </w:style>
  <w:style w:type="paragraph" w:customStyle="1" w:styleId="Default">
    <w:name w:val="Default"/>
    <w:rsid w:val="00296D48"/>
    <w:pPr>
      <w:autoSpaceDE w:val="0"/>
      <w:autoSpaceDN w:val="0"/>
      <w:adjustRightInd w:val="0"/>
    </w:pPr>
    <w:rPr>
      <w:rFonts w:ascii="Georgia" w:hAnsi="Georgia" w:cs="Georgia"/>
      <w:color w:val="000000"/>
      <w:sz w:val="24"/>
      <w:szCs w:val="24"/>
      <w:lang w:val="en-GB" w:eastAsia="en-GB"/>
    </w:rPr>
  </w:style>
  <w:style w:type="paragraph" w:customStyle="1" w:styleId="CM13">
    <w:name w:val="CM13"/>
    <w:basedOn w:val="Default"/>
    <w:next w:val="Default"/>
    <w:rsid w:val="00296D48"/>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4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3274D-9A3D-4A17-9FEE-C27F6710E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1766</Words>
  <Characters>8856</Characters>
  <Application>Microsoft Office Word</Application>
  <DocSecurity>0</DocSecurity>
  <Lines>73</Lines>
  <Paragraphs>21</Paragraphs>
  <ScaleCrop>false</ScaleCrop>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2018-10-03T09:25:00Z</dcterms:created>
  <dcterms:modified xsi:type="dcterms:W3CDTF">2018-10-03T09:25:00Z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