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7AA9" w:rsidRPr="00625E55" w:rsidRDefault="00947AA9" w:rsidP="00947AA9">
      <w:pPr>
        <w:ind w:left="0" w:firstLine="0"/>
        <w:jc w:val="center"/>
        <w:rPr>
          <w:rFonts w:ascii="Book Antiqua" w:eastAsia="Calibri" w:hAnsi="Book Antiqua" w:cs="Arial"/>
          <w:color w:val="000000"/>
          <w:sz w:val="24"/>
          <w:szCs w:val="24"/>
          <w:lang w:eastAsia="en-GB"/>
        </w:rPr>
      </w:pPr>
      <w:bookmarkStart w:id="0" w:name="_GoBack"/>
      <w:bookmarkEnd w:id="0"/>
      <w:r w:rsidRPr="00625E55">
        <w:rPr>
          <w:rFonts w:ascii="Book Antiqua" w:eastAsia="Calibri" w:hAnsi="Book Antiqua" w:cs="Times New Roman"/>
          <w:noProof/>
          <w:sz w:val="24"/>
          <w:szCs w:val="24"/>
          <w:lang w:eastAsia="en-GB"/>
        </w:rPr>
        <w:drawing>
          <wp:inline distT="0" distB="0" distL="0" distR="0" wp14:anchorId="00F369D1" wp14:editId="152F2F46">
            <wp:extent cx="1466850" cy="105727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45"/>
                    <a:stretch>
                      <a:fillRect/>
                    </a:stretch>
                  </pic:blipFill>
                  <pic:spPr bwMode="auto">
                    <a:xfrm>
                      <a:off x="0" y="0"/>
                      <a:ext cx="1466850" cy="1057275"/>
                    </a:xfrm>
                    <a:prstGeom prst="rect">
                      <a:avLst/>
                    </a:prstGeom>
                    <a:noFill/>
                    <a:ln>
                      <a:noFill/>
                    </a:ln>
                  </pic:spPr>
                </pic:pic>
              </a:graphicData>
            </a:graphic>
          </wp:inline>
        </w:drawing>
      </w:r>
    </w:p>
    <w:p w:rsidR="00947AA9" w:rsidRPr="00625E55" w:rsidRDefault="00947AA9" w:rsidP="00947AA9">
      <w:pPr>
        <w:tabs>
          <w:tab w:val="right" w:pos="9720"/>
        </w:tabs>
        <w:ind w:left="0" w:right="-82" w:firstLine="0"/>
        <w:jc w:val="left"/>
        <w:rPr>
          <w:rFonts w:ascii="Book Antiqua" w:eastAsia="Calibri" w:hAnsi="Book Antiqua" w:cs="Arial"/>
          <w:b/>
          <w:color w:val="000000"/>
          <w:sz w:val="24"/>
          <w:szCs w:val="24"/>
          <w:lang w:eastAsia="en-GB"/>
        </w:rPr>
      </w:pPr>
      <w:r w:rsidRPr="00625E55">
        <w:rPr>
          <w:rFonts w:ascii="Book Antiqua" w:eastAsia="Calibri" w:hAnsi="Book Antiqua" w:cs="Arial"/>
          <w:b/>
          <w:color w:val="000000"/>
          <w:sz w:val="24"/>
          <w:szCs w:val="24"/>
          <w:lang w:eastAsia="en-GB"/>
        </w:rPr>
        <w:t xml:space="preserve">Upper Tribunal </w:t>
      </w:r>
    </w:p>
    <w:p w:rsidR="00947AA9" w:rsidRDefault="00947AA9" w:rsidP="00947AA9">
      <w:pPr>
        <w:tabs>
          <w:tab w:val="right" w:pos="9720"/>
        </w:tabs>
        <w:ind w:left="0" w:right="-82" w:firstLine="0"/>
        <w:jc w:val="left"/>
        <w:rPr>
          <w:rFonts w:ascii="Book Antiqua" w:eastAsia="Calibri" w:hAnsi="Book Antiqua" w:cs="Arial"/>
          <w:caps/>
          <w:color w:val="000000"/>
          <w:sz w:val="24"/>
          <w:szCs w:val="24"/>
          <w:lang w:eastAsia="en-GB"/>
        </w:rPr>
      </w:pPr>
      <w:r w:rsidRPr="00625E55">
        <w:rPr>
          <w:rFonts w:ascii="Book Antiqua" w:eastAsia="Calibri" w:hAnsi="Book Antiqua" w:cs="Arial"/>
          <w:b/>
          <w:color w:val="000000"/>
          <w:sz w:val="24"/>
          <w:szCs w:val="24"/>
          <w:lang w:eastAsia="en-GB"/>
        </w:rPr>
        <w:t>(</w:t>
      </w:r>
      <w:r w:rsidR="0087048B">
        <w:rPr>
          <w:rFonts w:ascii="Book Antiqua" w:eastAsia="Calibri" w:hAnsi="Book Antiqua" w:cs="Arial"/>
          <w:b/>
          <w:color w:val="000000"/>
          <w:sz w:val="24"/>
          <w:szCs w:val="24"/>
          <w:lang w:eastAsia="en-GB"/>
        </w:rPr>
        <w:t xml:space="preserve">Immigration and Asylum </w:t>
      </w:r>
      <w:proofErr w:type="gramStart"/>
      <w:r w:rsidR="0087048B">
        <w:rPr>
          <w:rFonts w:ascii="Book Antiqua" w:eastAsia="Calibri" w:hAnsi="Book Antiqua" w:cs="Arial"/>
          <w:b/>
          <w:color w:val="000000"/>
          <w:sz w:val="24"/>
          <w:szCs w:val="24"/>
          <w:lang w:eastAsia="en-GB"/>
        </w:rPr>
        <w:t xml:space="preserve">Chamber)   </w:t>
      </w:r>
      <w:proofErr w:type="gramEnd"/>
      <w:r w:rsidR="0087048B">
        <w:rPr>
          <w:rFonts w:ascii="Book Antiqua" w:eastAsia="Calibri" w:hAnsi="Book Antiqua" w:cs="Arial"/>
          <w:b/>
          <w:color w:val="000000"/>
          <w:sz w:val="24"/>
          <w:szCs w:val="24"/>
          <w:lang w:eastAsia="en-GB"/>
        </w:rPr>
        <w:t xml:space="preserve">                     </w:t>
      </w:r>
      <w:r w:rsidRPr="00BD73EA">
        <w:rPr>
          <w:rFonts w:ascii="Book Antiqua" w:eastAsia="Calibri" w:hAnsi="Book Antiqua" w:cs="Arial"/>
          <w:b/>
          <w:color w:val="000000"/>
          <w:sz w:val="24"/>
          <w:szCs w:val="24"/>
          <w:lang w:eastAsia="en-GB"/>
        </w:rPr>
        <w:t>Appeal Numbers: P</w:t>
      </w:r>
      <w:r w:rsidRPr="00BD73EA">
        <w:rPr>
          <w:rFonts w:ascii="Book Antiqua" w:eastAsia="Calibri" w:hAnsi="Book Antiqua" w:cs="Arial"/>
          <w:b/>
          <w:caps/>
          <w:color w:val="000000"/>
          <w:sz w:val="24"/>
          <w:szCs w:val="24"/>
          <w:lang w:eastAsia="en-GB"/>
        </w:rPr>
        <w:t>A/06263/2017</w:t>
      </w:r>
    </w:p>
    <w:p w:rsidR="00947AA9" w:rsidRPr="00625E55" w:rsidRDefault="00947AA9" w:rsidP="00947AA9">
      <w:pPr>
        <w:ind w:left="0" w:firstLine="0"/>
        <w:jc w:val="center"/>
        <w:rPr>
          <w:rFonts w:ascii="Book Antiqua" w:eastAsia="Calibri" w:hAnsi="Book Antiqua" w:cs="Arial"/>
          <w:color w:val="000000"/>
          <w:sz w:val="24"/>
          <w:szCs w:val="24"/>
          <w:lang w:eastAsia="en-GB"/>
        </w:rPr>
      </w:pPr>
    </w:p>
    <w:p w:rsidR="00947AA9" w:rsidRPr="00625E55" w:rsidRDefault="00947AA9" w:rsidP="00947AA9">
      <w:pPr>
        <w:ind w:left="0" w:firstLine="0"/>
        <w:jc w:val="center"/>
        <w:rPr>
          <w:rFonts w:ascii="Book Antiqua" w:eastAsia="Calibri" w:hAnsi="Book Antiqua" w:cs="Arial"/>
          <w:b/>
          <w:color w:val="000000"/>
          <w:sz w:val="24"/>
          <w:szCs w:val="24"/>
          <w:u w:val="single"/>
          <w:lang w:eastAsia="en-GB"/>
        </w:rPr>
      </w:pPr>
      <w:r w:rsidRPr="00625E55">
        <w:rPr>
          <w:rFonts w:ascii="Book Antiqua" w:eastAsia="Calibri" w:hAnsi="Book Antiqua" w:cs="Arial"/>
          <w:b/>
          <w:color w:val="000000"/>
          <w:sz w:val="24"/>
          <w:szCs w:val="24"/>
          <w:u w:val="single"/>
          <w:lang w:eastAsia="en-GB"/>
        </w:rPr>
        <w:t>THE IMMIGRATION ACTS</w:t>
      </w:r>
    </w:p>
    <w:p w:rsidR="00947AA9" w:rsidRPr="00625E55" w:rsidRDefault="00947AA9" w:rsidP="00947AA9">
      <w:pPr>
        <w:ind w:left="0" w:firstLine="0"/>
        <w:jc w:val="center"/>
        <w:rPr>
          <w:rFonts w:ascii="Book Antiqua" w:eastAsia="Calibri" w:hAnsi="Book Antiqua" w:cs="Arial"/>
          <w:b/>
          <w:sz w:val="24"/>
          <w:szCs w:val="24"/>
          <w:u w:val="single"/>
          <w:lang w:eastAsia="en-GB"/>
        </w:rPr>
      </w:pPr>
    </w:p>
    <w:tbl>
      <w:tblPr>
        <w:tblW w:w="10557" w:type="dxa"/>
        <w:tblLook w:val="01E0" w:firstRow="1" w:lastRow="1" w:firstColumn="1" w:lastColumn="1" w:noHBand="0" w:noVBand="0"/>
      </w:tblPr>
      <w:tblGrid>
        <w:gridCol w:w="5387"/>
        <w:gridCol w:w="5170"/>
      </w:tblGrid>
      <w:tr w:rsidR="00947AA9" w:rsidRPr="00625E55" w:rsidTr="0087048B">
        <w:trPr>
          <w:trHeight w:val="531"/>
        </w:trPr>
        <w:tc>
          <w:tcPr>
            <w:tcW w:w="5387" w:type="dxa"/>
          </w:tcPr>
          <w:p w:rsidR="00947AA9" w:rsidRDefault="00947AA9" w:rsidP="003737CB">
            <w:pPr>
              <w:ind w:left="0" w:firstLine="0"/>
              <w:rPr>
                <w:rFonts w:ascii="Book Antiqua" w:eastAsia="Calibri" w:hAnsi="Book Antiqua" w:cs="Arial"/>
                <w:b/>
                <w:sz w:val="24"/>
                <w:szCs w:val="24"/>
                <w:lang w:eastAsia="en-GB"/>
              </w:rPr>
            </w:pPr>
            <w:r w:rsidRPr="00625E55">
              <w:rPr>
                <w:rFonts w:ascii="Book Antiqua" w:eastAsia="Calibri" w:hAnsi="Book Antiqua" w:cs="Arial"/>
                <w:b/>
                <w:sz w:val="24"/>
                <w:szCs w:val="24"/>
                <w:lang w:eastAsia="en-GB"/>
              </w:rPr>
              <w:t>Heard at: Field House</w:t>
            </w:r>
          </w:p>
          <w:p w:rsidR="0034568F" w:rsidRPr="00625E55" w:rsidRDefault="00855F68" w:rsidP="003737CB">
            <w:pPr>
              <w:ind w:left="0" w:firstLine="0"/>
              <w:rPr>
                <w:rFonts w:ascii="Book Antiqua" w:eastAsia="Calibri" w:hAnsi="Book Antiqua" w:cs="Arial"/>
                <w:b/>
                <w:sz w:val="24"/>
                <w:szCs w:val="24"/>
                <w:lang w:eastAsia="en-GB"/>
              </w:rPr>
            </w:pPr>
            <w:r>
              <w:rPr>
                <w:rFonts w:ascii="Book Antiqua" w:eastAsia="Calibri" w:hAnsi="Book Antiqua" w:cs="Arial"/>
                <w:b/>
                <w:sz w:val="24"/>
                <w:szCs w:val="24"/>
                <w:lang w:eastAsia="en-GB"/>
              </w:rPr>
              <w:t>O</w:t>
            </w:r>
            <w:r w:rsidR="0034568F">
              <w:rPr>
                <w:rFonts w:ascii="Book Antiqua" w:eastAsia="Calibri" w:hAnsi="Book Antiqua" w:cs="Arial"/>
                <w:b/>
                <w:sz w:val="24"/>
                <w:szCs w:val="24"/>
                <w:lang w:eastAsia="en-GB"/>
              </w:rPr>
              <w:t>n: 20 April 2018</w:t>
            </w:r>
          </w:p>
        </w:tc>
        <w:tc>
          <w:tcPr>
            <w:tcW w:w="5170" w:type="dxa"/>
          </w:tcPr>
          <w:p w:rsidR="00947AA9" w:rsidRDefault="0034568F" w:rsidP="003737CB">
            <w:pPr>
              <w:ind w:left="0" w:firstLine="0"/>
              <w:rPr>
                <w:rFonts w:ascii="Book Antiqua" w:eastAsia="Calibri" w:hAnsi="Book Antiqua" w:cs="Arial"/>
                <w:b/>
                <w:color w:val="000000"/>
                <w:sz w:val="24"/>
                <w:szCs w:val="24"/>
                <w:lang w:eastAsia="en-GB"/>
              </w:rPr>
            </w:pPr>
            <w:r>
              <w:rPr>
                <w:rFonts w:ascii="Book Antiqua" w:eastAsia="Calibri" w:hAnsi="Book Antiqua" w:cs="Arial"/>
                <w:b/>
                <w:color w:val="000000"/>
                <w:sz w:val="24"/>
                <w:szCs w:val="24"/>
                <w:lang w:eastAsia="en-GB"/>
              </w:rPr>
              <w:t xml:space="preserve">Decision and Reasons </w:t>
            </w:r>
            <w:r w:rsidR="00947AA9" w:rsidRPr="00625E55">
              <w:rPr>
                <w:rFonts w:ascii="Book Antiqua" w:eastAsia="Calibri" w:hAnsi="Book Antiqua" w:cs="Arial"/>
                <w:b/>
                <w:color w:val="000000"/>
                <w:sz w:val="24"/>
                <w:szCs w:val="24"/>
                <w:lang w:eastAsia="en-GB"/>
              </w:rPr>
              <w:t>Promulgated</w:t>
            </w:r>
          </w:p>
          <w:p w:rsidR="00855F68" w:rsidRPr="00625E55" w:rsidRDefault="00855F68" w:rsidP="003737CB">
            <w:pPr>
              <w:ind w:left="0" w:firstLine="0"/>
              <w:rPr>
                <w:rFonts w:ascii="Book Antiqua" w:eastAsia="Calibri" w:hAnsi="Book Antiqua" w:cs="Arial"/>
                <w:b/>
                <w:color w:val="000000"/>
                <w:sz w:val="24"/>
                <w:szCs w:val="24"/>
                <w:lang w:eastAsia="en-GB"/>
              </w:rPr>
            </w:pPr>
            <w:r>
              <w:rPr>
                <w:rFonts w:ascii="Book Antiqua" w:eastAsia="Calibri" w:hAnsi="Book Antiqua" w:cs="Arial"/>
                <w:b/>
                <w:color w:val="000000"/>
                <w:sz w:val="24"/>
                <w:szCs w:val="24"/>
                <w:lang w:eastAsia="en-GB"/>
              </w:rPr>
              <w:t>On: 29 June 2018</w:t>
            </w:r>
          </w:p>
        </w:tc>
      </w:tr>
      <w:tr w:rsidR="00855F68" w:rsidRPr="00625E55" w:rsidTr="0087048B">
        <w:trPr>
          <w:trHeight w:val="531"/>
        </w:trPr>
        <w:tc>
          <w:tcPr>
            <w:tcW w:w="5387" w:type="dxa"/>
          </w:tcPr>
          <w:p w:rsidR="00855F68" w:rsidRPr="00625E55" w:rsidRDefault="00855F68" w:rsidP="003737CB">
            <w:pPr>
              <w:ind w:left="0" w:firstLine="0"/>
              <w:rPr>
                <w:rFonts w:ascii="Book Antiqua" w:eastAsia="Calibri" w:hAnsi="Book Antiqua" w:cs="Arial"/>
                <w:b/>
                <w:sz w:val="24"/>
                <w:szCs w:val="24"/>
                <w:lang w:eastAsia="en-GB"/>
              </w:rPr>
            </w:pPr>
          </w:p>
        </w:tc>
        <w:tc>
          <w:tcPr>
            <w:tcW w:w="5170" w:type="dxa"/>
          </w:tcPr>
          <w:p w:rsidR="00855F68" w:rsidRDefault="00855F68" w:rsidP="003737CB">
            <w:pPr>
              <w:ind w:left="0" w:firstLine="0"/>
              <w:rPr>
                <w:rFonts w:ascii="Book Antiqua" w:eastAsia="Calibri" w:hAnsi="Book Antiqua" w:cs="Arial"/>
                <w:b/>
                <w:color w:val="000000"/>
                <w:sz w:val="24"/>
                <w:szCs w:val="24"/>
                <w:lang w:eastAsia="en-GB"/>
              </w:rPr>
            </w:pPr>
          </w:p>
        </w:tc>
      </w:tr>
    </w:tbl>
    <w:p w:rsidR="00947AA9" w:rsidRPr="00625E55" w:rsidRDefault="00947AA9" w:rsidP="00947AA9">
      <w:pPr>
        <w:ind w:left="0" w:firstLine="0"/>
        <w:jc w:val="center"/>
        <w:rPr>
          <w:rFonts w:ascii="Book Antiqua" w:eastAsia="Calibri" w:hAnsi="Book Antiqua" w:cs="Arial"/>
          <w:b/>
          <w:sz w:val="24"/>
          <w:szCs w:val="24"/>
          <w:lang w:eastAsia="en-GB"/>
        </w:rPr>
      </w:pPr>
      <w:r w:rsidRPr="00625E55">
        <w:rPr>
          <w:rFonts w:ascii="Book Antiqua" w:eastAsia="Calibri" w:hAnsi="Book Antiqua" w:cs="Arial"/>
          <w:b/>
          <w:sz w:val="24"/>
          <w:szCs w:val="24"/>
          <w:lang w:eastAsia="en-GB"/>
        </w:rPr>
        <w:t>Before</w:t>
      </w:r>
    </w:p>
    <w:p w:rsidR="00947AA9" w:rsidRPr="00625E55" w:rsidRDefault="00947AA9" w:rsidP="00947AA9">
      <w:pPr>
        <w:ind w:left="0" w:firstLine="0"/>
        <w:jc w:val="center"/>
        <w:rPr>
          <w:rFonts w:ascii="Book Antiqua" w:eastAsia="Calibri" w:hAnsi="Book Antiqua" w:cs="Arial"/>
          <w:b/>
          <w:sz w:val="24"/>
          <w:szCs w:val="24"/>
          <w:lang w:eastAsia="en-GB"/>
        </w:rPr>
      </w:pPr>
    </w:p>
    <w:p w:rsidR="00947AA9" w:rsidRPr="00625E55" w:rsidRDefault="00947AA9" w:rsidP="00947AA9">
      <w:pPr>
        <w:ind w:left="0" w:firstLine="0"/>
        <w:jc w:val="center"/>
        <w:rPr>
          <w:rFonts w:ascii="Book Antiqua" w:eastAsia="Calibri" w:hAnsi="Book Antiqua" w:cs="Arial"/>
          <w:b/>
          <w:color w:val="000000"/>
          <w:sz w:val="24"/>
          <w:szCs w:val="24"/>
          <w:lang w:eastAsia="en-GB"/>
        </w:rPr>
      </w:pPr>
      <w:r w:rsidRPr="00625E55">
        <w:rPr>
          <w:rFonts w:ascii="Book Antiqua" w:eastAsia="Calibri" w:hAnsi="Book Antiqua" w:cs="Arial"/>
          <w:b/>
          <w:color w:val="000000"/>
          <w:sz w:val="24"/>
          <w:szCs w:val="24"/>
          <w:lang w:eastAsia="en-GB"/>
        </w:rPr>
        <w:t>DEPUTY UPPER TRIBUNAL JUDGE CHANA</w:t>
      </w:r>
    </w:p>
    <w:p w:rsidR="00947AA9" w:rsidRPr="00625E55" w:rsidRDefault="00947AA9" w:rsidP="00947AA9">
      <w:pPr>
        <w:ind w:left="0" w:firstLine="0"/>
        <w:jc w:val="center"/>
        <w:rPr>
          <w:rFonts w:ascii="Book Antiqua" w:eastAsia="Calibri" w:hAnsi="Book Antiqua" w:cs="Arial"/>
          <w:b/>
          <w:sz w:val="24"/>
          <w:szCs w:val="24"/>
          <w:lang w:eastAsia="en-GB"/>
        </w:rPr>
      </w:pPr>
    </w:p>
    <w:p w:rsidR="00947AA9" w:rsidRDefault="00947AA9" w:rsidP="00947AA9">
      <w:pPr>
        <w:ind w:left="0" w:firstLine="0"/>
        <w:jc w:val="center"/>
        <w:rPr>
          <w:rFonts w:ascii="Book Antiqua" w:eastAsia="Calibri" w:hAnsi="Book Antiqua" w:cs="Arial"/>
          <w:b/>
          <w:sz w:val="24"/>
          <w:szCs w:val="24"/>
          <w:lang w:eastAsia="en-GB"/>
        </w:rPr>
      </w:pPr>
      <w:r w:rsidRPr="00625E55">
        <w:rPr>
          <w:rFonts w:ascii="Book Antiqua" w:eastAsia="Calibri" w:hAnsi="Book Antiqua" w:cs="Arial"/>
          <w:b/>
          <w:sz w:val="24"/>
          <w:szCs w:val="24"/>
          <w:lang w:eastAsia="en-GB"/>
        </w:rPr>
        <w:t>Between</w:t>
      </w:r>
    </w:p>
    <w:p w:rsidR="00947AA9" w:rsidRDefault="00947AA9" w:rsidP="00947AA9">
      <w:pPr>
        <w:ind w:left="0" w:firstLine="0"/>
        <w:jc w:val="center"/>
        <w:rPr>
          <w:rFonts w:ascii="Book Antiqua" w:eastAsia="Calibri" w:hAnsi="Book Antiqua" w:cs="Arial"/>
          <w:b/>
          <w:sz w:val="24"/>
          <w:szCs w:val="24"/>
          <w:lang w:eastAsia="en-GB"/>
        </w:rPr>
      </w:pPr>
    </w:p>
    <w:p w:rsidR="00947AA9" w:rsidRDefault="00947AA9" w:rsidP="00947AA9">
      <w:pPr>
        <w:ind w:left="0" w:firstLine="0"/>
        <w:jc w:val="center"/>
        <w:rPr>
          <w:rFonts w:ascii="Book Antiqua" w:eastAsia="Calibri" w:hAnsi="Book Antiqua" w:cs="Arial"/>
          <w:b/>
          <w:sz w:val="24"/>
          <w:szCs w:val="24"/>
          <w:lang w:eastAsia="en-GB"/>
        </w:rPr>
      </w:pPr>
      <w:r>
        <w:rPr>
          <w:rFonts w:ascii="Book Antiqua" w:eastAsia="Calibri" w:hAnsi="Book Antiqua" w:cs="Arial"/>
          <w:b/>
          <w:sz w:val="24"/>
          <w:szCs w:val="24"/>
          <w:lang w:eastAsia="en-GB"/>
        </w:rPr>
        <w:t xml:space="preserve">THE SECRETARY OF STATE FOR </w:t>
      </w:r>
      <w:r w:rsidR="0087048B">
        <w:rPr>
          <w:rFonts w:ascii="Book Antiqua" w:eastAsia="Calibri" w:hAnsi="Book Antiqua" w:cs="Arial"/>
          <w:b/>
          <w:sz w:val="24"/>
          <w:szCs w:val="24"/>
          <w:lang w:eastAsia="en-GB"/>
        </w:rPr>
        <w:t>T</w:t>
      </w:r>
      <w:r>
        <w:rPr>
          <w:rFonts w:ascii="Book Antiqua" w:eastAsia="Calibri" w:hAnsi="Book Antiqua" w:cs="Arial"/>
          <w:b/>
          <w:sz w:val="24"/>
          <w:szCs w:val="24"/>
          <w:lang w:eastAsia="en-GB"/>
        </w:rPr>
        <w:t>HE HOME DEPARTMENT</w:t>
      </w:r>
    </w:p>
    <w:p w:rsidR="00947AA9" w:rsidRPr="00625E55" w:rsidRDefault="00947AA9" w:rsidP="00947AA9">
      <w:pPr>
        <w:ind w:left="0" w:firstLine="0"/>
        <w:jc w:val="right"/>
        <w:rPr>
          <w:rFonts w:ascii="Book Antiqua" w:eastAsia="Calibri" w:hAnsi="Book Antiqua" w:cs="Arial"/>
          <w:sz w:val="24"/>
          <w:szCs w:val="24"/>
          <w:u w:val="single"/>
          <w:lang w:eastAsia="en-GB"/>
        </w:rPr>
      </w:pPr>
      <w:r w:rsidRPr="00625E55">
        <w:rPr>
          <w:rFonts w:ascii="Book Antiqua" w:eastAsia="Calibri" w:hAnsi="Book Antiqua" w:cs="Arial"/>
          <w:sz w:val="24"/>
          <w:szCs w:val="24"/>
          <w:u w:val="single"/>
          <w:lang w:eastAsia="en-GB"/>
        </w:rPr>
        <w:t xml:space="preserve">Appellant </w:t>
      </w:r>
    </w:p>
    <w:p w:rsidR="00947AA9" w:rsidRPr="00625E55" w:rsidRDefault="00947AA9" w:rsidP="00947AA9">
      <w:pPr>
        <w:ind w:left="0" w:firstLine="0"/>
        <w:jc w:val="center"/>
        <w:rPr>
          <w:rFonts w:ascii="Book Antiqua" w:eastAsia="Calibri" w:hAnsi="Book Antiqua" w:cs="Arial"/>
          <w:b/>
          <w:sz w:val="24"/>
          <w:szCs w:val="24"/>
          <w:lang w:eastAsia="en-GB"/>
        </w:rPr>
      </w:pPr>
      <w:r w:rsidRPr="00625E55">
        <w:rPr>
          <w:rFonts w:ascii="Book Antiqua" w:eastAsia="Calibri" w:hAnsi="Book Antiqua" w:cs="Arial"/>
          <w:b/>
          <w:sz w:val="24"/>
          <w:szCs w:val="24"/>
          <w:lang w:eastAsia="en-GB"/>
        </w:rPr>
        <w:t>and</w:t>
      </w:r>
    </w:p>
    <w:p w:rsidR="00947AA9" w:rsidRPr="00625E55" w:rsidRDefault="00947AA9" w:rsidP="00947AA9">
      <w:pPr>
        <w:ind w:left="0" w:firstLine="0"/>
        <w:jc w:val="center"/>
        <w:rPr>
          <w:rFonts w:ascii="Book Antiqua" w:eastAsia="Calibri" w:hAnsi="Book Antiqua" w:cs="Arial"/>
          <w:b/>
          <w:sz w:val="24"/>
          <w:szCs w:val="24"/>
          <w:lang w:eastAsia="en-GB"/>
        </w:rPr>
      </w:pPr>
    </w:p>
    <w:p w:rsidR="00947AA9" w:rsidRDefault="00947AA9" w:rsidP="00947AA9">
      <w:pPr>
        <w:ind w:left="0" w:firstLine="0"/>
        <w:jc w:val="center"/>
        <w:rPr>
          <w:rFonts w:ascii="Book Antiqua" w:eastAsia="Calibri" w:hAnsi="Book Antiqua" w:cs="Arial"/>
          <w:b/>
          <w:caps/>
          <w:sz w:val="24"/>
          <w:szCs w:val="24"/>
          <w:lang w:eastAsia="en-GB"/>
        </w:rPr>
      </w:pPr>
      <w:r w:rsidRPr="00625E55">
        <w:rPr>
          <w:rFonts w:ascii="Book Antiqua" w:eastAsia="Calibri" w:hAnsi="Book Antiqua" w:cs="Arial"/>
          <w:b/>
          <w:caps/>
          <w:sz w:val="24"/>
          <w:szCs w:val="24"/>
          <w:lang w:eastAsia="en-GB"/>
        </w:rPr>
        <w:t xml:space="preserve">MR </w:t>
      </w:r>
      <w:r>
        <w:rPr>
          <w:rFonts w:ascii="Book Antiqua" w:eastAsia="Calibri" w:hAnsi="Book Antiqua" w:cs="Arial"/>
          <w:b/>
          <w:caps/>
          <w:sz w:val="24"/>
          <w:szCs w:val="24"/>
          <w:lang w:eastAsia="en-GB"/>
        </w:rPr>
        <w:t>ALI REYAD MOHAMED ZAHER</w:t>
      </w:r>
    </w:p>
    <w:p w:rsidR="00947AA9" w:rsidRPr="00F563F8" w:rsidRDefault="00947AA9" w:rsidP="00947AA9">
      <w:pPr>
        <w:ind w:left="0" w:firstLine="0"/>
        <w:jc w:val="center"/>
        <w:rPr>
          <w:rFonts w:ascii="Book Antiqua" w:eastAsia="Calibri" w:hAnsi="Book Antiqua" w:cs="Arial"/>
          <w:caps/>
          <w:sz w:val="24"/>
          <w:szCs w:val="24"/>
          <w:lang w:eastAsia="en-GB"/>
        </w:rPr>
      </w:pPr>
      <w:r w:rsidRPr="00F563F8">
        <w:rPr>
          <w:rFonts w:ascii="Book Antiqua" w:eastAsia="Calibri" w:hAnsi="Book Antiqua" w:cs="Arial"/>
          <w:caps/>
          <w:sz w:val="24"/>
          <w:szCs w:val="24"/>
          <w:lang w:eastAsia="en-GB"/>
        </w:rPr>
        <w:t xml:space="preserve"> (No anonymity directionS made)</w:t>
      </w:r>
    </w:p>
    <w:p w:rsidR="00947AA9" w:rsidRPr="00625E55" w:rsidRDefault="00947AA9" w:rsidP="00947AA9">
      <w:pPr>
        <w:ind w:left="0" w:firstLine="0"/>
        <w:jc w:val="right"/>
        <w:rPr>
          <w:rFonts w:ascii="Book Antiqua" w:eastAsia="Calibri" w:hAnsi="Book Antiqua" w:cs="Arial"/>
          <w:sz w:val="24"/>
          <w:szCs w:val="24"/>
          <w:u w:val="single"/>
          <w:lang w:eastAsia="en-GB"/>
        </w:rPr>
      </w:pPr>
      <w:r w:rsidRPr="00625E55">
        <w:rPr>
          <w:rFonts w:ascii="Book Antiqua" w:eastAsia="Calibri" w:hAnsi="Book Antiqua" w:cs="Arial"/>
          <w:sz w:val="24"/>
          <w:szCs w:val="24"/>
          <w:u w:val="single"/>
          <w:lang w:eastAsia="en-GB"/>
        </w:rPr>
        <w:t>Respondent</w:t>
      </w:r>
    </w:p>
    <w:p w:rsidR="00947AA9" w:rsidRPr="00625E55" w:rsidRDefault="00947AA9" w:rsidP="00947AA9">
      <w:pPr>
        <w:ind w:left="0" w:firstLine="0"/>
        <w:jc w:val="left"/>
        <w:rPr>
          <w:rFonts w:ascii="Book Antiqua" w:eastAsia="Calibri" w:hAnsi="Book Antiqua" w:cs="Arial"/>
          <w:sz w:val="24"/>
          <w:szCs w:val="24"/>
          <w:u w:val="single"/>
          <w:lang w:eastAsia="en-GB"/>
        </w:rPr>
      </w:pPr>
    </w:p>
    <w:p w:rsidR="00947AA9" w:rsidRPr="00625E55" w:rsidRDefault="00947AA9" w:rsidP="00947AA9">
      <w:pPr>
        <w:ind w:left="0" w:firstLine="0"/>
        <w:jc w:val="left"/>
        <w:rPr>
          <w:rFonts w:ascii="Book Antiqua" w:eastAsia="Calibri" w:hAnsi="Book Antiqua" w:cs="Arial"/>
          <w:sz w:val="24"/>
          <w:szCs w:val="24"/>
          <w:lang w:eastAsia="en-GB"/>
        </w:rPr>
      </w:pPr>
      <w:r w:rsidRPr="00625E55">
        <w:rPr>
          <w:rFonts w:ascii="Book Antiqua" w:eastAsia="Calibri" w:hAnsi="Book Antiqua" w:cs="Arial"/>
          <w:b/>
          <w:sz w:val="24"/>
          <w:szCs w:val="24"/>
          <w:u w:val="single"/>
          <w:lang w:eastAsia="en-GB"/>
        </w:rPr>
        <w:t>Representation</w:t>
      </w:r>
      <w:r w:rsidRPr="00625E55">
        <w:rPr>
          <w:rFonts w:ascii="Book Antiqua" w:eastAsia="Calibri" w:hAnsi="Book Antiqua" w:cs="Arial"/>
          <w:b/>
          <w:sz w:val="24"/>
          <w:szCs w:val="24"/>
          <w:lang w:eastAsia="en-GB"/>
        </w:rPr>
        <w:t>:</w:t>
      </w:r>
    </w:p>
    <w:p w:rsidR="00947AA9" w:rsidRPr="00625E55" w:rsidRDefault="00947AA9" w:rsidP="00947AA9">
      <w:pPr>
        <w:ind w:left="0" w:firstLine="0"/>
        <w:jc w:val="left"/>
        <w:rPr>
          <w:rFonts w:ascii="Book Antiqua" w:eastAsia="Calibri" w:hAnsi="Book Antiqua" w:cs="Arial"/>
          <w:sz w:val="24"/>
          <w:szCs w:val="24"/>
          <w:lang w:eastAsia="en-GB"/>
        </w:rPr>
      </w:pPr>
    </w:p>
    <w:p w:rsidR="00947AA9" w:rsidRPr="00625E55" w:rsidRDefault="00947AA9" w:rsidP="00947AA9">
      <w:pPr>
        <w:tabs>
          <w:tab w:val="left" w:pos="2520"/>
        </w:tabs>
        <w:ind w:left="0" w:firstLine="0"/>
        <w:jc w:val="left"/>
        <w:rPr>
          <w:rFonts w:ascii="Book Antiqua" w:eastAsia="Calibri" w:hAnsi="Book Antiqua" w:cs="Arial"/>
          <w:sz w:val="24"/>
          <w:szCs w:val="24"/>
          <w:lang w:eastAsia="en-GB"/>
        </w:rPr>
      </w:pPr>
      <w:r>
        <w:rPr>
          <w:rFonts w:ascii="Book Antiqua" w:eastAsia="Calibri" w:hAnsi="Book Antiqua" w:cs="Arial"/>
          <w:sz w:val="24"/>
          <w:szCs w:val="24"/>
          <w:lang w:eastAsia="en-GB"/>
        </w:rPr>
        <w:t>For the Appellant:          Mr</w:t>
      </w:r>
      <w:r w:rsidRPr="00947AA9">
        <w:rPr>
          <w:rFonts w:ascii="Book Antiqua" w:eastAsia="Times New Roman" w:hAnsi="Book Antiqua" w:cs="Arial"/>
          <w:sz w:val="24"/>
          <w:szCs w:val="24"/>
          <w:lang w:eastAsia="en-GB"/>
        </w:rPr>
        <w:t xml:space="preserve"> </w:t>
      </w:r>
      <w:r>
        <w:rPr>
          <w:rFonts w:ascii="Book Antiqua" w:eastAsia="Times New Roman" w:hAnsi="Book Antiqua" w:cs="Arial"/>
          <w:sz w:val="24"/>
          <w:szCs w:val="24"/>
          <w:lang w:eastAsia="en-GB"/>
        </w:rPr>
        <w:t>P Nath</w:t>
      </w:r>
      <w:r>
        <w:rPr>
          <w:rFonts w:ascii="Book Antiqua" w:eastAsia="Calibri" w:hAnsi="Book Antiqua" w:cs="Arial"/>
          <w:sz w:val="24"/>
          <w:szCs w:val="24"/>
          <w:lang w:eastAsia="en-GB"/>
        </w:rPr>
        <w:t>, Senior Presenting Officer</w:t>
      </w:r>
    </w:p>
    <w:p w:rsidR="00947AA9" w:rsidRPr="00625E55" w:rsidRDefault="00947AA9" w:rsidP="00947AA9">
      <w:pPr>
        <w:tabs>
          <w:tab w:val="left" w:pos="2520"/>
        </w:tabs>
        <w:ind w:left="0" w:firstLine="0"/>
        <w:jc w:val="left"/>
        <w:rPr>
          <w:rFonts w:ascii="Book Antiqua" w:eastAsia="Calibri" w:hAnsi="Book Antiqua" w:cs="Arial"/>
          <w:sz w:val="24"/>
          <w:szCs w:val="24"/>
          <w:lang w:eastAsia="en-GB"/>
        </w:rPr>
      </w:pPr>
      <w:r>
        <w:rPr>
          <w:rFonts w:ascii="Book Antiqua" w:eastAsia="Calibri" w:hAnsi="Book Antiqua" w:cs="Arial"/>
          <w:sz w:val="24"/>
          <w:szCs w:val="24"/>
          <w:lang w:eastAsia="en-GB"/>
        </w:rPr>
        <w:t>For the Respondent:</w:t>
      </w:r>
      <w:r>
        <w:rPr>
          <w:rFonts w:ascii="Book Antiqua" w:eastAsia="Calibri" w:hAnsi="Book Antiqua" w:cs="Arial"/>
          <w:sz w:val="24"/>
          <w:szCs w:val="24"/>
          <w:lang w:eastAsia="en-GB"/>
        </w:rPr>
        <w:tab/>
        <w:t xml:space="preserve">Mr </w:t>
      </w:r>
      <w:r w:rsidR="0034568F">
        <w:rPr>
          <w:rFonts w:ascii="Book Antiqua" w:eastAsia="Calibri" w:hAnsi="Book Antiqua" w:cs="Arial"/>
          <w:sz w:val="24"/>
          <w:szCs w:val="24"/>
          <w:lang w:eastAsia="en-GB"/>
        </w:rPr>
        <w:t>Miss K Reid instructed by Signature Law LLP.</w:t>
      </w:r>
    </w:p>
    <w:p w:rsidR="00947AA9" w:rsidRPr="00625E55" w:rsidRDefault="00947AA9" w:rsidP="00947AA9">
      <w:pPr>
        <w:tabs>
          <w:tab w:val="left" w:pos="2520"/>
        </w:tabs>
        <w:ind w:left="0" w:firstLine="0"/>
        <w:jc w:val="center"/>
        <w:rPr>
          <w:rFonts w:ascii="Book Antiqua" w:eastAsia="Calibri" w:hAnsi="Book Antiqua" w:cs="Arial"/>
          <w:sz w:val="24"/>
          <w:szCs w:val="24"/>
          <w:lang w:eastAsia="en-GB"/>
        </w:rPr>
      </w:pPr>
    </w:p>
    <w:p w:rsidR="00947AA9" w:rsidRPr="00625E55" w:rsidRDefault="00947AA9" w:rsidP="00947AA9">
      <w:pPr>
        <w:tabs>
          <w:tab w:val="left" w:pos="2520"/>
        </w:tabs>
        <w:ind w:left="0" w:firstLine="0"/>
        <w:jc w:val="center"/>
        <w:rPr>
          <w:rFonts w:ascii="Book Antiqua" w:eastAsia="Calibri" w:hAnsi="Book Antiqua" w:cs="Arial"/>
          <w:sz w:val="24"/>
          <w:szCs w:val="24"/>
          <w:lang w:eastAsia="en-GB"/>
        </w:rPr>
      </w:pPr>
      <w:r>
        <w:rPr>
          <w:rFonts w:ascii="Book Antiqua" w:eastAsia="Calibri" w:hAnsi="Book Antiqua" w:cs="Arial"/>
          <w:b/>
          <w:sz w:val="24"/>
          <w:szCs w:val="24"/>
          <w:u w:val="single"/>
          <w:lang w:eastAsia="en-GB"/>
        </w:rPr>
        <w:t xml:space="preserve">DECISION </w:t>
      </w:r>
      <w:r w:rsidRPr="00625E55">
        <w:rPr>
          <w:rFonts w:ascii="Book Antiqua" w:eastAsia="Calibri" w:hAnsi="Book Antiqua" w:cs="Arial"/>
          <w:b/>
          <w:sz w:val="24"/>
          <w:szCs w:val="24"/>
          <w:u w:val="single"/>
          <w:lang w:eastAsia="en-GB"/>
        </w:rPr>
        <w:t>AND REASONS</w:t>
      </w:r>
    </w:p>
    <w:p w:rsidR="00947AA9" w:rsidRPr="00625E55" w:rsidRDefault="00947AA9" w:rsidP="00947AA9">
      <w:pPr>
        <w:tabs>
          <w:tab w:val="left" w:pos="567"/>
        </w:tabs>
        <w:ind w:left="567" w:hanging="567"/>
        <w:rPr>
          <w:rFonts w:ascii="Book Antiqua" w:eastAsia="Calibri" w:hAnsi="Book Antiqua" w:cs="Arial"/>
          <w:sz w:val="24"/>
          <w:szCs w:val="24"/>
          <w:lang w:eastAsia="en-GB"/>
        </w:rPr>
      </w:pPr>
    </w:p>
    <w:p w:rsidR="00947AA9" w:rsidRPr="00625E55" w:rsidRDefault="00947AA9" w:rsidP="00947AA9">
      <w:pPr>
        <w:numPr>
          <w:ilvl w:val="0"/>
          <w:numId w:val="1"/>
        </w:numPr>
        <w:tabs>
          <w:tab w:val="left" w:pos="567"/>
        </w:tabs>
        <w:spacing w:after="160" w:line="259" w:lineRule="auto"/>
        <w:contextualSpacing/>
        <w:rPr>
          <w:rFonts w:ascii="Book Antiqua" w:eastAsia="Calibri" w:hAnsi="Book Antiqua" w:cs="Arial"/>
          <w:sz w:val="24"/>
          <w:szCs w:val="24"/>
          <w:lang w:eastAsia="en-GB"/>
        </w:rPr>
      </w:pPr>
      <w:r w:rsidRPr="00625E55">
        <w:rPr>
          <w:rFonts w:ascii="Book Antiqua" w:eastAsia="Calibri" w:hAnsi="Book Antiqua" w:cs="Arial"/>
          <w:sz w:val="24"/>
          <w:szCs w:val="24"/>
          <w:lang w:eastAsia="en-GB"/>
        </w:rPr>
        <w:t>The appellant before the Upper Tribunal is the Secretary of State for the Home Department and the respondent is a citizen of</w:t>
      </w:r>
      <w:r>
        <w:rPr>
          <w:rFonts w:ascii="Book Antiqua" w:eastAsia="Calibri" w:hAnsi="Book Antiqua" w:cs="Arial"/>
          <w:sz w:val="24"/>
          <w:szCs w:val="24"/>
          <w:lang w:eastAsia="en-GB"/>
        </w:rPr>
        <w:t xml:space="preserve"> Egypt born on 1 July 1985</w:t>
      </w:r>
      <w:r w:rsidRPr="00625E55">
        <w:rPr>
          <w:rFonts w:ascii="Book Antiqua" w:eastAsia="Calibri" w:hAnsi="Book Antiqua" w:cs="Arial"/>
          <w:sz w:val="24"/>
          <w:szCs w:val="24"/>
          <w:lang w:eastAsia="en-GB"/>
        </w:rPr>
        <w:t xml:space="preserve">.  However, for the sake of convenience, I shall continue to refer to the latter as the “appellant” and to the Secretary of the State as the “respondent”, which are the designations they had in the proceedings before the First-tier Tribunal. </w:t>
      </w:r>
    </w:p>
    <w:p w:rsidR="00947AA9" w:rsidRPr="00625E55" w:rsidRDefault="00947AA9" w:rsidP="00947AA9">
      <w:pPr>
        <w:tabs>
          <w:tab w:val="left" w:pos="567"/>
        </w:tabs>
        <w:ind w:left="930" w:firstLine="0"/>
        <w:contextualSpacing/>
        <w:rPr>
          <w:rFonts w:ascii="Book Antiqua" w:eastAsia="Calibri" w:hAnsi="Book Antiqua" w:cs="Arial"/>
          <w:sz w:val="24"/>
          <w:szCs w:val="24"/>
          <w:lang w:eastAsia="en-GB"/>
        </w:rPr>
      </w:pPr>
    </w:p>
    <w:p w:rsidR="00947AA9" w:rsidRDefault="00947AA9" w:rsidP="00947AA9">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Calibri" w:hAnsi="Book Antiqua" w:cs="Arial"/>
          <w:sz w:val="24"/>
          <w:szCs w:val="24"/>
          <w:lang w:eastAsia="en-GB"/>
        </w:rPr>
        <w:tab/>
        <w:t>The First-tier Tribunal Judge Courtney allowed the appellant’s appeal pursuant to Article 8 of the European Convention on Human Rights. She found that on the totality of the evidence before her that the appellant has discharged the burden of proof.</w:t>
      </w:r>
    </w:p>
    <w:p w:rsidR="00947AA9" w:rsidRDefault="00947AA9" w:rsidP="00947AA9">
      <w:pPr>
        <w:pStyle w:val="ListParagraph"/>
        <w:rPr>
          <w:rFonts w:ascii="Book Antiqua" w:eastAsia="Calibri" w:hAnsi="Book Antiqua" w:cs="Arial"/>
          <w:sz w:val="24"/>
          <w:szCs w:val="24"/>
          <w:lang w:eastAsia="en-GB"/>
        </w:rPr>
      </w:pPr>
    </w:p>
    <w:p w:rsidR="00947AA9" w:rsidRDefault="00947AA9" w:rsidP="00947AA9">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Calibri" w:hAnsi="Book Antiqua" w:cs="Arial"/>
          <w:sz w:val="24"/>
          <w:szCs w:val="24"/>
          <w:lang w:eastAsia="en-GB"/>
        </w:rPr>
        <w:t xml:space="preserve">Permission to appeal was granted by First-tier Tribunal Judge </w:t>
      </w:r>
      <w:proofErr w:type="spellStart"/>
      <w:r>
        <w:rPr>
          <w:rFonts w:ascii="Book Antiqua" w:eastAsia="Calibri" w:hAnsi="Book Antiqua" w:cs="Arial"/>
          <w:sz w:val="24"/>
          <w:szCs w:val="24"/>
          <w:lang w:eastAsia="en-GB"/>
        </w:rPr>
        <w:t>Saffer</w:t>
      </w:r>
      <w:proofErr w:type="spellEnd"/>
      <w:r>
        <w:rPr>
          <w:rFonts w:ascii="Book Antiqua" w:eastAsia="Calibri" w:hAnsi="Book Antiqua" w:cs="Arial"/>
          <w:sz w:val="24"/>
          <w:szCs w:val="24"/>
          <w:lang w:eastAsia="en-GB"/>
        </w:rPr>
        <w:t xml:space="preserve"> on 25 January 2018 stating that the appeal on asylum and Article 3 grounds was abandoned. It was </w:t>
      </w:r>
      <w:r>
        <w:rPr>
          <w:rFonts w:ascii="Book Antiqua" w:eastAsia="Calibri" w:hAnsi="Book Antiqua" w:cs="Arial"/>
          <w:sz w:val="24"/>
          <w:szCs w:val="24"/>
          <w:lang w:eastAsia="en-GB"/>
        </w:rPr>
        <w:lastRenderedPageBreak/>
        <w:t>however allowed an Article 8 grounds. It is arguable because the Judge stated that the immigration rules were met with regards to the relationship requirements without giving reasons for why they were met. In addition, it is arguable that there was inadequate consideration to section 117B within the assessment.</w:t>
      </w:r>
    </w:p>
    <w:p w:rsidR="00947AA9" w:rsidRDefault="00947AA9" w:rsidP="00947AA9">
      <w:pPr>
        <w:tabs>
          <w:tab w:val="left" w:pos="567"/>
        </w:tabs>
        <w:spacing w:after="160" w:line="259" w:lineRule="auto"/>
        <w:ind w:left="570" w:firstLine="0"/>
        <w:contextualSpacing/>
        <w:rPr>
          <w:rFonts w:ascii="Book Antiqua" w:eastAsia="Calibri" w:hAnsi="Book Antiqua" w:cs="Arial"/>
          <w:sz w:val="24"/>
          <w:szCs w:val="24"/>
          <w:lang w:eastAsia="en-GB"/>
        </w:rPr>
      </w:pPr>
    </w:p>
    <w:p w:rsidR="00947AA9" w:rsidRDefault="00947AA9" w:rsidP="00947AA9">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Calibri" w:hAnsi="Book Antiqua" w:cs="Arial"/>
          <w:sz w:val="24"/>
          <w:szCs w:val="24"/>
          <w:lang w:eastAsia="en-GB"/>
        </w:rPr>
        <w:t xml:space="preserve">The First-tier Tribunal Judge made the following findings which I summarise. The appellant’s claim is that he was born in Egypt and arrived in the United Kingdom on 8 May 2015. The appellant met his wife Michelle on 1 June 2015 and they married in an Islamic ceremony on 21 May 2017. They had a civil ceremony on 31 July 2017. The appellant claims that he is the father figure for his stepson </w:t>
      </w:r>
      <w:r w:rsidR="0087048B">
        <w:rPr>
          <w:rFonts w:ascii="Book Antiqua" w:eastAsia="Calibri" w:hAnsi="Book Antiqua" w:cs="Arial"/>
          <w:sz w:val="24"/>
          <w:szCs w:val="24"/>
          <w:lang w:eastAsia="en-GB"/>
        </w:rPr>
        <w:t xml:space="preserve">who </w:t>
      </w:r>
      <w:r>
        <w:rPr>
          <w:rFonts w:ascii="Book Antiqua" w:eastAsia="Calibri" w:hAnsi="Book Antiqua" w:cs="Arial"/>
          <w:sz w:val="24"/>
          <w:szCs w:val="24"/>
          <w:lang w:eastAsia="en-GB"/>
        </w:rPr>
        <w:t>was born on 20 February 2012.</w:t>
      </w:r>
      <w:r w:rsidR="00A60646">
        <w:rPr>
          <w:rFonts w:ascii="Book Antiqua" w:eastAsia="Calibri" w:hAnsi="Book Antiqua" w:cs="Arial"/>
          <w:sz w:val="24"/>
          <w:szCs w:val="24"/>
          <w:lang w:eastAsia="en-GB"/>
        </w:rPr>
        <w:t xml:space="preserve"> </w:t>
      </w:r>
    </w:p>
    <w:p w:rsidR="00B16244" w:rsidRDefault="00B16244" w:rsidP="00B16244">
      <w:pPr>
        <w:tabs>
          <w:tab w:val="left" w:pos="567"/>
        </w:tabs>
        <w:spacing w:after="160" w:line="259" w:lineRule="auto"/>
        <w:ind w:left="570" w:firstLine="0"/>
        <w:contextualSpacing/>
        <w:rPr>
          <w:rFonts w:ascii="Book Antiqua" w:eastAsia="Calibri" w:hAnsi="Book Antiqua" w:cs="Arial"/>
          <w:sz w:val="24"/>
          <w:szCs w:val="24"/>
          <w:lang w:eastAsia="en-GB"/>
        </w:rPr>
      </w:pPr>
    </w:p>
    <w:p w:rsidR="00A60646" w:rsidRDefault="00A60646" w:rsidP="00947AA9">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Calibri" w:hAnsi="Book Antiqua" w:cs="Arial"/>
          <w:sz w:val="24"/>
          <w:szCs w:val="24"/>
          <w:lang w:eastAsia="en-GB"/>
        </w:rPr>
        <w:t xml:space="preserve">In respect of </w:t>
      </w:r>
      <w:r w:rsidR="00B16244">
        <w:rPr>
          <w:rFonts w:ascii="Book Antiqua" w:eastAsia="Calibri" w:hAnsi="Book Antiqua" w:cs="Arial"/>
          <w:sz w:val="24"/>
          <w:szCs w:val="24"/>
          <w:lang w:eastAsia="en-GB"/>
        </w:rPr>
        <w:t xml:space="preserve">Appendix </w:t>
      </w:r>
      <w:r>
        <w:rPr>
          <w:rFonts w:ascii="Book Antiqua" w:eastAsia="Calibri" w:hAnsi="Book Antiqua" w:cs="Arial"/>
          <w:sz w:val="24"/>
          <w:szCs w:val="24"/>
          <w:lang w:eastAsia="en-GB"/>
        </w:rPr>
        <w:t xml:space="preserve">FM, no issue was taken by the respondent as to the appellant’s genuineness of the relationship with his wife. The appellant’s wife is in receipt of standard rate of personal Independence payments to help her with the daily living needs and her mobility needs and therefore the appellant satisfies the financial requirements of </w:t>
      </w:r>
      <w:r w:rsidR="00B16244">
        <w:rPr>
          <w:rFonts w:ascii="Book Antiqua" w:eastAsia="Calibri" w:hAnsi="Book Antiqua" w:cs="Arial"/>
          <w:sz w:val="24"/>
          <w:szCs w:val="24"/>
          <w:lang w:eastAsia="en-GB"/>
        </w:rPr>
        <w:t xml:space="preserve">Appendix </w:t>
      </w:r>
      <w:r>
        <w:rPr>
          <w:rFonts w:ascii="Book Antiqua" w:eastAsia="Calibri" w:hAnsi="Book Antiqua" w:cs="Arial"/>
          <w:sz w:val="24"/>
          <w:szCs w:val="24"/>
          <w:lang w:eastAsia="en-GB"/>
        </w:rPr>
        <w:t>FM as her P 60 for the year ending 5 April 2016 indicates that she earns £27,445 and that tax year. The appellant has passed his English language test and therefore meets the English language requirements.</w:t>
      </w:r>
    </w:p>
    <w:p w:rsidR="00A60646" w:rsidRDefault="00A60646" w:rsidP="00A60646">
      <w:pPr>
        <w:tabs>
          <w:tab w:val="left" w:pos="567"/>
        </w:tabs>
        <w:spacing w:after="160" w:line="259" w:lineRule="auto"/>
        <w:ind w:left="570" w:firstLine="0"/>
        <w:contextualSpacing/>
        <w:rPr>
          <w:rFonts w:ascii="Book Antiqua" w:eastAsia="Calibri" w:hAnsi="Book Antiqua" w:cs="Arial"/>
          <w:sz w:val="24"/>
          <w:szCs w:val="24"/>
          <w:lang w:eastAsia="en-GB"/>
        </w:rPr>
      </w:pPr>
    </w:p>
    <w:p w:rsidR="00A60646" w:rsidRDefault="00A60646" w:rsidP="00947AA9">
      <w:pPr>
        <w:numPr>
          <w:ilvl w:val="0"/>
          <w:numId w:val="1"/>
        </w:numPr>
        <w:tabs>
          <w:tab w:val="left" w:pos="567"/>
        </w:tabs>
        <w:spacing w:after="160" w:line="259" w:lineRule="auto"/>
        <w:contextualSpacing/>
        <w:rPr>
          <w:rFonts w:ascii="Book Antiqua" w:eastAsia="Calibri" w:hAnsi="Book Antiqua" w:cs="Arial"/>
          <w:sz w:val="24"/>
          <w:szCs w:val="24"/>
          <w:lang w:eastAsia="en-GB"/>
        </w:rPr>
      </w:pPr>
      <w:proofErr w:type="gramStart"/>
      <w:r>
        <w:rPr>
          <w:rFonts w:ascii="Book Antiqua" w:eastAsia="Calibri" w:hAnsi="Book Antiqua" w:cs="Arial"/>
          <w:sz w:val="24"/>
          <w:szCs w:val="24"/>
          <w:lang w:eastAsia="en-GB"/>
        </w:rPr>
        <w:t>With regard to</w:t>
      </w:r>
      <w:proofErr w:type="gramEnd"/>
      <w:r>
        <w:rPr>
          <w:rFonts w:ascii="Book Antiqua" w:eastAsia="Calibri" w:hAnsi="Book Antiqua" w:cs="Arial"/>
          <w:sz w:val="24"/>
          <w:szCs w:val="24"/>
          <w:lang w:eastAsia="en-GB"/>
        </w:rPr>
        <w:t xml:space="preserve"> the second limb of paragraph EX1 the appellant relies upon his wife’s ill-health, her inability to speak Arabic: and the general risks</w:t>
      </w:r>
      <w:r w:rsidR="00B16244">
        <w:rPr>
          <w:rFonts w:ascii="Book Antiqua" w:eastAsia="Calibri" w:hAnsi="Book Antiqua" w:cs="Arial"/>
          <w:sz w:val="24"/>
          <w:szCs w:val="24"/>
          <w:lang w:eastAsia="en-GB"/>
        </w:rPr>
        <w:t xml:space="preserve"> to </w:t>
      </w:r>
      <w:r>
        <w:rPr>
          <w:rFonts w:ascii="Book Antiqua" w:eastAsia="Calibri" w:hAnsi="Book Antiqua" w:cs="Arial"/>
          <w:sz w:val="24"/>
          <w:szCs w:val="24"/>
          <w:lang w:eastAsia="en-GB"/>
        </w:rPr>
        <w:t xml:space="preserve">British citizens in Egypt. </w:t>
      </w:r>
    </w:p>
    <w:p w:rsidR="00A60646" w:rsidRDefault="00A60646" w:rsidP="00A60646">
      <w:pPr>
        <w:tabs>
          <w:tab w:val="left" w:pos="567"/>
        </w:tabs>
        <w:spacing w:after="160" w:line="259" w:lineRule="auto"/>
        <w:ind w:left="570" w:firstLine="0"/>
        <w:contextualSpacing/>
        <w:rPr>
          <w:rFonts w:ascii="Book Antiqua" w:eastAsia="Calibri" w:hAnsi="Book Antiqua" w:cs="Arial"/>
          <w:sz w:val="24"/>
          <w:szCs w:val="24"/>
          <w:lang w:eastAsia="en-GB"/>
        </w:rPr>
      </w:pPr>
    </w:p>
    <w:p w:rsidR="00A60646" w:rsidRDefault="00A60646" w:rsidP="00947AA9">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Calibri" w:hAnsi="Book Antiqua" w:cs="Arial"/>
          <w:sz w:val="24"/>
          <w:szCs w:val="24"/>
          <w:lang w:eastAsia="en-GB"/>
        </w:rPr>
        <w:t xml:space="preserve">The Judge </w:t>
      </w:r>
      <w:proofErr w:type="gramStart"/>
      <w:r>
        <w:rPr>
          <w:rFonts w:ascii="Book Antiqua" w:eastAsia="Calibri" w:hAnsi="Book Antiqua" w:cs="Arial"/>
          <w:sz w:val="24"/>
          <w:szCs w:val="24"/>
          <w:lang w:eastAsia="en-GB"/>
        </w:rPr>
        <w:t>took into account</w:t>
      </w:r>
      <w:proofErr w:type="gramEnd"/>
      <w:r>
        <w:rPr>
          <w:rFonts w:ascii="Book Antiqua" w:eastAsia="Calibri" w:hAnsi="Book Antiqua" w:cs="Arial"/>
          <w:sz w:val="24"/>
          <w:szCs w:val="24"/>
          <w:lang w:eastAsia="en-GB"/>
        </w:rPr>
        <w:t xml:space="preserve"> the following factors in deciding whether </w:t>
      </w:r>
      <w:r w:rsidR="00B16244">
        <w:rPr>
          <w:rFonts w:ascii="Book Antiqua" w:eastAsia="Calibri" w:hAnsi="Book Antiqua" w:cs="Arial"/>
          <w:sz w:val="24"/>
          <w:szCs w:val="24"/>
          <w:lang w:eastAsia="en-GB"/>
        </w:rPr>
        <w:t xml:space="preserve">it </w:t>
      </w:r>
      <w:r>
        <w:rPr>
          <w:rFonts w:ascii="Book Antiqua" w:eastAsia="Calibri" w:hAnsi="Book Antiqua" w:cs="Arial"/>
          <w:sz w:val="24"/>
          <w:szCs w:val="24"/>
          <w:lang w:eastAsia="en-GB"/>
        </w:rPr>
        <w:t>would be reasonable to expect the appellant’s step child to relocate to Egypt</w:t>
      </w:r>
      <w:r w:rsidR="00B16244">
        <w:rPr>
          <w:rFonts w:ascii="Book Antiqua" w:eastAsia="Calibri" w:hAnsi="Book Antiqua" w:cs="Arial"/>
          <w:sz w:val="24"/>
          <w:szCs w:val="24"/>
          <w:lang w:eastAsia="en-GB"/>
        </w:rPr>
        <w:t xml:space="preserve"> with the appellant and his wife</w:t>
      </w:r>
      <w:r>
        <w:rPr>
          <w:rFonts w:ascii="Book Antiqua" w:eastAsia="Calibri" w:hAnsi="Book Antiqua" w:cs="Arial"/>
          <w:sz w:val="24"/>
          <w:szCs w:val="24"/>
          <w:lang w:eastAsia="en-GB"/>
        </w:rPr>
        <w:t xml:space="preserve">. The first was that he has maternal grandparents in the United Kingdom with whom he is in regular contact. Second, Egypt has had a troubled recent history with considerable unrest. Third, neither the step child nor his mother </w:t>
      </w:r>
      <w:r w:rsidR="00B16244">
        <w:rPr>
          <w:rFonts w:ascii="Book Antiqua" w:eastAsia="Calibri" w:hAnsi="Book Antiqua" w:cs="Arial"/>
          <w:sz w:val="24"/>
          <w:szCs w:val="24"/>
          <w:lang w:eastAsia="en-GB"/>
        </w:rPr>
        <w:t>speaks</w:t>
      </w:r>
      <w:r>
        <w:rPr>
          <w:rFonts w:ascii="Book Antiqua" w:eastAsia="Calibri" w:hAnsi="Book Antiqua" w:cs="Arial"/>
          <w:sz w:val="24"/>
          <w:szCs w:val="24"/>
          <w:lang w:eastAsia="en-GB"/>
        </w:rPr>
        <w:t xml:space="preserve"> any Arabic. Fourth,</w:t>
      </w:r>
      <w:r w:rsidR="00B16244">
        <w:rPr>
          <w:rFonts w:ascii="Book Antiqua" w:eastAsia="Calibri" w:hAnsi="Book Antiqua" w:cs="Arial"/>
          <w:sz w:val="24"/>
          <w:szCs w:val="24"/>
          <w:lang w:eastAsia="en-GB"/>
        </w:rPr>
        <w:t xml:space="preserve"> the child </w:t>
      </w:r>
      <w:r>
        <w:rPr>
          <w:rFonts w:ascii="Book Antiqua" w:eastAsia="Calibri" w:hAnsi="Book Antiqua" w:cs="Arial"/>
          <w:sz w:val="24"/>
          <w:szCs w:val="24"/>
          <w:lang w:eastAsia="en-GB"/>
        </w:rPr>
        <w:t>has had a Catholic upbringing whereas Egypt is a predominantly Muslim country. The country policy and information note on Egypt of July 2017 states that Christians are an established and significant minority in Egypt with an estimated population of between 8 to 15% of the overall population. It further states that they are generally able to live and work alongside Egyptians of other faiths although some face societal discrimination and violence, including episodes of looting, bomb and arson attacks, blocking of church construction, kidnapping and mob violence. Fifth</w:t>
      </w:r>
      <w:r w:rsidR="00B16244">
        <w:rPr>
          <w:rFonts w:ascii="Book Antiqua" w:eastAsia="Calibri" w:hAnsi="Book Antiqua" w:cs="Arial"/>
          <w:sz w:val="24"/>
          <w:szCs w:val="24"/>
          <w:lang w:eastAsia="en-GB"/>
        </w:rPr>
        <w:t>,</w:t>
      </w:r>
      <w:r>
        <w:rPr>
          <w:rFonts w:ascii="Book Antiqua" w:eastAsia="Calibri" w:hAnsi="Book Antiqua" w:cs="Arial"/>
          <w:sz w:val="24"/>
          <w:szCs w:val="24"/>
          <w:lang w:eastAsia="en-GB"/>
        </w:rPr>
        <w:t xml:space="preserve"> according to the CPI report including actors of protection, and internal relocation (July 2017), the quality of public education in Egypt is very low. Taking all these factors into account the judge found that it would not be reasonable to expect the appellant’s step child to leave the United Kingdom and relocate to Egypt.</w:t>
      </w:r>
    </w:p>
    <w:p w:rsidR="0087048B" w:rsidRDefault="0087048B" w:rsidP="0087048B">
      <w:pPr>
        <w:tabs>
          <w:tab w:val="left" w:pos="567"/>
        </w:tabs>
        <w:spacing w:after="160" w:line="259" w:lineRule="auto"/>
        <w:ind w:left="0" w:firstLine="0"/>
        <w:contextualSpacing/>
        <w:rPr>
          <w:rFonts w:ascii="Book Antiqua" w:eastAsia="Calibri" w:hAnsi="Book Antiqua" w:cs="Arial"/>
          <w:sz w:val="24"/>
          <w:szCs w:val="24"/>
          <w:lang w:eastAsia="en-GB"/>
        </w:rPr>
      </w:pPr>
    </w:p>
    <w:p w:rsidR="00A60646" w:rsidRDefault="00A60646" w:rsidP="00947AA9">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Calibri" w:hAnsi="Book Antiqua" w:cs="Arial"/>
          <w:sz w:val="24"/>
          <w:szCs w:val="24"/>
          <w:lang w:eastAsia="en-GB"/>
        </w:rPr>
        <w:t xml:space="preserve">In respect of </w:t>
      </w:r>
      <w:r w:rsidR="00B16244">
        <w:rPr>
          <w:rFonts w:ascii="Book Antiqua" w:eastAsia="Calibri" w:hAnsi="Book Antiqua" w:cs="Arial"/>
          <w:sz w:val="24"/>
          <w:szCs w:val="24"/>
          <w:lang w:eastAsia="en-GB"/>
        </w:rPr>
        <w:t xml:space="preserve">Article </w:t>
      </w:r>
      <w:r>
        <w:rPr>
          <w:rFonts w:ascii="Book Antiqua" w:eastAsia="Calibri" w:hAnsi="Book Antiqua" w:cs="Arial"/>
          <w:sz w:val="24"/>
          <w:szCs w:val="24"/>
          <w:lang w:eastAsia="en-GB"/>
        </w:rPr>
        <w:t xml:space="preserve">8, the terms of the rules are relevant to the consideration of the claim under </w:t>
      </w:r>
      <w:r w:rsidR="00B16244">
        <w:rPr>
          <w:rFonts w:ascii="Book Antiqua" w:eastAsia="Calibri" w:hAnsi="Book Antiqua" w:cs="Arial"/>
          <w:sz w:val="24"/>
          <w:szCs w:val="24"/>
          <w:lang w:eastAsia="en-GB"/>
        </w:rPr>
        <w:t xml:space="preserve">Article </w:t>
      </w:r>
      <w:r>
        <w:rPr>
          <w:rFonts w:ascii="Book Antiqua" w:eastAsia="Calibri" w:hAnsi="Book Antiqua" w:cs="Arial"/>
          <w:sz w:val="24"/>
          <w:szCs w:val="24"/>
          <w:lang w:eastAsia="en-GB"/>
        </w:rPr>
        <w:t xml:space="preserve">8. Indeed, appendix FM begins by stating at paragraph GEN. 1. 1 that “it reflects how, under article 8 of the human rights Convention, the balance will be struck between the right to respect for private and family life and the legitimate </w:t>
      </w:r>
      <w:r>
        <w:rPr>
          <w:rFonts w:ascii="Book Antiqua" w:eastAsia="Calibri" w:hAnsi="Book Antiqua" w:cs="Arial"/>
          <w:sz w:val="24"/>
          <w:szCs w:val="24"/>
          <w:lang w:eastAsia="en-GB"/>
        </w:rPr>
        <w:lastRenderedPageBreak/>
        <w:t>aims of protecting national security, public safety and the economic well-being of the United Kingdom: the prevention of disorder and crime: the protection of health or morals: and the protection of the rights and freedoms of others”.</w:t>
      </w:r>
    </w:p>
    <w:p w:rsidR="00A60646" w:rsidRDefault="00A60646" w:rsidP="00A60646">
      <w:pPr>
        <w:tabs>
          <w:tab w:val="left" w:pos="567"/>
        </w:tabs>
        <w:spacing w:after="160" w:line="259" w:lineRule="auto"/>
        <w:ind w:left="570" w:firstLine="0"/>
        <w:contextualSpacing/>
        <w:rPr>
          <w:rFonts w:ascii="Book Antiqua" w:eastAsia="Calibri" w:hAnsi="Book Antiqua" w:cs="Arial"/>
          <w:sz w:val="24"/>
          <w:szCs w:val="24"/>
          <w:lang w:eastAsia="en-GB"/>
        </w:rPr>
      </w:pPr>
    </w:p>
    <w:p w:rsidR="00B16244" w:rsidRDefault="00A60646" w:rsidP="00947AA9">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Calibri" w:hAnsi="Book Antiqua" w:cs="Arial"/>
          <w:sz w:val="24"/>
          <w:szCs w:val="24"/>
          <w:lang w:eastAsia="en-GB"/>
        </w:rPr>
        <w:t xml:space="preserve">The appellant has met the requirements of the immigration rules and in consequence the interference with family life of the appellant and his wife and stepson occasioned by the refusal of entry clearance is not “necessary” in pursuance of those legitimate interests. </w:t>
      </w:r>
    </w:p>
    <w:p w:rsidR="00B16244" w:rsidRDefault="00B16244" w:rsidP="00B16244">
      <w:pPr>
        <w:tabs>
          <w:tab w:val="left" w:pos="567"/>
        </w:tabs>
        <w:spacing w:after="160" w:line="259" w:lineRule="auto"/>
        <w:ind w:left="570" w:firstLine="0"/>
        <w:contextualSpacing/>
        <w:rPr>
          <w:rFonts w:ascii="Book Antiqua" w:eastAsia="Calibri" w:hAnsi="Book Antiqua" w:cs="Arial"/>
          <w:sz w:val="24"/>
          <w:szCs w:val="24"/>
          <w:lang w:eastAsia="en-GB"/>
        </w:rPr>
      </w:pPr>
    </w:p>
    <w:p w:rsidR="00A60646" w:rsidRDefault="00A60646" w:rsidP="00947AA9">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Calibri" w:hAnsi="Book Antiqua" w:cs="Arial"/>
          <w:sz w:val="24"/>
          <w:szCs w:val="24"/>
          <w:lang w:eastAsia="en-GB"/>
        </w:rPr>
        <w:t xml:space="preserve">The appellant’s stepson is a qualified child </w:t>
      </w:r>
      <w:proofErr w:type="gramStart"/>
      <w:r>
        <w:rPr>
          <w:rFonts w:ascii="Book Antiqua" w:eastAsia="Calibri" w:hAnsi="Book Antiqua" w:cs="Arial"/>
          <w:sz w:val="24"/>
          <w:szCs w:val="24"/>
          <w:lang w:eastAsia="en-GB"/>
        </w:rPr>
        <w:t>for the purpose of</w:t>
      </w:r>
      <w:proofErr w:type="gramEnd"/>
      <w:r>
        <w:rPr>
          <w:rFonts w:ascii="Book Antiqua" w:eastAsia="Calibri" w:hAnsi="Book Antiqua" w:cs="Arial"/>
          <w:sz w:val="24"/>
          <w:szCs w:val="24"/>
          <w:lang w:eastAsia="en-GB"/>
        </w:rPr>
        <w:t xml:space="preserve"> section 117B</w:t>
      </w:r>
      <w:r w:rsidR="00B16244">
        <w:rPr>
          <w:rFonts w:ascii="Book Antiqua" w:eastAsia="Calibri" w:hAnsi="Book Antiqua" w:cs="Arial"/>
          <w:sz w:val="24"/>
          <w:szCs w:val="24"/>
          <w:lang w:eastAsia="en-GB"/>
        </w:rPr>
        <w:t xml:space="preserve"> [</w:t>
      </w:r>
      <w:r>
        <w:rPr>
          <w:rFonts w:ascii="Book Antiqua" w:eastAsia="Calibri" w:hAnsi="Book Antiqua" w:cs="Arial"/>
          <w:sz w:val="24"/>
          <w:szCs w:val="24"/>
          <w:lang w:eastAsia="en-GB"/>
        </w:rPr>
        <w:t>see section 117D (1)</w:t>
      </w:r>
      <w:r w:rsidR="00B16244">
        <w:rPr>
          <w:rFonts w:ascii="Book Antiqua" w:eastAsia="Calibri" w:hAnsi="Book Antiqua" w:cs="Arial"/>
          <w:sz w:val="24"/>
          <w:szCs w:val="24"/>
          <w:lang w:eastAsia="en-GB"/>
        </w:rPr>
        <w:t xml:space="preserve"> i</w:t>
      </w:r>
      <w:r>
        <w:rPr>
          <w:rFonts w:ascii="Book Antiqua" w:eastAsia="Calibri" w:hAnsi="Book Antiqua" w:cs="Arial"/>
          <w:sz w:val="24"/>
          <w:szCs w:val="24"/>
          <w:lang w:eastAsia="en-GB"/>
        </w:rPr>
        <w:t xml:space="preserve">s </w:t>
      </w:r>
      <w:r w:rsidR="00B16244">
        <w:rPr>
          <w:rFonts w:ascii="Book Antiqua" w:eastAsia="Calibri" w:hAnsi="Book Antiqua" w:cs="Arial"/>
          <w:sz w:val="24"/>
          <w:szCs w:val="24"/>
          <w:lang w:eastAsia="en-GB"/>
        </w:rPr>
        <w:t xml:space="preserve">that </w:t>
      </w:r>
      <w:r>
        <w:rPr>
          <w:rFonts w:ascii="Book Antiqua" w:eastAsia="Calibri" w:hAnsi="Book Antiqua" w:cs="Arial"/>
          <w:sz w:val="24"/>
          <w:szCs w:val="24"/>
          <w:lang w:eastAsia="en-GB"/>
        </w:rPr>
        <w:t xml:space="preserve">the public interest does not require the appellant’s removal in circumstances where it would be unreasonable to expect the step child to leave the United Kingdom. The </w:t>
      </w:r>
      <w:r w:rsidR="00B16244">
        <w:rPr>
          <w:rFonts w:ascii="Book Antiqua" w:eastAsia="Calibri" w:hAnsi="Book Antiqua" w:cs="Arial"/>
          <w:sz w:val="24"/>
          <w:szCs w:val="24"/>
          <w:lang w:eastAsia="en-GB"/>
        </w:rPr>
        <w:t xml:space="preserve">Judge </w:t>
      </w:r>
      <w:r>
        <w:rPr>
          <w:rFonts w:ascii="Book Antiqua" w:eastAsia="Calibri" w:hAnsi="Book Antiqua" w:cs="Arial"/>
          <w:sz w:val="24"/>
          <w:szCs w:val="24"/>
          <w:lang w:eastAsia="en-GB"/>
        </w:rPr>
        <w:t xml:space="preserve">concluded by saying “in my judgement the respondent’s decision does not involve the striking of a fair balance between the rights of the individual and the interests of the </w:t>
      </w:r>
      <w:r w:rsidR="00B16244">
        <w:rPr>
          <w:rFonts w:ascii="Book Antiqua" w:eastAsia="Calibri" w:hAnsi="Book Antiqua" w:cs="Arial"/>
          <w:sz w:val="24"/>
          <w:szCs w:val="24"/>
          <w:lang w:eastAsia="en-GB"/>
        </w:rPr>
        <w:t>community and</w:t>
      </w:r>
      <w:r>
        <w:rPr>
          <w:rFonts w:ascii="Book Antiqua" w:eastAsia="Calibri" w:hAnsi="Book Antiqua" w:cs="Arial"/>
          <w:sz w:val="24"/>
          <w:szCs w:val="24"/>
          <w:lang w:eastAsia="en-GB"/>
        </w:rPr>
        <w:t xml:space="preserve"> would interfere disproportionately with the </w:t>
      </w:r>
      <w:r w:rsidR="00BD73EA">
        <w:rPr>
          <w:rFonts w:ascii="Book Antiqua" w:eastAsia="Calibri" w:hAnsi="Book Antiqua" w:cs="Arial"/>
          <w:sz w:val="24"/>
          <w:szCs w:val="24"/>
          <w:lang w:eastAsia="en-GB"/>
        </w:rPr>
        <w:t>parties’</w:t>
      </w:r>
      <w:r>
        <w:rPr>
          <w:rFonts w:ascii="Book Antiqua" w:eastAsia="Calibri" w:hAnsi="Book Antiqua" w:cs="Arial"/>
          <w:sz w:val="24"/>
          <w:szCs w:val="24"/>
          <w:lang w:eastAsia="en-GB"/>
        </w:rPr>
        <w:t xml:space="preserve"> family life”.</w:t>
      </w:r>
    </w:p>
    <w:p w:rsidR="00B16244" w:rsidRDefault="00B16244" w:rsidP="00B16244">
      <w:pPr>
        <w:tabs>
          <w:tab w:val="left" w:pos="567"/>
        </w:tabs>
        <w:spacing w:after="160" w:line="259" w:lineRule="auto"/>
        <w:ind w:left="570" w:firstLine="0"/>
        <w:contextualSpacing/>
        <w:rPr>
          <w:rFonts w:ascii="Book Antiqua" w:eastAsia="Calibri" w:hAnsi="Book Antiqua" w:cs="Arial"/>
          <w:sz w:val="24"/>
          <w:szCs w:val="24"/>
          <w:lang w:eastAsia="en-GB"/>
        </w:rPr>
      </w:pPr>
    </w:p>
    <w:p w:rsidR="009F3022" w:rsidRDefault="009F3022" w:rsidP="00947AA9">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Calibri" w:hAnsi="Book Antiqua" w:cs="Arial"/>
          <w:sz w:val="24"/>
          <w:szCs w:val="24"/>
          <w:lang w:eastAsia="en-GB"/>
        </w:rPr>
        <w:t xml:space="preserve">The Secretary of State’s grounds of appeal states that the </w:t>
      </w:r>
      <w:r w:rsidR="00B16244">
        <w:rPr>
          <w:rFonts w:ascii="Book Antiqua" w:eastAsia="Calibri" w:hAnsi="Book Antiqua" w:cs="Arial"/>
          <w:sz w:val="24"/>
          <w:szCs w:val="24"/>
          <w:lang w:eastAsia="en-GB"/>
        </w:rPr>
        <w:t xml:space="preserve">Judge </w:t>
      </w:r>
      <w:r>
        <w:rPr>
          <w:rFonts w:ascii="Book Antiqua" w:eastAsia="Calibri" w:hAnsi="Book Antiqua" w:cs="Arial"/>
          <w:sz w:val="24"/>
          <w:szCs w:val="24"/>
          <w:lang w:eastAsia="en-GB"/>
        </w:rPr>
        <w:t xml:space="preserve">made a material misdirection of law by allowing the appellant’s appeal without regard to the public interest factors outlined in section 117B of the </w:t>
      </w:r>
      <w:r w:rsidR="00B16244">
        <w:rPr>
          <w:rFonts w:ascii="Book Antiqua" w:eastAsia="Calibri" w:hAnsi="Book Antiqua" w:cs="Arial"/>
          <w:sz w:val="24"/>
          <w:szCs w:val="24"/>
          <w:lang w:eastAsia="en-GB"/>
        </w:rPr>
        <w:t xml:space="preserve">Nationality, Immigration and Asylum Act </w:t>
      </w:r>
      <w:r>
        <w:rPr>
          <w:rFonts w:ascii="Book Antiqua" w:eastAsia="Calibri" w:hAnsi="Book Antiqua" w:cs="Arial"/>
          <w:sz w:val="24"/>
          <w:szCs w:val="24"/>
          <w:lang w:eastAsia="en-GB"/>
        </w:rPr>
        <w:t xml:space="preserve">2002. The </w:t>
      </w:r>
      <w:r w:rsidR="00B16244">
        <w:rPr>
          <w:rFonts w:ascii="Book Antiqua" w:eastAsia="Calibri" w:hAnsi="Book Antiqua" w:cs="Arial"/>
          <w:sz w:val="24"/>
          <w:szCs w:val="24"/>
          <w:lang w:eastAsia="en-GB"/>
        </w:rPr>
        <w:t xml:space="preserve">Judge </w:t>
      </w:r>
      <w:r>
        <w:rPr>
          <w:rFonts w:ascii="Book Antiqua" w:eastAsia="Calibri" w:hAnsi="Book Antiqua" w:cs="Arial"/>
          <w:sz w:val="24"/>
          <w:szCs w:val="24"/>
          <w:lang w:eastAsia="en-GB"/>
        </w:rPr>
        <w:t xml:space="preserve">did not conduct the proportionality balance correctly. The Judge has failed to consider that this appellant used a false name and nationality when encountered by the Home Office enforcement team in line with section 117 (b) and has materially erred in law. </w:t>
      </w:r>
    </w:p>
    <w:p w:rsidR="009F3022" w:rsidRDefault="009F3022" w:rsidP="009F3022">
      <w:pPr>
        <w:tabs>
          <w:tab w:val="left" w:pos="567"/>
        </w:tabs>
        <w:spacing w:after="160" w:line="259" w:lineRule="auto"/>
        <w:ind w:left="570" w:firstLine="0"/>
        <w:contextualSpacing/>
        <w:rPr>
          <w:rFonts w:ascii="Book Antiqua" w:eastAsia="Calibri" w:hAnsi="Book Antiqua" w:cs="Arial"/>
          <w:sz w:val="24"/>
          <w:szCs w:val="24"/>
          <w:lang w:eastAsia="en-GB"/>
        </w:rPr>
      </w:pPr>
    </w:p>
    <w:p w:rsidR="009F3022" w:rsidRDefault="009F3022" w:rsidP="00947AA9">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Calibri" w:hAnsi="Book Antiqua" w:cs="Arial"/>
          <w:sz w:val="24"/>
          <w:szCs w:val="24"/>
          <w:lang w:eastAsia="en-GB"/>
        </w:rPr>
        <w:t xml:space="preserve">Reliance is placed on the case </w:t>
      </w:r>
      <w:r w:rsidRPr="00B16244">
        <w:rPr>
          <w:rFonts w:ascii="Book Antiqua" w:eastAsia="Calibri" w:hAnsi="Book Antiqua" w:cs="Arial"/>
          <w:b/>
          <w:sz w:val="24"/>
          <w:szCs w:val="24"/>
          <w:u w:val="single"/>
          <w:lang w:eastAsia="en-GB"/>
        </w:rPr>
        <w:t>of Dube (ss 117A- 117D) [2015] UKUT 00090 (IAC)</w:t>
      </w:r>
      <w:r>
        <w:rPr>
          <w:rFonts w:ascii="Book Antiqua" w:eastAsia="Calibri" w:hAnsi="Book Antiqua" w:cs="Arial"/>
          <w:sz w:val="24"/>
          <w:szCs w:val="24"/>
          <w:lang w:eastAsia="en-GB"/>
        </w:rPr>
        <w:t xml:space="preserve"> in which the headnote states “Judges are required statutorily to </w:t>
      </w:r>
      <w:proofErr w:type="gramStart"/>
      <w:r>
        <w:rPr>
          <w:rFonts w:ascii="Book Antiqua" w:eastAsia="Calibri" w:hAnsi="Book Antiqua" w:cs="Arial"/>
          <w:sz w:val="24"/>
          <w:szCs w:val="24"/>
          <w:lang w:eastAsia="en-GB"/>
        </w:rPr>
        <w:t>take into account</w:t>
      </w:r>
      <w:proofErr w:type="gramEnd"/>
      <w:r>
        <w:rPr>
          <w:rFonts w:ascii="Book Antiqua" w:eastAsia="Calibri" w:hAnsi="Book Antiqua" w:cs="Arial"/>
          <w:sz w:val="24"/>
          <w:szCs w:val="24"/>
          <w:lang w:eastAsia="en-GB"/>
        </w:rPr>
        <w:t xml:space="preserve"> a number of</w:t>
      </w:r>
      <w:r w:rsidR="00B16244">
        <w:rPr>
          <w:rFonts w:ascii="Book Antiqua" w:eastAsia="Calibri" w:hAnsi="Book Antiqua" w:cs="Arial"/>
          <w:sz w:val="24"/>
          <w:szCs w:val="24"/>
          <w:lang w:eastAsia="en-GB"/>
        </w:rPr>
        <w:t xml:space="preserve"> rated </w:t>
      </w:r>
      <w:r>
        <w:rPr>
          <w:rFonts w:ascii="Book Antiqua" w:eastAsia="Calibri" w:hAnsi="Book Antiqua" w:cs="Arial"/>
          <w:sz w:val="24"/>
          <w:szCs w:val="24"/>
          <w:lang w:eastAsia="en-GB"/>
        </w:rPr>
        <w:t xml:space="preserve">considerations. Section 117 a-117D are not therefore, an à la carte menu of considerations that it is at the discretion of the </w:t>
      </w:r>
      <w:r w:rsidR="00B16244">
        <w:rPr>
          <w:rFonts w:ascii="Book Antiqua" w:eastAsia="Calibri" w:hAnsi="Book Antiqua" w:cs="Arial"/>
          <w:sz w:val="24"/>
          <w:szCs w:val="24"/>
          <w:lang w:eastAsia="en-GB"/>
        </w:rPr>
        <w:t xml:space="preserve">Judge </w:t>
      </w:r>
      <w:r>
        <w:rPr>
          <w:rFonts w:ascii="Book Antiqua" w:eastAsia="Calibri" w:hAnsi="Book Antiqua" w:cs="Arial"/>
          <w:sz w:val="24"/>
          <w:szCs w:val="24"/>
          <w:lang w:eastAsia="en-GB"/>
        </w:rPr>
        <w:t>to apply or not apply. Judges are bound to have regard to the specified considerations.</w:t>
      </w:r>
    </w:p>
    <w:p w:rsidR="00A60646" w:rsidRDefault="00A60646" w:rsidP="00A60646">
      <w:pPr>
        <w:pStyle w:val="ListParagraph"/>
        <w:rPr>
          <w:rFonts w:ascii="Book Antiqua" w:eastAsia="Calibri" w:hAnsi="Book Antiqua" w:cs="Arial"/>
          <w:sz w:val="24"/>
          <w:szCs w:val="24"/>
          <w:lang w:eastAsia="en-GB"/>
        </w:rPr>
      </w:pPr>
    </w:p>
    <w:p w:rsidR="00A60646" w:rsidRDefault="00A60646" w:rsidP="00947AA9">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Calibri" w:hAnsi="Book Antiqua" w:cs="Arial"/>
          <w:sz w:val="24"/>
          <w:szCs w:val="24"/>
          <w:lang w:eastAsia="en-GB"/>
        </w:rPr>
        <w:t>The</w:t>
      </w:r>
      <w:r w:rsidR="009F3022">
        <w:rPr>
          <w:rFonts w:ascii="Book Antiqua" w:eastAsia="Calibri" w:hAnsi="Book Antiqua" w:cs="Arial"/>
          <w:sz w:val="24"/>
          <w:szCs w:val="24"/>
          <w:lang w:eastAsia="en-GB"/>
        </w:rPr>
        <w:t xml:space="preserve"> appellant’s Rule 24 response states that it is clear from the </w:t>
      </w:r>
      <w:r w:rsidR="00B16244">
        <w:rPr>
          <w:rFonts w:ascii="Book Antiqua" w:eastAsia="Calibri" w:hAnsi="Book Antiqua" w:cs="Arial"/>
          <w:sz w:val="24"/>
          <w:szCs w:val="24"/>
          <w:lang w:eastAsia="en-GB"/>
        </w:rPr>
        <w:t xml:space="preserve">Judge’s </w:t>
      </w:r>
      <w:r w:rsidR="009F3022">
        <w:rPr>
          <w:rFonts w:ascii="Book Antiqua" w:eastAsia="Calibri" w:hAnsi="Book Antiqua" w:cs="Arial"/>
          <w:sz w:val="24"/>
          <w:szCs w:val="24"/>
          <w:lang w:eastAsia="en-GB"/>
        </w:rPr>
        <w:t xml:space="preserve">decision that the </w:t>
      </w:r>
      <w:r w:rsidR="00B16244">
        <w:rPr>
          <w:rFonts w:ascii="Book Antiqua" w:eastAsia="Calibri" w:hAnsi="Book Antiqua" w:cs="Arial"/>
          <w:sz w:val="24"/>
          <w:szCs w:val="24"/>
          <w:lang w:eastAsia="en-GB"/>
        </w:rPr>
        <w:t xml:space="preserve">Judge </w:t>
      </w:r>
      <w:r w:rsidR="009F3022">
        <w:rPr>
          <w:rFonts w:ascii="Book Antiqua" w:eastAsia="Calibri" w:hAnsi="Book Antiqua" w:cs="Arial"/>
          <w:sz w:val="24"/>
          <w:szCs w:val="24"/>
          <w:lang w:eastAsia="en-GB"/>
        </w:rPr>
        <w:t>has addressed the public interest factors outlined in section 117B in both substance and form. The appellant has a genuine and subsisting relationship with a qualifying child and it would be unreasonable to expect the child to leave the United Kingdom. It would be disproportionate to require the step child to leave the United Kingdom. It was accepted by the Secretary of State that the appellant has a genuine and subsisting relationship with his wife and his stepson.</w:t>
      </w:r>
    </w:p>
    <w:p w:rsidR="009F3022" w:rsidRDefault="009F3022" w:rsidP="009F3022">
      <w:pPr>
        <w:pStyle w:val="ListParagraph"/>
        <w:rPr>
          <w:rFonts w:ascii="Book Antiqua" w:eastAsia="Calibri" w:hAnsi="Book Antiqua" w:cs="Arial"/>
          <w:sz w:val="24"/>
          <w:szCs w:val="24"/>
          <w:lang w:eastAsia="en-GB"/>
        </w:rPr>
      </w:pPr>
    </w:p>
    <w:p w:rsidR="009F3022" w:rsidRDefault="009F3022" w:rsidP="009F3022">
      <w:pPr>
        <w:tabs>
          <w:tab w:val="left" w:pos="567"/>
        </w:tabs>
        <w:spacing w:after="160" w:line="259" w:lineRule="auto"/>
        <w:ind w:left="570" w:firstLine="0"/>
        <w:contextualSpacing/>
        <w:rPr>
          <w:rFonts w:ascii="Book Antiqua" w:eastAsia="Calibri" w:hAnsi="Book Antiqua" w:cs="Arial"/>
          <w:b/>
          <w:sz w:val="24"/>
          <w:szCs w:val="24"/>
          <w:u w:val="single"/>
          <w:lang w:eastAsia="en-GB"/>
        </w:rPr>
      </w:pPr>
      <w:r w:rsidRPr="009F3022">
        <w:rPr>
          <w:rFonts w:ascii="Book Antiqua" w:eastAsia="Calibri" w:hAnsi="Book Antiqua" w:cs="Arial"/>
          <w:b/>
          <w:sz w:val="24"/>
          <w:szCs w:val="24"/>
          <w:u w:val="single"/>
          <w:lang w:eastAsia="en-GB"/>
        </w:rPr>
        <w:t>Decision on the error of law</w:t>
      </w:r>
    </w:p>
    <w:p w:rsidR="00BD3C81" w:rsidRPr="009F3022" w:rsidRDefault="00BD3C81" w:rsidP="009F3022">
      <w:pPr>
        <w:tabs>
          <w:tab w:val="left" w:pos="567"/>
        </w:tabs>
        <w:spacing w:after="160" w:line="259" w:lineRule="auto"/>
        <w:ind w:left="570" w:firstLine="0"/>
        <w:contextualSpacing/>
        <w:rPr>
          <w:rFonts w:ascii="Book Antiqua" w:eastAsia="Calibri" w:hAnsi="Book Antiqua" w:cs="Arial"/>
          <w:b/>
          <w:sz w:val="24"/>
          <w:szCs w:val="24"/>
          <w:u w:val="single"/>
          <w:lang w:eastAsia="en-GB"/>
        </w:rPr>
      </w:pPr>
    </w:p>
    <w:p w:rsidR="00B16244" w:rsidRDefault="009F3022" w:rsidP="00947AA9">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Calibri" w:hAnsi="Book Antiqua" w:cs="Arial"/>
          <w:sz w:val="24"/>
          <w:szCs w:val="24"/>
          <w:lang w:eastAsia="en-GB"/>
        </w:rPr>
        <w:t xml:space="preserve">I have considered the </w:t>
      </w:r>
      <w:r w:rsidR="00B16244">
        <w:rPr>
          <w:rFonts w:ascii="Book Antiqua" w:eastAsia="Calibri" w:hAnsi="Book Antiqua" w:cs="Arial"/>
          <w:sz w:val="24"/>
          <w:szCs w:val="24"/>
          <w:lang w:eastAsia="en-GB"/>
        </w:rPr>
        <w:t>First</w:t>
      </w:r>
      <w:r>
        <w:rPr>
          <w:rFonts w:ascii="Book Antiqua" w:eastAsia="Calibri" w:hAnsi="Book Antiqua" w:cs="Arial"/>
          <w:sz w:val="24"/>
          <w:szCs w:val="24"/>
          <w:lang w:eastAsia="en-GB"/>
        </w:rPr>
        <w:t>-tier Tribunal Judge’s</w:t>
      </w:r>
      <w:r w:rsidR="00B16244">
        <w:rPr>
          <w:rFonts w:ascii="Book Antiqua" w:eastAsia="Calibri" w:hAnsi="Book Antiqua" w:cs="Arial"/>
          <w:sz w:val="24"/>
          <w:szCs w:val="24"/>
          <w:lang w:eastAsia="en-GB"/>
        </w:rPr>
        <w:t xml:space="preserve"> decision </w:t>
      </w:r>
      <w:r>
        <w:rPr>
          <w:rFonts w:ascii="Book Antiqua" w:eastAsia="Calibri" w:hAnsi="Book Antiqua" w:cs="Arial"/>
          <w:sz w:val="24"/>
          <w:szCs w:val="24"/>
          <w:lang w:eastAsia="en-GB"/>
        </w:rPr>
        <w:t xml:space="preserve">with </w:t>
      </w:r>
      <w:r w:rsidR="00B16244">
        <w:rPr>
          <w:rFonts w:ascii="Book Antiqua" w:eastAsia="Calibri" w:hAnsi="Book Antiqua" w:cs="Arial"/>
          <w:sz w:val="24"/>
          <w:szCs w:val="24"/>
          <w:lang w:eastAsia="en-GB"/>
        </w:rPr>
        <w:t xml:space="preserve">due </w:t>
      </w:r>
      <w:r>
        <w:rPr>
          <w:rFonts w:ascii="Book Antiqua" w:eastAsia="Calibri" w:hAnsi="Book Antiqua" w:cs="Arial"/>
          <w:sz w:val="24"/>
          <w:szCs w:val="24"/>
          <w:lang w:eastAsia="en-GB"/>
        </w:rPr>
        <w:t>care</w:t>
      </w:r>
      <w:r w:rsidR="00B16244">
        <w:rPr>
          <w:rFonts w:ascii="Book Antiqua" w:eastAsia="Calibri" w:hAnsi="Book Antiqua" w:cs="Arial"/>
          <w:sz w:val="24"/>
          <w:szCs w:val="24"/>
          <w:lang w:eastAsia="en-GB"/>
        </w:rPr>
        <w:t xml:space="preserve"> and scrutiny</w:t>
      </w:r>
      <w:r>
        <w:rPr>
          <w:rFonts w:ascii="Book Antiqua" w:eastAsia="Calibri" w:hAnsi="Book Antiqua" w:cs="Arial"/>
          <w:sz w:val="24"/>
          <w:szCs w:val="24"/>
          <w:lang w:eastAsia="en-GB"/>
        </w:rPr>
        <w:t xml:space="preserve">. The respondent’s </w:t>
      </w:r>
      <w:r w:rsidR="00B16244">
        <w:rPr>
          <w:rFonts w:ascii="Book Antiqua" w:eastAsia="Calibri" w:hAnsi="Book Antiqua" w:cs="Arial"/>
          <w:sz w:val="24"/>
          <w:szCs w:val="24"/>
          <w:lang w:eastAsia="en-GB"/>
        </w:rPr>
        <w:t xml:space="preserve">primary </w:t>
      </w:r>
      <w:r>
        <w:rPr>
          <w:rFonts w:ascii="Book Antiqua" w:eastAsia="Calibri" w:hAnsi="Book Antiqua" w:cs="Arial"/>
          <w:sz w:val="24"/>
          <w:szCs w:val="24"/>
          <w:lang w:eastAsia="en-GB"/>
        </w:rPr>
        <w:t xml:space="preserve">complaint is that the Judge did not </w:t>
      </w:r>
      <w:proofErr w:type="gramStart"/>
      <w:r>
        <w:rPr>
          <w:rFonts w:ascii="Book Antiqua" w:eastAsia="Calibri" w:hAnsi="Book Antiqua" w:cs="Arial"/>
          <w:sz w:val="24"/>
          <w:szCs w:val="24"/>
          <w:lang w:eastAsia="en-GB"/>
        </w:rPr>
        <w:t>take into account</w:t>
      </w:r>
      <w:proofErr w:type="gramEnd"/>
      <w:r>
        <w:rPr>
          <w:rFonts w:ascii="Book Antiqua" w:eastAsia="Calibri" w:hAnsi="Book Antiqua" w:cs="Arial"/>
          <w:sz w:val="24"/>
          <w:szCs w:val="24"/>
          <w:lang w:eastAsia="en-GB"/>
        </w:rPr>
        <w:t xml:space="preserve"> paragraph 117</w:t>
      </w:r>
      <w:r w:rsidR="00B16244">
        <w:rPr>
          <w:rFonts w:ascii="Book Antiqua" w:eastAsia="Calibri" w:hAnsi="Book Antiqua" w:cs="Arial"/>
          <w:sz w:val="24"/>
          <w:szCs w:val="24"/>
          <w:lang w:eastAsia="en-GB"/>
        </w:rPr>
        <w:t>A</w:t>
      </w:r>
      <w:r>
        <w:rPr>
          <w:rFonts w:ascii="Book Antiqua" w:eastAsia="Calibri" w:hAnsi="Book Antiqua" w:cs="Arial"/>
          <w:sz w:val="24"/>
          <w:szCs w:val="24"/>
          <w:lang w:eastAsia="en-GB"/>
        </w:rPr>
        <w:t>-117D in her proportionality exercise</w:t>
      </w:r>
      <w:r w:rsidR="00B16244">
        <w:rPr>
          <w:rFonts w:ascii="Book Antiqua" w:eastAsia="Calibri" w:hAnsi="Book Antiqua" w:cs="Arial"/>
          <w:sz w:val="24"/>
          <w:szCs w:val="24"/>
          <w:lang w:eastAsia="en-GB"/>
        </w:rPr>
        <w:t xml:space="preserve"> under Article 8.</w:t>
      </w:r>
      <w:r>
        <w:rPr>
          <w:rFonts w:ascii="Book Antiqua" w:eastAsia="Calibri" w:hAnsi="Book Antiqua" w:cs="Arial"/>
          <w:sz w:val="24"/>
          <w:szCs w:val="24"/>
          <w:lang w:eastAsia="en-GB"/>
        </w:rPr>
        <w:t xml:space="preserve"> </w:t>
      </w:r>
    </w:p>
    <w:p w:rsidR="00B16244" w:rsidRDefault="00B16244" w:rsidP="00B16244">
      <w:pPr>
        <w:tabs>
          <w:tab w:val="left" w:pos="567"/>
        </w:tabs>
        <w:spacing w:after="160" w:line="259" w:lineRule="auto"/>
        <w:ind w:left="570" w:firstLine="0"/>
        <w:contextualSpacing/>
        <w:rPr>
          <w:rFonts w:ascii="Book Antiqua" w:eastAsia="Calibri" w:hAnsi="Book Antiqua" w:cs="Arial"/>
          <w:sz w:val="24"/>
          <w:szCs w:val="24"/>
          <w:lang w:eastAsia="en-GB"/>
        </w:rPr>
      </w:pPr>
    </w:p>
    <w:p w:rsidR="009F3022" w:rsidRDefault="00BE19A8" w:rsidP="00947AA9">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Calibri" w:hAnsi="Book Antiqua" w:cs="Arial"/>
          <w:sz w:val="24"/>
          <w:szCs w:val="24"/>
          <w:lang w:eastAsia="en-GB"/>
        </w:rPr>
        <w:t xml:space="preserve">Having considered the decision </w:t>
      </w:r>
      <w:proofErr w:type="gramStart"/>
      <w:r>
        <w:rPr>
          <w:rFonts w:ascii="Book Antiqua" w:eastAsia="Calibri" w:hAnsi="Book Antiqua" w:cs="Arial"/>
          <w:sz w:val="24"/>
          <w:szCs w:val="24"/>
          <w:lang w:eastAsia="en-GB"/>
        </w:rPr>
        <w:t xml:space="preserve">as a whole, </w:t>
      </w:r>
      <w:r w:rsidR="009F3022">
        <w:rPr>
          <w:rFonts w:ascii="Book Antiqua" w:eastAsia="Calibri" w:hAnsi="Book Antiqua" w:cs="Arial"/>
          <w:sz w:val="24"/>
          <w:szCs w:val="24"/>
          <w:lang w:eastAsia="en-GB"/>
        </w:rPr>
        <w:t>the</w:t>
      </w:r>
      <w:proofErr w:type="gramEnd"/>
      <w:r w:rsidR="009F3022">
        <w:rPr>
          <w:rFonts w:ascii="Book Antiqua" w:eastAsia="Calibri" w:hAnsi="Book Antiqua" w:cs="Arial"/>
          <w:sz w:val="24"/>
          <w:szCs w:val="24"/>
          <w:lang w:eastAsia="en-GB"/>
        </w:rPr>
        <w:t xml:space="preserve"> Judge did take into account paragraph 117B-117D and</w:t>
      </w:r>
      <w:r>
        <w:rPr>
          <w:rFonts w:ascii="Book Antiqua" w:eastAsia="Calibri" w:hAnsi="Book Antiqua" w:cs="Arial"/>
          <w:sz w:val="24"/>
          <w:szCs w:val="24"/>
          <w:lang w:eastAsia="en-GB"/>
        </w:rPr>
        <w:t xml:space="preserve"> made her findings based on the criteria therein</w:t>
      </w:r>
      <w:r w:rsidR="009F3022">
        <w:rPr>
          <w:rFonts w:ascii="Book Antiqua" w:eastAsia="Calibri" w:hAnsi="Book Antiqua" w:cs="Arial"/>
          <w:sz w:val="24"/>
          <w:szCs w:val="24"/>
          <w:lang w:eastAsia="en-GB"/>
        </w:rPr>
        <w:t xml:space="preserve">. The respondent’s grounds are no more than a quarrel with the </w:t>
      </w:r>
      <w:r>
        <w:rPr>
          <w:rFonts w:ascii="Book Antiqua" w:eastAsia="Calibri" w:hAnsi="Book Antiqua" w:cs="Arial"/>
          <w:sz w:val="24"/>
          <w:szCs w:val="24"/>
          <w:lang w:eastAsia="en-GB"/>
        </w:rPr>
        <w:t>Judge’s</w:t>
      </w:r>
      <w:r w:rsidR="009F3022">
        <w:rPr>
          <w:rFonts w:ascii="Book Antiqua" w:eastAsia="Calibri" w:hAnsi="Book Antiqua" w:cs="Arial"/>
          <w:sz w:val="24"/>
          <w:szCs w:val="24"/>
          <w:lang w:eastAsia="en-GB"/>
        </w:rPr>
        <w:t xml:space="preserve"> decision and the conclusions </w:t>
      </w:r>
      <w:r>
        <w:rPr>
          <w:rFonts w:ascii="Book Antiqua" w:eastAsia="Calibri" w:hAnsi="Book Antiqua" w:cs="Arial"/>
          <w:sz w:val="24"/>
          <w:szCs w:val="24"/>
          <w:lang w:eastAsia="en-GB"/>
        </w:rPr>
        <w:t xml:space="preserve">that </w:t>
      </w:r>
      <w:r w:rsidR="009F3022">
        <w:rPr>
          <w:rFonts w:ascii="Book Antiqua" w:eastAsia="Calibri" w:hAnsi="Book Antiqua" w:cs="Arial"/>
          <w:sz w:val="24"/>
          <w:szCs w:val="24"/>
          <w:lang w:eastAsia="en-GB"/>
        </w:rPr>
        <w:t>she arrived at on the evidence before her.</w:t>
      </w:r>
      <w:r>
        <w:rPr>
          <w:rFonts w:ascii="Book Antiqua" w:eastAsia="Calibri" w:hAnsi="Book Antiqua" w:cs="Arial"/>
          <w:sz w:val="24"/>
          <w:szCs w:val="24"/>
          <w:lang w:eastAsia="en-GB"/>
        </w:rPr>
        <w:t xml:space="preserve"> She applied the correct law and came to the correct decision.</w:t>
      </w:r>
    </w:p>
    <w:p w:rsidR="009F3022" w:rsidRDefault="009F3022" w:rsidP="009F3022">
      <w:pPr>
        <w:tabs>
          <w:tab w:val="left" w:pos="567"/>
        </w:tabs>
        <w:spacing w:after="160" w:line="259" w:lineRule="auto"/>
        <w:ind w:left="570" w:firstLine="0"/>
        <w:contextualSpacing/>
        <w:rPr>
          <w:rFonts w:ascii="Book Antiqua" w:eastAsia="Calibri" w:hAnsi="Book Antiqua" w:cs="Arial"/>
          <w:sz w:val="24"/>
          <w:szCs w:val="24"/>
          <w:lang w:eastAsia="en-GB"/>
        </w:rPr>
      </w:pPr>
    </w:p>
    <w:p w:rsidR="0034568F" w:rsidRDefault="009F3022" w:rsidP="00BE19A8">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Calibri" w:hAnsi="Book Antiqua" w:cs="Arial"/>
          <w:sz w:val="24"/>
          <w:szCs w:val="24"/>
          <w:lang w:eastAsia="en-GB"/>
        </w:rPr>
        <w:t xml:space="preserve">The Judge found that the </w:t>
      </w:r>
      <w:r w:rsidR="00BE19A8">
        <w:rPr>
          <w:rFonts w:ascii="Book Antiqua" w:eastAsia="Calibri" w:hAnsi="Book Antiqua" w:cs="Arial"/>
          <w:sz w:val="24"/>
          <w:szCs w:val="24"/>
          <w:lang w:eastAsia="en-GB"/>
        </w:rPr>
        <w:t xml:space="preserve">appellant’s </w:t>
      </w:r>
      <w:r>
        <w:rPr>
          <w:rFonts w:ascii="Book Antiqua" w:eastAsia="Calibri" w:hAnsi="Book Antiqua" w:cs="Arial"/>
          <w:sz w:val="24"/>
          <w:szCs w:val="24"/>
          <w:lang w:eastAsia="en-GB"/>
        </w:rPr>
        <w:t xml:space="preserve">stepson was a qualifying child and it would not be reasonable to expect him to return to Turkey. </w:t>
      </w:r>
      <w:r w:rsidR="0034568F" w:rsidRPr="00BE19A8">
        <w:rPr>
          <w:rFonts w:ascii="Book Antiqua" w:eastAsia="Calibri" w:hAnsi="Book Antiqua" w:cs="Arial"/>
          <w:sz w:val="24"/>
          <w:szCs w:val="24"/>
          <w:lang w:eastAsia="en-GB"/>
        </w:rPr>
        <w:t xml:space="preserve">The judge at paragraph 27 </w:t>
      </w:r>
      <w:r w:rsidR="00BE19A8">
        <w:rPr>
          <w:rFonts w:ascii="Book Antiqua" w:eastAsia="Calibri" w:hAnsi="Book Antiqua" w:cs="Arial"/>
          <w:sz w:val="24"/>
          <w:szCs w:val="24"/>
          <w:lang w:eastAsia="en-GB"/>
        </w:rPr>
        <w:t xml:space="preserve">of her decision </w:t>
      </w:r>
      <w:r w:rsidR="0034568F" w:rsidRPr="00BE19A8">
        <w:rPr>
          <w:rFonts w:ascii="Book Antiqua" w:eastAsia="Calibri" w:hAnsi="Book Antiqua" w:cs="Arial"/>
          <w:sz w:val="24"/>
          <w:szCs w:val="24"/>
          <w:lang w:eastAsia="en-GB"/>
        </w:rPr>
        <w:t>set out cogent reasons for why the appellant’s stepson cannot return to Egypt with the appellant and his wife. First, she concluded that</w:t>
      </w:r>
      <w:r w:rsidR="00BE19A8">
        <w:rPr>
          <w:rFonts w:ascii="Book Antiqua" w:eastAsia="Calibri" w:hAnsi="Book Antiqua" w:cs="Arial"/>
          <w:sz w:val="24"/>
          <w:szCs w:val="24"/>
          <w:lang w:eastAsia="en-GB"/>
        </w:rPr>
        <w:t xml:space="preserve"> the </w:t>
      </w:r>
      <w:r w:rsidR="0034568F" w:rsidRPr="00BE19A8">
        <w:rPr>
          <w:rFonts w:ascii="Book Antiqua" w:eastAsia="Calibri" w:hAnsi="Book Antiqua" w:cs="Arial"/>
          <w:sz w:val="24"/>
          <w:szCs w:val="24"/>
          <w:lang w:eastAsia="en-GB"/>
        </w:rPr>
        <w:t xml:space="preserve">appellant’s wife </w:t>
      </w:r>
      <w:proofErr w:type="gramStart"/>
      <w:r w:rsidR="0034568F" w:rsidRPr="00BE19A8">
        <w:rPr>
          <w:rFonts w:ascii="Book Antiqua" w:eastAsia="Calibri" w:hAnsi="Book Antiqua" w:cs="Arial"/>
          <w:sz w:val="24"/>
          <w:szCs w:val="24"/>
          <w:lang w:eastAsia="en-GB"/>
        </w:rPr>
        <w:t>is in need of</w:t>
      </w:r>
      <w:proofErr w:type="gramEnd"/>
      <w:r w:rsidR="0034568F" w:rsidRPr="00BE19A8">
        <w:rPr>
          <w:rFonts w:ascii="Book Antiqua" w:eastAsia="Calibri" w:hAnsi="Book Antiqua" w:cs="Arial"/>
          <w:sz w:val="24"/>
          <w:szCs w:val="24"/>
          <w:lang w:eastAsia="en-GB"/>
        </w:rPr>
        <w:t xml:space="preserve"> medical care which she is receiving in the United Kingdom. Second, she said that the appellant</w:t>
      </w:r>
      <w:r w:rsidR="00BE19A8">
        <w:rPr>
          <w:rFonts w:ascii="Book Antiqua" w:eastAsia="Calibri" w:hAnsi="Book Antiqua" w:cs="Arial"/>
          <w:sz w:val="24"/>
          <w:szCs w:val="24"/>
          <w:lang w:eastAsia="en-GB"/>
        </w:rPr>
        <w:t>’s</w:t>
      </w:r>
      <w:r w:rsidR="0034568F" w:rsidRPr="00BE19A8">
        <w:rPr>
          <w:rFonts w:ascii="Book Antiqua" w:eastAsia="Calibri" w:hAnsi="Book Antiqua" w:cs="Arial"/>
          <w:sz w:val="24"/>
          <w:szCs w:val="24"/>
          <w:lang w:eastAsia="en-GB"/>
        </w:rPr>
        <w:t xml:space="preserve"> stepson cannot be expected to live in Egypt because he is in regular contact with his grandparents</w:t>
      </w:r>
      <w:r w:rsidR="00BE19A8">
        <w:rPr>
          <w:rFonts w:ascii="Book Antiqua" w:eastAsia="Calibri" w:hAnsi="Book Antiqua" w:cs="Arial"/>
          <w:sz w:val="24"/>
          <w:szCs w:val="24"/>
          <w:lang w:eastAsia="en-GB"/>
        </w:rPr>
        <w:t>.</w:t>
      </w:r>
      <w:r w:rsidR="0034568F" w:rsidRPr="00BE19A8">
        <w:rPr>
          <w:rFonts w:ascii="Book Antiqua" w:eastAsia="Calibri" w:hAnsi="Book Antiqua" w:cs="Arial"/>
          <w:sz w:val="24"/>
          <w:szCs w:val="24"/>
          <w:lang w:eastAsia="en-GB"/>
        </w:rPr>
        <w:t xml:space="preserve"> </w:t>
      </w:r>
      <w:r w:rsidR="00BE19A8">
        <w:rPr>
          <w:rFonts w:ascii="Book Antiqua" w:eastAsia="Calibri" w:hAnsi="Book Antiqua" w:cs="Arial"/>
          <w:sz w:val="24"/>
          <w:szCs w:val="24"/>
          <w:lang w:eastAsia="en-GB"/>
        </w:rPr>
        <w:t xml:space="preserve">The Judge </w:t>
      </w:r>
      <w:proofErr w:type="gramStart"/>
      <w:r w:rsidR="00BE19A8">
        <w:rPr>
          <w:rFonts w:ascii="Book Antiqua" w:eastAsia="Calibri" w:hAnsi="Book Antiqua" w:cs="Arial"/>
          <w:sz w:val="24"/>
          <w:szCs w:val="24"/>
          <w:lang w:eastAsia="en-GB"/>
        </w:rPr>
        <w:t>took into account</w:t>
      </w:r>
      <w:proofErr w:type="gramEnd"/>
      <w:r w:rsidR="00BE19A8">
        <w:rPr>
          <w:rFonts w:ascii="Book Antiqua" w:eastAsia="Calibri" w:hAnsi="Book Antiqua" w:cs="Arial"/>
          <w:sz w:val="24"/>
          <w:szCs w:val="24"/>
          <w:lang w:eastAsia="en-GB"/>
        </w:rPr>
        <w:t xml:space="preserve"> background evidence on </w:t>
      </w:r>
      <w:r w:rsidR="0034568F" w:rsidRPr="00BE19A8">
        <w:rPr>
          <w:rFonts w:ascii="Book Antiqua" w:eastAsia="Calibri" w:hAnsi="Book Antiqua" w:cs="Arial"/>
          <w:sz w:val="24"/>
          <w:szCs w:val="24"/>
          <w:lang w:eastAsia="en-GB"/>
        </w:rPr>
        <w:t xml:space="preserve">Egypt </w:t>
      </w:r>
      <w:r w:rsidR="00BE19A8">
        <w:rPr>
          <w:rFonts w:ascii="Book Antiqua" w:eastAsia="Calibri" w:hAnsi="Book Antiqua" w:cs="Arial"/>
          <w:sz w:val="24"/>
          <w:szCs w:val="24"/>
          <w:lang w:eastAsia="en-GB"/>
        </w:rPr>
        <w:t xml:space="preserve">and said that the country </w:t>
      </w:r>
      <w:r w:rsidR="0034568F" w:rsidRPr="00BE19A8">
        <w:rPr>
          <w:rFonts w:ascii="Book Antiqua" w:eastAsia="Calibri" w:hAnsi="Book Antiqua" w:cs="Arial"/>
          <w:sz w:val="24"/>
          <w:szCs w:val="24"/>
          <w:lang w:eastAsia="en-GB"/>
        </w:rPr>
        <w:t>has a troubled recent history with considerable unrest</w:t>
      </w:r>
      <w:r w:rsidR="00BE19A8">
        <w:rPr>
          <w:rFonts w:ascii="Book Antiqua" w:eastAsia="Calibri" w:hAnsi="Book Antiqua" w:cs="Arial"/>
          <w:sz w:val="24"/>
          <w:szCs w:val="24"/>
          <w:lang w:eastAsia="en-GB"/>
        </w:rPr>
        <w:t xml:space="preserve"> and did not think it is reasonable for the step child to live in such an environment. The Judge also </w:t>
      </w:r>
      <w:proofErr w:type="gramStart"/>
      <w:r w:rsidR="00BE19A8">
        <w:rPr>
          <w:rFonts w:ascii="Book Antiqua" w:eastAsia="Calibri" w:hAnsi="Book Antiqua" w:cs="Arial"/>
          <w:sz w:val="24"/>
          <w:szCs w:val="24"/>
          <w:lang w:eastAsia="en-GB"/>
        </w:rPr>
        <w:t>took into account</w:t>
      </w:r>
      <w:proofErr w:type="gramEnd"/>
      <w:r w:rsidR="00BE19A8">
        <w:rPr>
          <w:rFonts w:ascii="Book Antiqua" w:eastAsia="Calibri" w:hAnsi="Book Antiqua" w:cs="Arial"/>
          <w:sz w:val="24"/>
          <w:szCs w:val="24"/>
          <w:lang w:eastAsia="en-GB"/>
        </w:rPr>
        <w:t xml:space="preserve"> that the child and the mother </w:t>
      </w:r>
      <w:r w:rsidR="0034568F" w:rsidRPr="00BE19A8">
        <w:rPr>
          <w:rFonts w:ascii="Book Antiqua" w:eastAsia="Calibri" w:hAnsi="Book Antiqua" w:cs="Arial"/>
          <w:sz w:val="24"/>
          <w:szCs w:val="24"/>
          <w:lang w:eastAsia="en-GB"/>
        </w:rPr>
        <w:t>do not speak any Arabic</w:t>
      </w:r>
      <w:r w:rsidR="00BE19A8">
        <w:rPr>
          <w:rFonts w:ascii="Book Antiqua" w:eastAsia="Calibri" w:hAnsi="Book Antiqua" w:cs="Arial"/>
          <w:sz w:val="24"/>
          <w:szCs w:val="24"/>
          <w:lang w:eastAsia="en-GB"/>
        </w:rPr>
        <w:t xml:space="preserve">. She also considered the fact that the </w:t>
      </w:r>
      <w:r w:rsidR="0034568F" w:rsidRPr="00BE19A8">
        <w:rPr>
          <w:rFonts w:ascii="Book Antiqua" w:eastAsia="Calibri" w:hAnsi="Book Antiqua" w:cs="Arial"/>
          <w:sz w:val="24"/>
          <w:szCs w:val="24"/>
          <w:lang w:eastAsia="en-GB"/>
        </w:rPr>
        <w:t>child has had a Catholic upbringing whereas Egypt is a predominantly Muslim country</w:t>
      </w:r>
      <w:r w:rsidR="00BE19A8">
        <w:rPr>
          <w:rFonts w:ascii="Book Antiqua" w:eastAsia="Calibri" w:hAnsi="Book Antiqua" w:cs="Arial"/>
          <w:sz w:val="24"/>
          <w:szCs w:val="24"/>
          <w:lang w:eastAsia="en-GB"/>
        </w:rPr>
        <w:t xml:space="preserve"> and that considered the background evidence where it states that there is discrimination and sometimes violence against Christians in Egypt</w:t>
      </w:r>
      <w:r w:rsidR="0034568F" w:rsidRPr="00BE19A8">
        <w:rPr>
          <w:rFonts w:ascii="Book Antiqua" w:eastAsia="Calibri" w:hAnsi="Book Antiqua" w:cs="Arial"/>
          <w:sz w:val="24"/>
          <w:szCs w:val="24"/>
          <w:lang w:eastAsia="en-GB"/>
        </w:rPr>
        <w:t>.</w:t>
      </w:r>
      <w:r w:rsidR="00BE19A8">
        <w:rPr>
          <w:rFonts w:ascii="Book Antiqua" w:eastAsia="Calibri" w:hAnsi="Book Antiqua" w:cs="Arial"/>
          <w:sz w:val="24"/>
          <w:szCs w:val="24"/>
          <w:lang w:eastAsia="en-GB"/>
        </w:rPr>
        <w:t xml:space="preserve"> She also considered that Egypt’s standard of education is very low.</w:t>
      </w:r>
    </w:p>
    <w:p w:rsidR="00BD73EA" w:rsidRDefault="00BD73EA" w:rsidP="00BD73EA">
      <w:pPr>
        <w:tabs>
          <w:tab w:val="left" w:pos="567"/>
        </w:tabs>
        <w:spacing w:after="160" w:line="259" w:lineRule="auto"/>
        <w:ind w:left="570" w:firstLine="0"/>
        <w:contextualSpacing/>
        <w:rPr>
          <w:rFonts w:ascii="Book Antiqua" w:eastAsia="Calibri" w:hAnsi="Book Antiqua" w:cs="Arial"/>
          <w:sz w:val="24"/>
          <w:szCs w:val="24"/>
          <w:lang w:eastAsia="en-GB"/>
        </w:rPr>
      </w:pPr>
    </w:p>
    <w:p w:rsidR="00BE19A8" w:rsidRPr="00BE19A8" w:rsidRDefault="00BE19A8" w:rsidP="00BE19A8">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Calibri" w:hAnsi="Book Antiqua" w:cs="Arial"/>
          <w:sz w:val="24"/>
          <w:szCs w:val="24"/>
          <w:lang w:eastAsia="en-GB"/>
        </w:rPr>
        <w:t xml:space="preserve">Given all these articulated reasons, no differently constituted Tribunal Judge would find it reasonable to expect a British citizen child to live in such a country and risk his welfare. The best interests of the child </w:t>
      </w:r>
      <w:proofErr w:type="gramStart"/>
      <w:r>
        <w:rPr>
          <w:rFonts w:ascii="Book Antiqua" w:eastAsia="Calibri" w:hAnsi="Book Antiqua" w:cs="Arial"/>
          <w:sz w:val="24"/>
          <w:szCs w:val="24"/>
          <w:lang w:eastAsia="en-GB"/>
        </w:rPr>
        <w:t>was</w:t>
      </w:r>
      <w:proofErr w:type="gramEnd"/>
      <w:r>
        <w:rPr>
          <w:rFonts w:ascii="Book Antiqua" w:eastAsia="Calibri" w:hAnsi="Book Antiqua" w:cs="Arial"/>
          <w:sz w:val="24"/>
          <w:szCs w:val="24"/>
          <w:lang w:eastAsia="en-GB"/>
        </w:rPr>
        <w:t xml:space="preserve"> at the forefront of the Judge</w:t>
      </w:r>
      <w:r w:rsidR="00BD73EA">
        <w:rPr>
          <w:rFonts w:ascii="Book Antiqua" w:eastAsia="Calibri" w:hAnsi="Book Antiqua" w:cs="Arial"/>
          <w:sz w:val="24"/>
          <w:szCs w:val="24"/>
          <w:lang w:eastAsia="en-GB"/>
        </w:rPr>
        <w:t>’</w:t>
      </w:r>
      <w:r>
        <w:rPr>
          <w:rFonts w:ascii="Book Antiqua" w:eastAsia="Calibri" w:hAnsi="Book Antiqua" w:cs="Arial"/>
          <w:sz w:val="24"/>
          <w:szCs w:val="24"/>
          <w:lang w:eastAsia="en-GB"/>
        </w:rPr>
        <w:t>s mind as it ought to be.</w:t>
      </w:r>
    </w:p>
    <w:p w:rsidR="00BE19A8" w:rsidRDefault="00BE19A8" w:rsidP="00BE19A8">
      <w:pPr>
        <w:tabs>
          <w:tab w:val="left" w:pos="567"/>
        </w:tabs>
        <w:spacing w:after="160" w:line="259" w:lineRule="auto"/>
        <w:ind w:left="570" w:firstLine="0"/>
        <w:contextualSpacing/>
        <w:rPr>
          <w:rFonts w:ascii="Book Antiqua" w:eastAsia="Calibri" w:hAnsi="Book Antiqua" w:cs="Arial"/>
          <w:sz w:val="24"/>
          <w:szCs w:val="24"/>
          <w:lang w:eastAsia="en-GB"/>
        </w:rPr>
      </w:pPr>
    </w:p>
    <w:p w:rsidR="00BE19A8" w:rsidRDefault="0034568F" w:rsidP="00BE19A8">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Calibri" w:hAnsi="Book Antiqua" w:cs="Arial"/>
          <w:sz w:val="24"/>
          <w:szCs w:val="24"/>
          <w:lang w:eastAsia="en-GB"/>
        </w:rPr>
        <w:t xml:space="preserve">It is not incumbent on the Judge to set out all the factors </w:t>
      </w:r>
      <w:r w:rsidR="00BE19A8">
        <w:rPr>
          <w:rFonts w:ascii="Book Antiqua" w:eastAsia="Calibri" w:hAnsi="Book Antiqua" w:cs="Arial"/>
          <w:sz w:val="24"/>
          <w:szCs w:val="24"/>
          <w:lang w:eastAsia="en-GB"/>
        </w:rPr>
        <w:t xml:space="preserve">in section 117 </w:t>
      </w:r>
      <w:r>
        <w:rPr>
          <w:rFonts w:ascii="Book Antiqua" w:eastAsia="Calibri" w:hAnsi="Book Antiqua" w:cs="Arial"/>
          <w:sz w:val="24"/>
          <w:szCs w:val="24"/>
          <w:lang w:eastAsia="en-GB"/>
        </w:rPr>
        <w:t>and address</w:t>
      </w:r>
      <w:r w:rsidR="00BE19A8">
        <w:rPr>
          <w:rFonts w:ascii="Book Antiqua" w:eastAsia="Calibri" w:hAnsi="Book Antiqua" w:cs="Arial"/>
          <w:sz w:val="24"/>
          <w:szCs w:val="24"/>
          <w:lang w:eastAsia="en-GB"/>
        </w:rPr>
        <w:t xml:space="preserve"> all the individual criteria</w:t>
      </w:r>
      <w:r>
        <w:rPr>
          <w:rFonts w:ascii="Book Antiqua" w:eastAsia="Calibri" w:hAnsi="Book Antiqua" w:cs="Arial"/>
          <w:sz w:val="24"/>
          <w:szCs w:val="24"/>
          <w:lang w:eastAsia="en-GB"/>
        </w:rPr>
        <w:t xml:space="preserve">. </w:t>
      </w:r>
      <w:r w:rsidR="00BE19A8">
        <w:rPr>
          <w:rFonts w:ascii="Book Antiqua" w:eastAsia="Calibri" w:hAnsi="Book Antiqua" w:cs="Arial"/>
          <w:sz w:val="24"/>
          <w:szCs w:val="24"/>
          <w:lang w:eastAsia="en-GB"/>
        </w:rPr>
        <w:t>The Judge more than adequately considered the public interest factors set out in section 117 a-117B in</w:t>
      </w:r>
      <w:r w:rsidR="00BD73EA">
        <w:rPr>
          <w:rFonts w:ascii="Book Antiqua" w:eastAsia="Calibri" w:hAnsi="Book Antiqua" w:cs="Arial"/>
          <w:sz w:val="24"/>
          <w:szCs w:val="24"/>
          <w:lang w:eastAsia="en-GB"/>
        </w:rPr>
        <w:t xml:space="preserve"> </w:t>
      </w:r>
      <w:r w:rsidR="00BE19A8">
        <w:rPr>
          <w:rFonts w:ascii="Book Antiqua" w:eastAsia="Calibri" w:hAnsi="Book Antiqua" w:cs="Arial"/>
          <w:sz w:val="24"/>
          <w:szCs w:val="24"/>
          <w:lang w:eastAsia="en-GB"/>
        </w:rPr>
        <w:t xml:space="preserve">form and in substance. </w:t>
      </w:r>
    </w:p>
    <w:p w:rsidR="00BE19A8" w:rsidRDefault="00BE19A8" w:rsidP="00BE19A8">
      <w:pPr>
        <w:tabs>
          <w:tab w:val="left" w:pos="567"/>
        </w:tabs>
        <w:spacing w:after="160" w:line="259" w:lineRule="auto"/>
        <w:ind w:left="570" w:firstLine="0"/>
        <w:contextualSpacing/>
        <w:rPr>
          <w:rFonts w:ascii="Book Antiqua" w:eastAsia="Calibri" w:hAnsi="Book Antiqua" w:cs="Arial"/>
          <w:sz w:val="24"/>
          <w:szCs w:val="24"/>
          <w:lang w:eastAsia="en-GB"/>
        </w:rPr>
      </w:pPr>
    </w:p>
    <w:p w:rsidR="0034568F" w:rsidRDefault="0034568F" w:rsidP="00947AA9">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Calibri" w:hAnsi="Book Antiqua" w:cs="Arial"/>
          <w:sz w:val="24"/>
          <w:szCs w:val="24"/>
          <w:lang w:eastAsia="en-GB"/>
        </w:rPr>
        <w:t xml:space="preserve">The respondent complains that the judge did not </w:t>
      </w:r>
      <w:proofErr w:type="gramStart"/>
      <w:r>
        <w:rPr>
          <w:rFonts w:ascii="Book Antiqua" w:eastAsia="Calibri" w:hAnsi="Book Antiqua" w:cs="Arial"/>
          <w:sz w:val="24"/>
          <w:szCs w:val="24"/>
          <w:lang w:eastAsia="en-GB"/>
        </w:rPr>
        <w:t>take into account</w:t>
      </w:r>
      <w:proofErr w:type="gramEnd"/>
      <w:r>
        <w:rPr>
          <w:rFonts w:ascii="Book Antiqua" w:eastAsia="Calibri" w:hAnsi="Book Antiqua" w:cs="Arial"/>
          <w:sz w:val="24"/>
          <w:szCs w:val="24"/>
          <w:lang w:eastAsia="en-GB"/>
        </w:rPr>
        <w:t xml:space="preserve"> that the appellant had used false name and nationality when arrested by the </w:t>
      </w:r>
      <w:r w:rsidR="00BE19A8">
        <w:rPr>
          <w:rFonts w:ascii="Book Antiqua" w:eastAsia="Calibri" w:hAnsi="Book Antiqua" w:cs="Arial"/>
          <w:sz w:val="24"/>
          <w:szCs w:val="24"/>
          <w:lang w:eastAsia="en-GB"/>
        </w:rPr>
        <w:t>Border Agency</w:t>
      </w:r>
      <w:r>
        <w:rPr>
          <w:rFonts w:ascii="Book Antiqua" w:eastAsia="Calibri" w:hAnsi="Book Antiqua" w:cs="Arial"/>
          <w:sz w:val="24"/>
          <w:szCs w:val="24"/>
          <w:lang w:eastAsia="en-GB"/>
        </w:rPr>
        <w:t>. However</w:t>
      </w:r>
      <w:r w:rsidR="00BD73EA">
        <w:rPr>
          <w:rFonts w:ascii="Book Antiqua" w:eastAsia="Calibri" w:hAnsi="Book Antiqua" w:cs="Arial"/>
          <w:sz w:val="24"/>
          <w:szCs w:val="24"/>
          <w:lang w:eastAsia="en-GB"/>
        </w:rPr>
        <w:t>,</w:t>
      </w:r>
      <w:r>
        <w:rPr>
          <w:rFonts w:ascii="Book Antiqua" w:eastAsia="Calibri" w:hAnsi="Book Antiqua" w:cs="Arial"/>
          <w:sz w:val="24"/>
          <w:szCs w:val="24"/>
          <w:lang w:eastAsia="en-GB"/>
        </w:rPr>
        <w:t xml:space="preserve"> the Judge took</w:t>
      </w:r>
      <w:r w:rsidR="00BE19A8">
        <w:rPr>
          <w:rFonts w:ascii="Book Antiqua" w:eastAsia="Calibri" w:hAnsi="Book Antiqua" w:cs="Arial"/>
          <w:sz w:val="24"/>
          <w:szCs w:val="24"/>
          <w:lang w:eastAsia="en-GB"/>
        </w:rPr>
        <w:t xml:space="preserve"> considered </w:t>
      </w:r>
      <w:r w:rsidR="00BD73EA">
        <w:rPr>
          <w:rFonts w:ascii="Book Antiqua" w:eastAsia="Calibri" w:hAnsi="Book Antiqua" w:cs="Arial"/>
          <w:sz w:val="24"/>
          <w:szCs w:val="24"/>
          <w:lang w:eastAsia="en-GB"/>
        </w:rPr>
        <w:t>section 117B (6) (a) (b) in which it states that “</w:t>
      </w:r>
      <w:r>
        <w:rPr>
          <w:rFonts w:ascii="Book Antiqua" w:eastAsia="Calibri" w:hAnsi="Book Antiqua" w:cs="Arial"/>
          <w:sz w:val="24"/>
          <w:szCs w:val="24"/>
          <w:lang w:eastAsia="en-GB"/>
        </w:rPr>
        <w:t>in the case of a person who is not liable to deportation, the public interest does not require the person’s removal where, “the person has a genuine and subsisting parental relationship with a qualifying child and that it would be unreasonable to expect the child to leave the United Kingdom”.</w:t>
      </w:r>
      <w:r w:rsidR="00BD73EA">
        <w:rPr>
          <w:rFonts w:ascii="Book Antiqua" w:eastAsia="Calibri" w:hAnsi="Book Antiqua" w:cs="Arial"/>
          <w:sz w:val="24"/>
          <w:szCs w:val="24"/>
          <w:lang w:eastAsia="en-GB"/>
        </w:rPr>
        <w:t xml:space="preserve"> There was no dispute that the appellant’s step child was a qualifying child as he is a British citizen. The Judge was entitled to find that it is not reasonable for him to go to Egypt.</w:t>
      </w:r>
    </w:p>
    <w:p w:rsidR="00BD73EA" w:rsidRDefault="00BD73EA" w:rsidP="00BD73EA">
      <w:pPr>
        <w:tabs>
          <w:tab w:val="left" w:pos="567"/>
        </w:tabs>
        <w:spacing w:after="160" w:line="259" w:lineRule="auto"/>
        <w:ind w:left="570" w:firstLine="0"/>
        <w:contextualSpacing/>
        <w:rPr>
          <w:rFonts w:ascii="Book Antiqua" w:eastAsia="Calibri" w:hAnsi="Book Antiqua" w:cs="Arial"/>
          <w:sz w:val="24"/>
          <w:szCs w:val="24"/>
          <w:lang w:eastAsia="en-GB"/>
        </w:rPr>
      </w:pPr>
    </w:p>
    <w:p w:rsidR="00BD73EA" w:rsidRDefault="00BD73EA" w:rsidP="00947AA9">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Calibri" w:hAnsi="Book Antiqua" w:cs="Arial"/>
          <w:sz w:val="24"/>
          <w:szCs w:val="24"/>
          <w:lang w:eastAsia="en-GB"/>
        </w:rPr>
        <w:t xml:space="preserve">One other matter needs clarification. The permission Judge stated that the Judge did not give reasons why she so found that the appellant’s marriage was genuine and subsisting. The respondent had accepted that the appellant’s and his wife’s </w:t>
      </w:r>
      <w:r>
        <w:rPr>
          <w:rFonts w:ascii="Book Antiqua" w:eastAsia="Calibri" w:hAnsi="Book Antiqua" w:cs="Arial"/>
          <w:sz w:val="24"/>
          <w:szCs w:val="24"/>
          <w:lang w:eastAsia="en-GB"/>
        </w:rPr>
        <w:lastRenderedPageBreak/>
        <w:t>relationship was genuine and subsisting. The respondent has not taken issue with this in his grounds of appeal.</w:t>
      </w:r>
    </w:p>
    <w:p w:rsidR="00BD73EA" w:rsidRDefault="00BD73EA" w:rsidP="00BD73EA">
      <w:pPr>
        <w:tabs>
          <w:tab w:val="left" w:pos="567"/>
        </w:tabs>
        <w:spacing w:after="160" w:line="259" w:lineRule="auto"/>
        <w:ind w:left="570" w:firstLine="0"/>
        <w:contextualSpacing/>
        <w:rPr>
          <w:rFonts w:ascii="Book Antiqua" w:eastAsia="Calibri" w:hAnsi="Book Antiqua" w:cs="Arial"/>
          <w:sz w:val="24"/>
          <w:szCs w:val="24"/>
          <w:lang w:eastAsia="en-GB"/>
        </w:rPr>
      </w:pPr>
    </w:p>
    <w:p w:rsidR="00BD73EA" w:rsidRDefault="00BD73EA" w:rsidP="00947AA9">
      <w:pPr>
        <w:numPr>
          <w:ilvl w:val="0"/>
          <w:numId w:val="1"/>
        </w:numPr>
        <w:tabs>
          <w:tab w:val="left" w:pos="567"/>
        </w:tabs>
        <w:spacing w:after="160" w:line="259" w:lineRule="auto"/>
        <w:contextualSpacing/>
        <w:rPr>
          <w:rFonts w:ascii="Book Antiqua" w:eastAsia="Calibri" w:hAnsi="Book Antiqua" w:cs="Arial"/>
          <w:sz w:val="24"/>
          <w:szCs w:val="24"/>
          <w:lang w:eastAsia="en-GB"/>
        </w:rPr>
      </w:pPr>
      <w:r>
        <w:rPr>
          <w:rFonts w:ascii="Book Antiqua" w:eastAsia="Calibri" w:hAnsi="Book Antiqua" w:cs="Arial"/>
          <w:sz w:val="24"/>
          <w:szCs w:val="24"/>
          <w:lang w:eastAsia="en-GB"/>
        </w:rPr>
        <w:t>The Judge has not fallen into material error and in a careful decision considered all the evidence, correctly applied the law and came to a sustainable decision.</w:t>
      </w:r>
    </w:p>
    <w:p w:rsidR="00947AA9" w:rsidRDefault="00947AA9" w:rsidP="00947AA9">
      <w:pPr>
        <w:tabs>
          <w:tab w:val="left" w:pos="567"/>
        </w:tabs>
        <w:spacing w:after="160" w:line="259" w:lineRule="auto"/>
        <w:ind w:left="570" w:firstLine="0"/>
        <w:contextualSpacing/>
        <w:rPr>
          <w:rFonts w:ascii="Book Antiqua" w:eastAsia="Calibri" w:hAnsi="Book Antiqua" w:cs="Arial"/>
          <w:sz w:val="24"/>
          <w:szCs w:val="24"/>
          <w:lang w:eastAsia="en-GB"/>
        </w:rPr>
      </w:pPr>
    </w:p>
    <w:p w:rsidR="00947AA9" w:rsidRPr="00D634DC" w:rsidRDefault="00947AA9" w:rsidP="00947AA9">
      <w:pPr>
        <w:numPr>
          <w:ilvl w:val="0"/>
          <w:numId w:val="1"/>
        </w:numPr>
        <w:tabs>
          <w:tab w:val="left" w:pos="567"/>
        </w:tabs>
        <w:spacing w:after="160" w:line="259" w:lineRule="auto"/>
        <w:contextualSpacing/>
        <w:rPr>
          <w:rFonts w:ascii="Book Antiqua" w:eastAsia="Calibri" w:hAnsi="Book Antiqua" w:cs="Arial"/>
          <w:sz w:val="24"/>
          <w:szCs w:val="24"/>
          <w:lang w:eastAsia="en-GB"/>
        </w:rPr>
      </w:pPr>
      <w:r w:rsidRPr="00D634DC">
        <w:rPr>
          <w:rFonts w:ascii="Book Antiqua" w:eastAsia="Calibri" w:hAnsi="Book Antiqua" w:cs="Arial"/>
          <w:sz w:val="24"/>
          <w:szCs w:val="24"/>
          <w:lang w:eastAsia="en-GB"/>
        </w:rPr>
        <w:t xml:space="preserve">I </w:t>
      </w:r>
      <w:r w:rsidR="0034568F">
        <w:rPr>
          <w:rFonts w:ascii="Book Antiqua" w:eastAsia="Calibri" w:hAnsi="Book Antiqua" w:cs="Arial"/>
          <w:sz w:val="24"/>
          <w:szCs w:val="24"/>
          <w:lang w:eastAsia="en-GB"/>
        </w:rPr>
        <w:t xml:space="preserve">therefore </w:t>
      </w:r>
      <w:r w:rsidRPr="00D634DC">
        <w:rPr>
          <w:rFonts w:ascii="Book Antiqua" w:eastAsia="Calibri" w:hAnsi="Book Antiqua" w:cs="Arial"/>
          <w:sz w:val="24"/>
          <w:szCs w:val="24"/>
          <w:lang w:eastAsia="en-GB"/>
        </w:rPr>
        <w:t>dismiss the</w:t>
      </w:r>
      <w:r w:rsidR="0034568F">
        <w:rPr>
          <w:rFonts w:ascii="Book Antiqua" w:eastAsia="Calibri" w:hAnsi="Book Antiqua" w:cs="Arial"/>
          <w:sz w:val="24"/>
          <w:szCs w:val="24"/>
          <w:lang w:eastAsia="en-GB"/>
        </w:rPr>
        <w:t xml:space="preserve"> Secretary of State’s </w:t>
      </w:r>
      <w:r w:rsidRPr="00D634DC">
        <w:rPr>
          <w:rFonts w:ascii="Book Antiqua" w:eastAsia="Calibri" w:hAnsi="Book Antiqua" w:cs="Arial"/>
          <w:sz w:val="24"/>
          <w:szCs w:val="24"/>
          <w:lang w:eastAsia="en-GB"/>
        </w:rPr>
        <w:t>appeal.</w:t>
      </w:r>
      <w:r w:rsidR="00BD73EA">
        <w:rPr>
          <w:rFonts w:ascii="Book Antiqua" w:eastAsia="Calibri" w:hAnsi="Book Antiqua" w:cs="Arial"/>
          <w:sz w:val="24"/>
          <w:szCs w:val="24"/>
          <w:lang w:eastAsia="en-GB"/>
        </w:rPr>
        <w:t xml:space="preserve"> This </w:t>
      </w:r>
      <w:r w:rsidRPr="00D634DC">
        <w:rPr>
          <w:rFonts w:ascii="Book Antiqua" w:eastAsia="Calibri" w:hAnsi="Book Antiqua" w:cs="Arial"/>
          <w:sz w:val="24"/>
          <w:szCs w:val="24"/>
          <w:lang w:eastAsia="en-GB"/>
        </w:rPr>
        <w:t xml:space="preserve">finalises </w:t>
      </w:r>
      <w:r w:rsidR="00BD73EA">
        <w:rPr>
          <w:rFonts w:ascii="Book Antiqua" w:eastAsia="Calibri" w:hAnsi="Book Antiqua" w:cs="Arial"/>
          <w:sz w:val="24"/>
          <w:szCs w:val="24"/>
          <w:lang w:eastAsia="en-GB"/>
        </w:rPr>
        <w:t>the</w:t>
      </w:r>
      <w:r w:rsidRPr="00D634DC">
        <w:rPr>
          <w:rFonts w:ascii="Book Antiqua" w:eastAsia="Calibri" w:hAnsi="Book Antiqua" w:cs="Arial"/>
          <w:sz w:val="24"/>
          <w:szCs w:val="24"/>
          <w:lang w:eastAsia="en-GB"/>
        </w:rPr>
        <w:t xml:space="preserve"> appeal.</w:t>
      </w:r>
    </w:p>
    <w:p w:rsidR="00947AA9" w:rsidRDefault="00947AA9" w:rsidP="00947AA9">
      <w:pPr>
        <w:tabs>
          <w:tab w:val="left" w:pos="567"/>
        </w:tabs>
        <w:spacing w:after="160" w:line="259" w:lineRule="auto"/>
        <w:ind w:left="930" w:firstLine="0"/>
        <w:contextualSpacing/>
        <w:rPr>
          <w:rFonts w:ascii="Book Antiqua" w:eastAsia="Calibri" w:hAnsi="Book Antiqua" w:cs="Arial"/>
          <w:sz w:val="24"/>
          <w:szCs w:val="24"/>
          <w:lang w:eastAsia="en-GB"/>
        </w:rPr>
      </w:pPr>
    </w:p>
    <w:p w:rsidR="00947AA9" w:rsidRPr="00625E55" w:rsidRDefault="00947AA9" w:rsidP="00947AA9">
      <w:pPr>
        <w:tabs>
          <w:tab w:val="left" w:pos="567"/>
        </w:tabs>
        <w:ind w:left="0" w:firstLine="0"/>
        <w:contextualSpacing/>
        <w:rPr>
          <w:rFonts w:ascii="Book Antiqua" w:eastAsia="Calibri" w:hAnsi="Book Antiqua" w:cs="Arial"/>
          <w:b/>
          <w:sz w:val="24"/>
          <w:szCs w:val="24"/>
          <w:u w:val="single"/>
          <w:lang w:eastAsia="en-GB"/>
        </w:rPr>
      </w:pPr>
      <w:r w:rsidRPr="00625E55">
        <w:rPr>
          <w:rFonts w:ascii="Book Antiqua" w:eastAsia="Calibri" w:hAnsi="Book Antiqua" w:cs="Arial"/>
          <w:b/>
          <w:sz w:val="24"/>
          <w:szCs w:val="24"/>
          <w:u w:val="single"/>
          <w:lang w:eastAsia="en-GB"/>
        </w:rPr>
        <w:t>DECISION</w:t>
      </w:r>
    </w:p>
    <w:p w:rsidR="00947AA9" w:rsidRPr="00625E55" w:rsidRDefault="00947AA9" w:rsidP="00947AA9">
      <w:pPr>
        <w:tabs>
          <w:tab w:val="left" w:pos="567"/>
        </w:tabs>
        <w:ind w:left="567" w:hanging="567"/>
        <w:rPr>
          <w:rFonts w:ascii="Book Antiqua" w:eastAsia="Calibri" w:hAnsi="Book Antiqua" w:cs="Arial"/>
          <w:b/>
          <w:sz w:val="24"/>
          <w:szCs w:val="24"/>
          <w:u w:val="single"/>
          <w:lang w:eastAsia="en-GB"/>
        </w:rPr>
      </w:pPr>
    </w:p>
    <w:p w:rsidR="00947AA9" w:rsidRDefault="00947AA9" w:rsidP="00947AA9">
      <w:pPr>
        <w:spacing w:after="160" w:line="259" w:lineRule="auto"/>
        <w:ind w:left="0" w:firstLine="0"/>
        <w:rPr>
          <w:rFonts w:ascii="Book Antiqua" w:eastAsia="Calibri" w:hAnsi="Book Antiqua" w:cs="Arial"/>
          <w:sz w:val="24"/>
          <w:szCs w:val="24"/>
        </w:rPr>
      </w:pPr>
      <w:r>
        <w:rPr>
          <w:rFonts w:ascii="Book Antiqua" w:eastAsia="Calibri" w:hAnsi="Book Antiqua" w:cs="Arial"/>
          <w:sz w:val="24"/>
          <w:szCs w:val="24"/>
        </w:rPr>
        <w:t>The Secretary of State’s appeal is</w:t>
      </w:r>
      <w:r w:rsidR="0034568F">
        <w:rPr>
          <w:rFonts w:ascii="Book Antiqua" w:eastAsia="Calibri" w:hAnsi="Book Antiqua" w:cs="Arial"/>
          <w:sz w:val="24"/>
          <w:szCs w:val="24"/>
        </w:rPr>
        <w:t xml:space="preserve"> dismissed</w:t>
      </w:r>
      <w:r>
        <w:rPr>
          <w:rFonts w:ascii="Book Antiqua" w:eastAsia="Calibri" w:hAnsi="Book Antiqua" w:cs="Arial"/>
          <w:sz w:val="24"/>
          <w:szCs w:val="24"/>
        </w:rPr>
        <w:t>.</w:t>
      </w:r>
    </w:p>
    <w:p w:rsidR="00947AA9" w:rsidRPr="00625E55" w:rsidRDefault="00947AA9" w:rsidP="00947AA9">
      <w:pPr>
        <w:tabs>
          <w:tab w:val="left" w:pos="567"/>
        </w:tabs>
        <w:ind w:left="567" w:hanging="567"/>
        <w:rPr>
          <w:rFonts w:ascii="Book Antiqua" w:eastAsia="Calibri" w:hAnsi="Book Antiqua" w:cs="Arial"/>
          <w:sz w:val="24"/>
          <w:szCs w:val="24"/>
          <w:lang w:eastAsia="en-GB"/>
        </w:rPr>
      </w:pPr>
      <w:r w:rsidRPr="00625E55">
        <w:rPr>
          <w:rFonts w:ascii="Book Antiqua" w:eastAsia="Calibri" w:hAnsi="Book Antiqua" w:cs="Arial"/>
          <w:sz w:val="24"/>
          <w:szCs w:val="24"/>
          <w:lang w:eastAsia="en-GB"/>
        </w:rPr>
        <w:t xml:space="preserve">Signed by </w:t>
      </w:r>
    </w:p>
    <w:p w:rsidR="00947AA9" w:rsidRPr="00625E55" w:rsidRDefault="00947AA9" w:rsidP="00947AA9">
      <w:pPr>
        <w:tabs>
          <w:tab w:val="left" w:pos="567"/>
        </w:tabs>
        <w:ind w:left="567" w:hanging="567"/>
        <w:rPr>
          <w:rFonts w:ascii="Book Antiqua" w:eastAsia="Calibri" w:hAnsi="Book Antiqua" w:cs="Arial"/>
          <w:sz w:val="24"/>
          <w:szCs w:val="24"/>
          <w:lang w:eastAsia="en-GB"/>
        </w:rPr>
      </w:pPr>
    </w:p>
    <w:p w:rsidR="00947AA9" w:rsidRPr="00625E55" w:rsidRDefault="00947AA9" w:rsidP="00947AA9">
      <w:pPr>
        <w:tabs>
          <w:tab w:val="left" w:pos="567"/>
        </w:tabs>
        <w:ind w:left="567" w:hanging="567"/>
        <w:rPr>
          <w:rFonts w:ascii="Book Antiqua" w:eastAsia="Calibri" w:hAnsi="Book Antiqua" w:cs="Arial"/>
          <w:sz w:val="24"/>
          <w:szCs w:val="24"/>
          <w:lang w:eastAsia="en-GB"/>
        </w:rPr>
      </w:pPr>
      <w:r w:rsidRPr="00625E55">
        <w:rPr>
          <w:rFonts w:ascii="Book Antiqua" w:eastAsia="Calibri" w:hAnsi="Book Antiqua" w:cs="Arial"/>
          <w:sz w:val="24"/>
          <w:szCs w:val="24"/>
          <w:lang w:eastAsia="en-GB"/>
        </w:rPr>
        <w:t>Mrs S Chana</w:t>
      </w:r>
    </w:p>
    <w:p w:rsidR="00947AA9" w:rsidRPr="00625E55" w:rsidRDefault="00947AA9" w:rsidP="00947AA9">
      <w:pPr>
        <w:tabs>
          <w:tab w:val="left" w:pos="567"/>
        </w:tabs>
        <w:ind w:left="0" w:firstLine="0"/>
        <w:rPr>
          <w:rFonts w:ascii="Book Antiqua" w:eastAsia="Calibri" w:hAnsi="Book Antiqua" w:cs="Arial"/>
          <w:sz w:val="24"/>
          <w:szCs w:val="24"/>
          <w:lang w:eastAsia="en-GB"/>
        </w:rPr>
      </w:pPr>
      <w:r w:rsidRPr="00625E55">
        <w:rPr>
          <w:rFonts w:ascii="Book Antiqua" w:eastAsia="Calibri" w:hAnsi="Book Antiqua" w:cs="Arial"/>
          <w:sz w:val="24"/>
          <w:szCs w:val="24"/>
          <w:lang w:eastAsia="en-GB"/>
        </w:rPr>
        <w:t xml:space="preserve">A Deputy Judge of the Upper Tribunal </w:t>
      </w:r>
    </w:p>
    <w:p w:rsidR="00947AA9" w:rsidRPr="00625E55" w:rsidRDefault="00947AA9" w:rsidP="00947AA9">
      <w:pPr>
        <w:tabs>
          <w:tab w:val="left" w:pos="567"/>
        </w:tabs>
        <w:ind w:left="0" w:firstLine="0"/>
        <w:jc w:val="right"/>
        <w:rPr>
          <w:rFonts w:ascii="Book Antiqua" w:eastAsia="Calibri" w:hAnsi="Book Antiqua" w:cs="Arial"/>
          <w:sz w:val="24"/>
          <w:szCs w:val="24"/>
          <w:lang w:eastAsia="en-GB"/>
        </w:rPr>
      </w:pPr>
      <w:r w:rsidRPr="00625E55">
        <w:rPr>
          <w:rFonts w:ascii="Book Antiqua" w:eastAsia="Calibri" w:hAnsi="Book Antiqua" w:cs="Arial"/>
          <w:sz w:val="24"/>
          <w:szCs w:val="24"/>
          <w:lang w:eastAsia="en-GB"/>
        </w:rPr>
        <w:t>The</w:t>
      </w:r>
      <w:r w:rsidR="0034568F">
        <w:rPr>
          <w:rFonts w:ascii="Book Antiqua" w:eastAsia="Calibri" w:hAnsi="Book Antiqua" w:cs="Arial"/>
          <w:sz w:val="24"/>
          <w:szCs w:val="24"/>
          <w:lang w:eastAsia="en-GB"/>
        </w:rPr>
        <w:t xml:space="preserve"> 27</w:t>
      </w:r>
      <w:r w:rsidR="0034568F" w:rsidRPr="0034568F">
        <w:rPr>
          <w:rFonts w:ascii="Book Antiqua" w:eastAsia="Calibri" w:hAnsi="Book Antiqua" w:cs="Arial"/>
          <w:sz w:val="24"/>
          <w:szCs w:val="24"/>
          <w:vertAlign w:val="superscript"/>
          <w:lang w:eastAsia="en-GB"/>
        </w:rPr>
        <w:t>th</w:t>
      </w:r>
      <w:r w:rsidR="0034568F">
        <w:rPr>
          <w:rFonts w:ascii="Book Antiqua" w:eastAsia="Calibri" w:hAnsi="Book Antiqua" w:cs="Arial"/>
          <w:sz w:val="24"/>
          <w:szCs w:val="24"/>
          <w:lang w:eastAsia="en-GB"/>
        </w:rPr>
        <w:t xml:space="preserve"> day of June 2018</w:t>
      </w:r>
      <w:r w:rsidRPr="00625E55">
        <w:rPr>
          <w:rFonts w:ascii="Book Antiqua" w:eastAsia="Calibri" w:hAnsi="Book Antiqua" w:cs="Arial"/>
          <w:color w:val="000000"/>
          <w:sz w:val="24"/>
          <w:szCs w:val="24"/>
          <w:lang w:eastAsia="en-GB"/>
        </w:rPr>
        <w:tab/>
      </w:r>
    </w:p>
    <w:p w:rsidR="00947AA9" w:rsidRPr="00625E55" w:rsidRDefault="00947AA9" w:rsidP="00947AA9">
      <w:pPr>
        <w:spacing w:after="160" w:line="259" w:lineRule="auto"/>
        <w:ind w:left="0" w:firstLine="0"/>
        <w:jc w:val="left"/>
        <w:rPr>
          <w:rFonts w:ascii="Book Antiqua" w:eastAsia="Calibri" w:hAnsi="Book Antiqua" w:cs="Times New Roman"/>
        </w:rPr>
      </w:pPr>
    </w:p>
    <w:p w:rsidR="00947AA9" w:rsidRPr="00625E55" w:rsidRDefault="00947AA9" w:rsidP="00947AA9">
      <w:pPr>
        <w:spacing w:after="160" w:line="259" w:lineRule="auto"/>
        <w:ind w:left="0" w:firstLine="0"/>
        <w:jc w:val="left"/>
        <w:rPr>
          <w:rFonts w:ascii="Calibri" w:eastAsia="Calibri" w:hAnsi="Calibri" w:cs="Times New Roman"/>
        </w:rPr>
      </w:pPr>
    </w:p>
    <w:p w:rsidR="00947AA9" w:rsidRPr="00625E55" w:rsidRDefault="00947AA9" w:rsidP="00947AA9"/>
    <w:p w:rsidR="00947AA9" w:rsidRDefault="00947AA9" w:rsidP="00947AA9"/>
    <w:p w:rsidR="00947AA9" w:rsidRDefault="00947AA9" w:rsidP="00947AA9"/>
    <w:p w:rsidR="00947AA9" w:rsidRDefault="00947AA9" w:rsidP="00947AA9"/>
    <w:p w:rsidR="00947AA9" w:rsidRDefault="00947AA9" w:rsidP="00947AA9"/>
    <w:p w:rsidR="0034051A" w:rsidRDefault="0034051A"/>
    <w:sectPr w:rsidR="0034051A" w:rsidSect="00BD3C81">
      <w:headerReference w:type="default" r:id="rId8"/>
      <w:footerReference w:type="default" r:id="rId9"/>
      <w:footerReference w:type="first" r:id="rId10"/>
      <w:pgSz w:w="11906" w:h="16838"/>
      <w:pgMar w:top="993"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0D83" w:rsidRDefault="003B05E6">
      <w:r>
        <w:separator/>
      </w:r>
    </w:p>
  </w:endnote>
  <w:endnote w:type="continuationSeparator" w:id="0">
    <w:p w:rsidR="00080D83" w:rsidRDefault="003B0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62DF" w:rsidRPr="003B2BE3" w:rsidRDefault="003B05E6" w:rsidP="009D62DF">
    <w:pPr>
      <w:pStyle w:val="Footer"/>
      <w:jc w:val="center"/>
      <w:rPr>
        <w:rFonts w:ascii="Book Antiqua" w:hAnsi="Book Antiqua" w:cs="Arial"/>
        <w:sz w:val="24"/>
        <w:szCs w:val="24"/>
      </w:rPr>
    </w:pPr>
    <w:r w:rsidRPr="003B2BE3">
      <w:rPr>
        <w:rStyle w:val="PageNumber"/>
        <w:rFonts w:ascii="Book Antiqua" w:hAnsi="Book Antiqua" w:cs="Arial"/>
        <w:sz w:val="24"/>
        <w:szCs w:val="24"/>
      </w:rPr>
      <w:fldChar w:fldCharType="begin"/>
    </w:r>
    <w:r w:rsidRPr="003B2BE3">
      <w:rPr>
        <w:rStyle w:val="PageNumber"/>
        <w:rFonts w:ascii="Book Antiqua" w:hAnsi="Book Antiqua" w:cs="Arial"/>
        <w:sz w:val="24"/>
        <w:szCs w:val="24"/>
      </w:rPr>
      <w:instrText xml:space="preserve"> PAGE </w:instrText>
    </w:r>
    <w:r w:rsidRPr="003B2BE3">
      <w:rPr>
        <w:rStyle w:val="PageNumber"/>
        <w:rFonts w:ascii="Book Antiqua" w:hAnsi="Book Antiqua" w:cs="Arial"/>
        <w:sz w:val="24"/>
        <w:szCs w:val="24"/>
      </w:rPr>
      <w:fldChar w:fldCharType="separate"/>
    </w:r>
    <w:r w:rsidR="00A7050F">
      <w:rPr>
        <w:rStyle w:val="PageNumber"/>
        <w:rFonts w:ascii="Book Antiqua" w:hAnsi="Book Antiqua" w:cs="Arial"/>
        <w:noProof/>
        <w:sz w:val="24"/>
        <w:szCs w:val="24"/>
      </w:rPr>
      <w:t>5</w:t>
    </w:r>
    <w:r w:rsidRPr="003B2BE3">
      <w:rPr>
        <w:rStyle w:val="PageNumber"/>
        <w:rFonts w:ascii="Book Antiqua" w:hAnsi="Book Antiqua" w:cs="Arial"/>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3233" w:rsidRPr="0087048B" w:rsidRDefault="002F3233" w:rsidP="002F3233">
    <w:pPr>
      <w:jc w:val="center"/>
      <w:rPr>
        <w:rFonts w:ascii="Book Antiqua" w:hAnsi="Book Antiqua" w:cs="Arial"/>
        <w:b/>
        <w:sz w:val="24"/>
        <w:szCs w:val="24"/>
      </w:rPr>
    </w:pPr>
    <w:r w:rsidRPr="0087048B">
      <w:rPr>
        <w:rFonts w:ascii="Book Antiqua" w:hAnsi="Book Antiqua" w:cs="Arial"/>
        <w:b/>
        <w:spacing w:val="-6"/>
        <w:sz w:val="24"/>
        <w:szCs w:val="24"/>
      </w:rPr>
      <w:t>©</w:t>
    </w:r>
    <w:r w:rsidRPr="0087048B">
      <w:rPr>
        <w:rFonts w:ascii="Book Antiqua" w:hAnsi="Book Antiqua" w:cs="Arial"/>
        <w:b/>
        <w:sz w:val="24"/>
        <w:szCs w:val="24"/>
      </w:rPr>
      <w:t xml:space="preserve"> CROWN COPYRIGHT 2018</w:t>
    </w:r>
  </w:p>
  <w:p w:rsidR="002F3233" w:rsidRPr="002F3233" w:rsidRDefault="002F3233" w:rsidP="002F32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0D83" w:rsidRDefault="003B05E6">
      <w:r>
        <w:separator/>
      </w:r>
    </w:p>
  </w:footnote>
  <w:footnote w:type="continuationSeparator" w:id="0">
    <w:p w:rsidR="00080D83" w:rsidRDefault="003B05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3233" w:rsidRPr="0087048B" w:rsidRDefault="002F3233" w:rsidP="002F3233">
    <w:pPr>
      <w:tabs>
        <w:tab w:val="right" w:pos="9720"/>
      </w:tabs>
      <w:ind w:left="0" w:right="-82" w:firstLine="0"/>
      <w:jc w:val="left"/>
      <w:rPr>
        <w:rFonts w:ascii="Book Antiqua" w:eastAsia="Calibri" w:hAnsi="Book Antiqua" w:cs="Arial"/>
        <w:caps/>
        <w:color w:val="000000"/>
        <w:sz w:val="16"/>
        <w:szCs w:val="16"/>
        <w:lang w:eastAsia="en-GB"/>
      </w:rPr>
    </w:pPr>
    <w:r>
      <w:rPr>
        <w:rFonts w:ascii="Book Antiqua" w:eastAsia="Calibri" w:hAnsi="Book Antiqua" w:cs="Arial"/>
        <w:b/>
        <w:color w:val="000000"/>
        <w:sz w:val="16"/>
        <w:szCs w:val="16"/>
        <w:lang w:eastAsia="en-GB"/>
      </w:rPr>
      <w:tab/>
    </w:r>
    <w:r w:rsidRPr="0087048B">
      <w:rPr>
        <w:rFonts w:ascii="Book Antiqua" w:eastAsia="Calibri" w:hAnsi="Book Antiqua" w:cs="Arial"/>
        <w:color w:val="000000"/>
        <w:sz w:val="16"/>
        <w:szCs w:val="16"/>
        <w:lang w:eastAsia="en-GB"/>
      </w:rPr>
      <w:t>Appeal Numbers: P</w:t>
    </w:r>
    <w:r w:rsidRPr="0087048B">
      <w:rPr>
        <w:rFonts w:ascii="Book Antiqua" w:eastAsia="Calibri" w:hAnsi="Book Antiqua" w:cs="Arial"/>
        <w:caps/>
        <w:color w:val="000000"/>
        <w:sz w:val="16"/>
        <w:szCs w:val="16"/>
        <w:lang w:eastAsia="en-GB"/>
      </w:rPr>
      <w:t>A/06263/2017</w:t>
    </w:r>
  </w:p>
  <w:p w:rsidR="002F3233" w:rsidRDefault="002F32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E0D3B"/>
    <w:multiLevelType w:val="hybridMultilevel"/>
    <w:tmpl w:val="467EA8FE"/>
    <w:lvl w:ilvl="0" w:tplc="1128A9AC">
      <w:start w:val="1"/>
      <w:numFmt w:val="decimal"/>
      <w:lvlText w:val="%1."/>
      <w:lvlJc w:val="left"/>
      <w:pPr>
        <w:ind w:left="570" w:hanging="570"/>
      </w:pPr>
      <w:rPr>
        <w:rFonts w:cs="Times New Roman" w:hint="default"/>
        <w:b w:val="0"/>
        <w:color w:val="auto"/>
      </w:rPr>
    </w:lvl>
    <w:lvl w:ilvl="1" w:tplc="08090019">
      <w:start w:val="1"/>
      <w:numFmt w:val="lowerLetter"/>
      <w:lvlText w:val="%2."/>
      <w:lvlJc w:val="left"/>
      <w:pPr>
        <w:ind w:left="1080" w:hanging="360"/>
      </w:pPr>
      <w:rPr>
        <w:rFonts w:cs="Times New Roman"/>
      </w:rPr>
    </w:lvl>
    <w:lvl w:ilvl="2" w:tplc="0809001B">
      <w:start w:val="1"/>
      <w:numFmt w:val="lowerRoman"/>
      <w:lvlText w:val="%3."/>
      <w:lvlJc w:val="right"/>
      <w:pPr>
        <w:ind w:left="1800" w:hanging="180"/>
      </w:pPr>
      <w:rPr>
        <w:rFonts w:cs="Times New Roman"/>
      </w:rPr>
    </w:lvl>
    <w:lvl w:ilvl="3" w:tplc="0809000F">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15FB33C1-41C5-4A33-B16C-30DA654F4999}"/>
    <w:docVar w:name="dgnword-drafile" w:val="C:\Users\Sureta\AppData\Local\Temp\draDC44.tmp"/>
    <w:docVar w:name="dgnword-eventsink" w:val="644474888"/>
  </w:docVars>
  <w:rsids>
    <w:rsidRoot w:val="00947AA9"/>
    <w:rsid w:val="00080D83"/>
    <w:rsid w:val="002F3233"/>
    <w:rsid w:val="0034051A"/>
    <w:rsid w:val="0034568F"/>
    <w:rsid w:val="003B05E6"/>
    <w:rsid w:val="003B2BE3"/>
    <w:rsid w:val="00407DCC"/>
    <w:rsid w:val="0085280D"/>
    <w:rsid w:val="00855F68"/>
    <w:rsid w:val="0087048B"/>
    <w:rsid w:val="008E2C60"/>
    <w:rsid w:val="00947AA9"/>
    <w:rsid w:val="009F3022"/>
    <w:rsid w:val="009F41FB"/>
    <w:rsid w:val="00A60646"/>
    <w:rsid w:val="00A7050F"/>
    <w:rsid w:val="00B16244"/>
    <w:rsid w:val="00BD3C81"/>
    <w:rsid w:val="00BD73EA"/>
    <w:rsid w:val="00BE19A8"/>
    <w:rsid w:val="00BE5878"/>
    <w:rsid w:val="00C84CF8"/>
    <w:rsid w:val="00F563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7AA9"/>
    <w:pPr>
      <w:spacing w:after="0" w:line="240" w:lineRule="auto"/>
      <w:ind w:left="357" w:hanging="357"/>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47AA9"/>
    <w:pPr>
      <w:tabs>
        <w:tab w:val="center" w:pos="4513"/>
        <w:tab w:val="right" w:pos="9026"/>
      </w:tabs>
    </w:pPr>
  </w:style>
  <w:style w:type="character" w:customStyle="1" w:styleId="FooterChar">
    <w:name w:val="Footer Char"/>
    <w:basedOn w:val="DefaultParagraphFont"/>
    <w:link w:val="Footer"/>
    <w:uiPriority w:val="99"/>
    <w:rsid w:val="00947AA9"/>
  </w:style>
  <w:style w:type="character" w:styleId="PageNumber">
    <w:name w:val="page number"/>
    <w:uiPriority w:val="99"/>
    <w:rsid w:val="00947AA9"/>
    <w:rPr>
      <w:rFonts w:cs="Times New Roman"/>
    </w:rPr>
  </w:style>
  <w:style w:type="paragraph" w:styleId="ListParagraph">
    <w:name w:val="List Paragraph"/>
    <w:basedOn w:val="Normal"/>
    <w:uiPriority w:val="99"/>
    <w:qFormat/>
    <w:rsid w:val="00947AA9"/>
    <w:pPr>
      <w:ind w:left="720"/>
      <w:contextualSpacing/>
    </w:pPr>
  </w:style>
  <w:style w:type="paragraph" w:styleId="Header">
    <w:name w:val="header"/>
    <w:basedOn w:val="Normal"/>
    <w:link w:val="HeaderChar"/>
    <w:uiPriority w:val="99"/>
    <w:unhideWhenUsed/>
    <w:rsid w:val="002F3233"/>
    <w:pPr>
      <w:tabs>
        <w:tab w:val="center" w:pos="4513"/>
        <w:tab w:val="right" w:pos="9026"/>
      </w:tabs>
    </w:pPr>
  </w:style>
  <w:style w:type="character" w:customStyle="1" w:styleId="HeaderChar">
    <w:name w:val="Header Char"/>
    <w:basedOn w:val="DefaultParagraphFont"/>
    <w:link w:val="Header"/>
    <w:uiPriority w:val="99"/>
    <w:rsid w:val="002F3233"/>
  </w:style>
  <w:style w:type="paragraph" w:styleId="BalloonText">
    <w:name w:val="Balloon Text"/>
    <w:basedOn w:val="Normal"/>
    <w:link w:val="BalloonTextChar"/>
    <w:uiPriority w:val="99"/>
    <w:semiHidden/>
    <w:unhideWhenUsed/>
    <w:rsid w:val="002F323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32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1630</Words>
  <Characters>9295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2018-07-18T11:18:00Z</dcterms:created>
  <dcterms:modified xsi:type="dcterms:W3CDTF">2018-07-18T12:19:00Z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