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6D584F"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8D2AE8">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7B0824" w:rsidRPr="007E306D"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7E306D">
        <w:rPr>
          <w:rFonts w:ascii="Book Antiqua" w:hAnsi="Book Antiqua" w:cs="Arial"/>
          <w:b/>
          <w:color w:val="000000"/>
        </w:rPr>
        <w:t xml:space="preserve">   </w:t>
      </w:r>
      <w:proofErr w:type="gramEnd"/>
      <w:r w:rsidR="007E306D">
        <w:rPr>
          <w:rFonts w:ascii="Book Antiqua" w:hAnsi="Book Antiqua" w:cs="Arial"/>
          <w:b/>
          <w:color w:val="000000"/>
        </w:rPr>
        <w:t xml:space="preserve">                   </w:t>
      </w:r>
      <w:r w:rsidR="00B3524D" w:rsidRPr="007E306D">
        <w:rPr>
          <w:rFonts w:ascii="Book Antiqua" w:hAnsi="Book Antiqua" w:cs="Arial"/>
          <w:b/>
          <w:color w:val="000000"/>
        </w:rPr>
        <w:t>Appeal Number</w:t>
      </w:r>
      <w:r w:rsidR="00D53769" w:rsidRPr="007E306D">
        <w:rPr>
          <w:rFonts w:ascii="Book Antiqua" w:hAnsi="Book Antiqua" w:cs="Arial"/>
          <w:b/>
          <w:color w:val="000000"/>
        </w:rPr>
        <w:t>:</w:t>
      </w:r>
      <w:r w:rsidR="00B3524D" w:rsidRPr="007E306D">
        <w:rPr>
          <w:rFonts w:ascii="Book Antiqua" w:hAnsi="Book Antiqua" w:cs="Arial"/>
          <w:b/>
          <w:color w:val="000000"/>
        </w:rPr>
        <w:t xml:space="preserve"> </w:t>
      </w:r>
      <w:r w:rsidR="00CC5F4D" w:rsidRPr="007E306D">
        <w:rPr>
          <w:rFonts w:ascii="Book Antiqua" w:hAnsi="Book Antiqua" w:cs="Arial"/>
          <w:b/>
          <w:caps/>
          <w:color w:val="000000"/>
        </w:rPr>
        <w:t>P</w:t>
      </w:r>
      <w:r w:rsidR="00F67816" w:rsidRPr="007E306D">
        <w:rPr>
          <w:rFonts w:ascii="Book Antiqua" w:hAnsi="Book Antiqua" w:cs="Arial"/>
          <w:b/>
          <w:caps/>
          <w:color w:val="000000"/>
        </w:rPr>
        <w:t>a/06344/2017</w:t>
      </w:r>
    </w:p>
    <w:p w:rsidR="00C345E1" w:rsidRPr="007E306D" w:rsidRDefault="00C345E1" w:rsidP="00C345E1">
      <w:pPr>
        <w:jc w:val="center"/>
        <w:rPr>
          <w:rFonts w:ascii="Book Antiqua" w:hAnsi="Book Antiqua" w:cs="Arial"/>
          <w:b/>
          <w:color w:val="000000"/>
        </w:rPr>
      </w:pPr>
    </w:p>
    <w:p w:rsidR="00C345E1" w:rsidRPr="009B7433" w:rsidRDefault="00C345E1" w:rsidP="008D2AE8">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EF0C75" w:rsidTr="007E306D">
        <w:tc>
          <w:tcPr>
            <w:tcW w:w="5245" w:type="dxa"/>
            <w:shd w:val="clear" w:color="auto" w:fill="auto"/>
          </w:tcPr>
          <w:p w:rsidR="00957C35" w:rsidRDefault="00D22636" w:rsidP="00EF0C75">
            <w:pPr>
              <w:jc w:val="both"/>
              <w:rPr>
                <w:rFonts w:ascii="Book Antiqua" w:hAnsi="Book Antiqua" w:cs="Arial"/>
                <w:b/>
              </w:rPr>
            </w:pPr>
            <w:r w:rsidRPr="00EF0C75">
              <w:rPr>
                <w:rFonts w:ascii="Book Antiqua" w:hAnsi="Book Antiqua" w:cs="Arial"/>
                <w:b/>
              </w:rPr>
              <w:t xml:space="preserve">Heard at </w:t>
            </w:r>
            <w:smartTag w:uri="urn:schemas-microsoft-com:office:smarttags" w:element="City">
              <w:smartTag w:uri="urn:schemas-microsoft-com:office:smarttags" w:element="place">
                <w:r w:rsidR="00F67816" w:rsidRPr="00EF0C75">
                  <w:rPr>
                    <w:rFonts w:ascii="Book Antiqua" w:hAnsi="Book Antiqua" w:cs="Arial"/>
                    <w:b/>
                  </w:rPr>
                  <w:t>Manchester</w:t>
                </w:r>
              </w:smartTag>
            </w:smartTag>
            <w:r w:rsidR="00F67816" w:rsidRPr="00EF0C75">
              <w:rPr>
                <w:rFonts w:ascii="Book Antiqua" w:hAnsi="Book Antiqua" w:cs="Arial"/>
                <w:b/>
              </w:rPr>
              <w:t xml:space="preserve"> </w:t>
            </w:r>
          </w:p>
          <w:p w:rsidR="00D22636" w:rsidRPr="007E306D" w:rsidRDefault="00957C35" w:rsidP="00957C35">
            <w:pPr>
              <w:rPr>
                <w:rFonts w:ascii="Book Antiqua" w:hAnsi="Book Antiqua" w:cs="Arial"/>
                <w:b/>
              </w:rPr>
            </w:pPr>
            <w:r w:rsidRPr="007E306D">
              <w:rPr>
                <w:rFonts w:ascii="Book Antiqua" w:hAnsi="Book Antiqua" w:cs="Arial"/>
                <w:b/>
              </w:rPr>
              <w:t>On 27 April 2018</w:t>
            </w:r>
          </w:p>
        </w:tc>
        <w:tc>
          <w:tcPr>
            <w:tcW w:w="4763" w:type="dxa"/>
            <w:shd w:val="clear" w:color="auto" w:fill="auto"/>
          </w:tcPr>
          <w:p w:rsidR="00D22636" w:rsidRPr="00EF0C75" w:rsidRDefault="00D949B7" w:rsidP="00EF0C75">
            <w:pPr>
              <w:jc w:val="both"/>
              <w:rPr>
                <w:rFonts w:ascii="Book Antiqua" w:hAnsi="Book Antiqua" w:cs="Arial"/>
                <w:b/>
                <w:color w:val="000000"/>
              </w:rPr>
            </w:pPr>
            <w:r w:rsidRPr="00EF0C75">
              <w:rPr>
                <w:rFonts w:ascii="Book Antiqua" w:hAnsi="Book Antiqua" w:cs="Arial"/>
                <w:b/>
                <w:color w:val="000000"/>
              </w:rPr>
              <w:t xml:space="preserve">Decision </w:t>
            </w:r>
            <w:r w:rsidR="004D2545" w:rsidRPr="00EF0C75">
              <w:rPr>
                <w:rFonts w:ascii="Book Antiqua" w:hAnsi="Book Antiqua" w:cs="Arial"/>
                <w:b/>
                <w:color w:val="000000"/>
              </w:rPr>
              <w:t xml:space="preserve">given orally at hearing. Sent out </w:t>
            </w:r>
            <w:proofErr w:type="gramStart"/>
            <w:r w:rsidR="007E306D">
              <w:rPr>
                <w:rFonts w:ascii="Book Antiqua" w:hAnsi="Book Antiqua" w:cs="Arial"/>
                <w:b/>
                <w:color w:val="000000"/>
              </w:rPr>
              <w:t>O</w:t>
            </w:r>
            <w:r w:rsidR="004D2545" w:rsidRPr="00EF0C75">
              <w:rPr>
                <w:rFonts w:ascii="Book Antiqua" w:hAnsi="Book Antiqua" w:cs="Arial"/>
                <w:b/>
                <w:color w:val="000000"/>
              </w:rPr>
              <w:t>n</w:t>
            </w:r>
            <w:proofErr w:type="gramEnd"/>
            <w:r w:rsidR="004D2545" w:rsidRPr="00EF0C75">
              <w:rPr>
                <w:rFonts w:ascii="Book Antiqua" w:hAnsi="Book Antiqua" w:cs="Arial"/>
                <w:b/>
                <w:color w:val="000000"/>
              </w:rPr>
              <w:t>:</w:t>
            </w:r>
            <w:r w:rsidR="00957C35">
              <w:rPr>
                <w:rFonts w:ascii="Book Antiqua" w:hAnsi="Book Antiqua" w:cs="Arial"/>
                <w:b/>
                <w:color w:val="000000"/>
              </w:rPr>
              <w:t xml:space="preserve"> 22 June 2018</w:t>
            </w:r>
          </w:p>
        </w:tc>
      </w:tr>
      <w:tr w:rsidR="00D22636" w:rsidRPr="00EF0C75" w:rsidTr="007E306D">
        <w:tc>
          <w:tcPr>
            <w:tcW w:w="5245" w:type="dxa"/>
            <w:shd w:val="clear" w:color="auto" w:fill="auto"/>
          </w:tcPr>
          <w:p w:rsidR="00D22636" w:rsidRPr="00EF0C75" w:rsidRDefault="00D22636" w:rsidP="00EF0C75">
            <w:pPr>
              <w:jc w:val="both"/>
              <w:rPr>
                <w:rFonts w:ascii="Book Antiqua" w:hAnsi="Book Antiqua" w:cs="Arial"/>
                <w:b/>
              </w:rPr>
            </w:pPr>
          </w:p>
        </w:tc>
        <w:tc>
          <w:tcPr>
            <w:tcW w:w="4763" w:type="dxa"/>
            <w:shd w:val="clear" w:color="auto" w:fill="auto"/>
          </w:tcPr>
          <w:p w:rsidR="00D22636" w:rsidRPr="00EF0C75" w:rsidRDefault="00D22636" w:rsidP="00EF0C75">
            <w:pPr>
              <w:jc w:val="both"/>
              <w:rPr>
                <w:rFonts w:ascii="Book Antiqua" w:hAnsi="Book Antiqua" w:cs="Arial"/>
                <w:b/>
              </w:rPr>
            </w:pPr>
          </w:p>
        </w:tc>
      </w:tr>
    </w:tbl>
    <w:p w:rsidR="007E306D" w:rsidRDefault="007E306D" w:rsidP="008D2AE8">
      <w:pPr>
        <w:jc w:val="center"/>
        <w:outlineLvl w:val="0"/>
        <w:rPr>
          <w:rFonts w:ascii="Book Antiqua" w:hAnsi="Book Antiqua" w:cs="Arial"/>
          <w:b/>
        </w:rPr>
      </w:pPr>
    </w:p>
    <w:p w:rsidR="007E306D" w:rsidRDefault="007E306D" w:rsidP="008D2AE8">
      <w:pPr>
        <w:jc w:val="center"/>
        <w:outlineLvl w:val="0"/>
        <w:rPr>
          <w:rFonts w:ascii="Book Antiqua" w:hAnsi="Book Antiqua" w:cs="Arial"/>
          <w:b/>
        </w:rPr>
      </w:pPr>
    </w:p>
    <w:p w:rsidR="00A15234" w:rsidRPr="009B7433" w:rsidRDefault="00207617" w:rsidP="008D2AE8">
      <w:pPr>
        <w:jc w:val="center"/>
        <w:outlineLvl w:val="0"/>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342DE4" w:rsidP="008D2AE8">
      <w:pPr>
        <w:jc w:val="center"/>
        <w:outlineLvl w:val="0"/>
        <w:rPr>
          <w:rFonts w:ascii="Book Antiqua" w:hAnsi="Book Antiqua" w:cs="Arial"/>
          <w:b/>
          <w:color w:val="000000"/>
        </w:rPr>
      </w:pPr>
      <w:r>
        <w:rPr>
          <w:rFonts w:ascii="Book Antiqua" w:hAnsi="Book Antiqua" w:cs="Arial"/>
          <w:b/>
          <w:color w:val="000000"/>
        </w:rPr>
        <w:t>MR C M G OCKELTON, VICE PRESIDENT</w:t>
      </w:r>
    </w:p>
    <w:p w:rsidR="00D20757" w:rsidRPr="009B7433" w:rsidRDefault="00D20757" w:rsidP="00A15234">
      <w:pPr>
        <w:jc w:val="center"/>
        <w:rPr>
          <w:rFonts w:ascii="Book Antiqua" w:hAnsi="Book Antiqua" w:cs="Arial"/>
          <w:b/>
        </w:rPr>
      </w:pPr>
    </w:p>
    <w:p w:rsidR="00A845DC" w:rsidRPr="009B7433" w:rsidRDefault="00A845DC" w:rsidP="008D2AE8">
      <w:pPr>
        <w:jc w:val="center"/>
        <w:outlineLvl w:val="0"/>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F67816" w:rsidP="008D2AE8">
      <w:pPr>
        <w:jc w:val="center"/>
        <w:outlineLvl w:val="0"/>
        <w:rPr>
          <w:rFonts w:ascii="Book Antiqua" w:hAnsi="Book Antiqua" w:cs="Arial"/>
          <w:b/>
          <w:caps/>
        </w:rPr>
      </w:pPr>
      <w:r>
        <w:rPr>
          <w:rFonts w:ascii="Book Antiqua" w:hAnsi="Book Antiqua" w:cs="Arial"/>
          <w:b/>
          <w:caps/>
        </w:rPr>
        <w:t>MR AWAT RASOUL GHAFOOR</w:t>
      </w:r>
    </w:p>
    <w:p w:rsidR="00704B61" w:rsidRPr="009B7433" w:rsidRDefault="00704B61" w:rsidP="008D2AE8">
      <w:pPr>
        <w:jc w:val="right"/>
        <w:outlineLvl w:val="0"/>
        <w:rPr>
          <w:rFonts w:ascii="Book Antiqua" w:hAnsi="Book Antiqua" w:cs="Arial"/>
          <w:u w:val="single"/>
        </w:rPr>
      </w:pPr>
      <w:r w:rsidRPr="009B7433">
        <w:rPr>
          <w:rFonts w:ascii="Book Antiqua" w:hAnsi="Book Antiqua" w:cs="Arial"/>
          <w:u w:val="single"/>
        </w:rPr>
        <w:t>Appellant</w:t>
      </w:r>
    </w:p>
    <w:p w:rsidR="007E306D" w:rsidRDefault="007E306D"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7E306D" w:rsidRPr="009B7433" w:rsidRDefault="007E306D"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8D2AE8">
      <w:pPr>
        <w:jc w:val="right"/>
        <w:outlineLvl w:val="0"/>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8D2AE8">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F67816">
      <w:pPr>
        <w:tabs>
          <w:tab w:val="left" w:pos="2520"/>
        </w:tabs>
        <w:ind w:right="-622"/>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67816">
        <w:rPr>
          <w:rFonts w:ascii="Book Antiqua" w:hAnsi="Book Antiqua" w:cs="Arial"/>
        </w:rPr>
        <w:t xml:space="preserve">Mr M </w:t>
      </w:r>
      <w:proofErr w:type="spellStart"/>
      <w:r w:rsidR="00F67816">
        <w:rPr>
          <w:rFonts w:ascii="Book Antiqua" w:hAnsi="Book Antiqua" w:cs="Arial"/>
        </w:rPr>
        <w:t>Karnik</w:t>
      </w:r>
      <w:proofErr w:type="spellEnd"/>
      <w:r w:rsidR="00F67816">
        <w:rPr>
          <w:rFonts w:ascii="Book Antiqua" w:hAnsi="Book Antiqua" w:cs="Arial"/>
        </w:rPr>
        <w:t xml:space="preserve">, Counsel instructed by Barnes </w:t>
      </w:r>
      <w:proofErr w:type="spellStart"/>
      <w:r w:rsidR="00F67816">
        <w:rPr>
          <w:rFonts w:ascii="Book Antiqua" w:hAnsi="Book Antiqua" w:cs="Arial"/>
        </w:rPr>
        <w:t>Harrild</w:t>
      </w:r>
      <w:proofErr w:type="spellEnd"/>
      <w:r w:rsidR="00F67816">
        <w:rPr>
          <w:rFonts w:ascii="Book Antiqua" w:hAnsi="Book Antiqua" w:cs="Arial"/>
        </w:rPr>
        <w:t xml:space="preserve"> &amp; Dyer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F67816">
        <w:rPr>
          <w:rFonts w:ascii="Book Antiqua" w:hAnsi="Book Antiqua" w:cs="Arial"/>
        </w:rPr>
        <w:t xml:space="preserve">Mr C Bates,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8D2AE8">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D348A" w:rsidRDefault="00F6781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a Kurd and a Sunni Muslim.  He appeals to this Tribunal with permission against the decision of First-tier Tribunal Judge Bannerman who in a decision sent out on 23 January 2018 dismissed the appellant’s appeal against the Secretary of State’s refusal to grant him asylum or humanitarian protection.</w:t>
      </w:r>
    </w:p>
    <w:p w:rsidR="00F67816" w:rsidRDefault="00F67816"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has a considerable history in this country having arrived what is now over ten years ago on 25 February 2008.  He claimed asylum the same day.  He gave an account of his history which indicated that he was brought up by his mother and a paternal uncle in Mosul, that he and his brother with whom he had lived until then</w:t>
      </w:r>
      <w:r w:rsidR="000D0C1E">
        <w:rPr>
          <w:rFonts w:ascii="Book Antiqua" w:hAnsi="Book Antiqua" w:cs="Arial"/>
        </w:rPr>
        <w:t>,</w:t>
      </w:r>
      <w:r>
        <w:rPr>
          <w:rFonts w:ascii="Book Antiqua" w:hAnsi="Book Antiqua" w:cs="Arial"/>
        </w:rPr>
        <w:t xml:space="preserve"> left Iraq together, were then separated, his brother ended up apparently in </w:t>
      </w:r>
      <w:r w:rsidR="006478A6">
        <w:rPr>
          <w:rFonts w:ascii="Book Antiqua" w:hAnsi="Book Antiqua" w:cs="Arial"/>
        </w:rPr>
        <w:t xml:space="preserve">prison in </w:t>
      </w:r>
      <w:r w:rsidR="006478A6">
        <w:rPr>
          <w:rFonts w:ascii="Book Antiqua" w:hAnsi="Book Antiqua" w:cs="Arial"/>
        </w:rPr>
        <w:lastRenderedPageBreak/>
        <w:t>Turkey and</w:t>
      </w:r>
      <w:r>
        <w:rPr>
          <w:rFonts w:ascii="Book Antiqua" w:hAnsi="Book Antiqua" w:cs="Arial"/>
        </w:rPr>
        <w:t xml:space="preserve"> then went back apparently with the uncle to Mosul.  By the ti</w:t>
      </w:r>
      <w:bookmarkStart w:id="0" w:name="_GoBack"/>
      <w:bookmarkEnd w:id="0"/>
      <w:r>
        <w:rPr>
          <w:rFonts w:ascii="Book Antiqua" w:hAnsi="Book Antiqua" w:cs="Arial"/>
        </w:rPr>
        <w:t>me the matter came on for hearing of the appellant’s first asylum appeal in 2010 the appellant’s position was that he had not heard from h</w:t>
      </w:r>
      <w:r w:rsidR="006478A6">
        <w:rPr>
          <w:rFonts w:ascii="Book Antiqua" w:hAnsi="Book Antiqua" w:cs="Arial"/>
        </w:rPr>
        <w:t>is family members for some time:</w:t>
      </w:r>
      <w:r>
        <w:rPr>
          <w:rFonts w:ascii="Book Antiqua" w:hAnsi="Book Antiqua" w:cs="Arial"/>
        </w:rPr>
        <w:t xml:space="preserve"> he</w:t>
      </w:r>
      <w:r w:rsidR="000D0C1E">
        <w:rPr>
          <w:rFonts w:ascii="Book Antiqua" w:hAnsi="Book Antiqua" w:cs="Arial"/>
        </w:rPr>
        <w:t xml:space="preserve"> thought they were all in </w:t>
      </w:r>
      <w:smartTag w:uri="urn:schemas-microsoft-com:office:smarttags" w:element="country-region">
        <w:smartTag w:uri="urn:schemas-microsoft-com:office:smarttags" w:element="place">
          <w:r w:rsidR="000D0C1E">
            <w:rPr>
              <w:rFonts w:ascii="Book Antiqua" w:hAnsi="Book Antiqua" w:cs="Arial"/>
            </w:rPr>
            <w:t>Syria</w:t>
          </w:r>
        </w:smartTag>
      </w:smartTag>
      <w:r w:rsidR="000D0C1E">
        <w:rPr>
          <w:rFonts w:ascii="Book Antiqua" w:hAnsi="Book Antiqua" w:cs="Arial"/>
        </w:rPr>
        <w:t>.  H</w:t>
      </w:r>
      <w:r>
        <w:rPr>
          <w:rFonts w:ascii="Book Antiqua" w:hAnsi="Book Antiqua" w:cs="Arial"/>
        </w:rPr>
        <w:t xml:space="preserve">e was unable to provide any positive evidence of their absence from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xml:space="preserve">.  All he said was that he had no contact with them.  </w:t>
      </w:r>
    </w:p>
    <w:p w:rsidR="00F67816" w:rsidRDefault="00F67816" w:rsidP="009D348A">
      <w:pPr>
        <w:numPr>
          <w:ilvl w:val="0"/>
          <w:numId w:val="1"/>
        </w:numPr>
        <w:tabs>
          <w:tab w:val="clear" w:pos="567"/>
        </w:tabs>
        <w:spacing w:before="240"/>
        <w:jc w:val="both"/>
        <w:rPr>
          <w:rFonts w:ascii="Book Antiqua" w:hAnsi="Book Antiqua" w:cs="Arial"/>
        </w:rPr>
      </w:pPr>
      <w:r>
        <w:rPr>
          <w:rFonts w:ascii="Book Antiqua" w:hAnsi="Book Antiqua" w:cs="Arial"/>
        </w:rPr>
        <w:t>His asylum appeal was determined by Judge Lever</w:t>
      </w:r>
      <w:r w:rsidR="00CB62DB">
        <w:rPr>
          <w:rFonts w:ascii="Book Antiqua" w:hAnsi="Book Antiqua" w:cs="Arial"/>
        </w:rPr>
        <w:t>,</w:t>
      </w:r>
      <w:r>
        <w:rPr>
          <w:rFonts w:ascii="Book Antiqua" w:hAnsi="Book Antiqua" w:cs="Arial"/>
        </w:rPr>
        <w:t xml:space="preserve"> who </w:t>
      </w:r>
      <w:r w:rsidR="004C2E8A">
        <w:rPr>
          <w:rFonts w:ascii="Book Antiqua" w:hAnsi="Book Antiqua" w:cs="Arial"/>
        </w:rPr>
        <w:t>w</w:t>
      </w:r>
      <w:r>
        <w:rPr>
          <w:rFonts w:ascii="Book Antiqua" w:hAnsi="Book Antiqua" w:cs="Arial"/>
        </w:rPr>
        <w:t>as not satisfied that the appellant was telling the truth about his family.  He decided therefore in 2010 that the appellant was not a person whose evidence on his family was to be regarded as credible</w:t>
      </w:r>
      <w:r w:rsidR="00CB62DB">
        <w:rPr>
          <w:rFonts w:ascii="Book Antiqua" w:hAnsi="Book Antiqua" w:cs="Arial"/>
        </w:rPr>
        <w:t>,</w:t>
      </w:r>
      <w:r>
        <w:rPr>
          <w:rFonts w:ascii="Book Antiqua" w:hAnsi="Book Antiqua" w:cs="Arial"/>
        </w:rPr>
        <w:t xml:space="preserve"> and decided also at that time that the appellant had not established that he was without family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xml:space="preserve">.  </w:t>
      </w:r>
    </w:p>
    <w:p w:rsidR="00F67816" w:rsidRDefault="00F67816"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made as I have indicated a further claim</w:t>
      </w:r>
      <w:r w:rsidR="00CB62DB">
        <w:rPr>
          <w:rFonts w:ascii="Book Antiqua" w:hAnsi="Book Antiqua" w:cs="Arial"/>
        </w:rPr>
        <w:t>,</w:t>
      </w:r>
      <w:r>
        <w:rPr>
          <w:rFonts w:ascii="Book Antiqua" w:hAnsi="Book Antiqua" w:cs="Arial"/>
        </w:rPr>
        <w:t xml:space="preserve"> and there was a further decision against him</w:t>
      </w:r>
      <w:r w:rsidR="00CB62DB">
        <w:rPr>
          <w:rFonts w:ascii="Book Antiqua" w:hAnsi="Book Antiqua" w:cs="Arial"/>
        </w:rPr>
        <w:t>,</w:t>
      </w:r>
      <w:r>
        <w:rPr>
          <w:rFonts w:ascii="Book Antiqua" w:hAnsi="Book Antiqua" w:cs="Arial"/>
        </w:rPr>
        <w:t xml:space="preserve"> and so the matter came before Judge Bannerman on a second appeal.  Judge Bannerman took as his starting point the decision of Judge Lever and concluded after careful consideration of the facts before him that there was no reason to depart from the decision of Judge Lever.  He referred to </w:t>
      </w:r>
      <w:proofErr w:type="spellStart"/>
      <w:r>
        <w:rPr>
          <w:rFonts w:ascii="Book Antiqua" w:hAnsi="Book Antiqua" w:cs="Arial"/>
          <w:u w:val="single"/>
        </w:rPr>
        <w:t>Devaseelan</w:t>
      </w:r>
      <w:proofErr w:type="spellEnd"/>
      <w:r>
        <w:rPr>
          <w:rFonts w:ascii="Book Antiqua" w:hAnsi="Book Antiqua" w:cs="Arial"/>
        </w:rPr>
        <w:t xml:space="preserve"> [2002] UKIAT 00702 and regarded the finding of Judge Lever in 2010 as essentially concluding the matter because he was not persuaded that there was any reason to depart from it.  He therefore treated the appellant as a person who was not worthy of credit</w:t>
      </w:r>
      <w:r w:rsidR="00CB62DB">
        <w:rPr>
          <w:rFonts w:ascii="Book Antiqua" w:hAnsi="Book Antiqua" w:cs="Arial"/>
        </w:rPr>
        <w:t>,</w:t>
      </w:r>
      <w:r>
        <w:rPr>
          <w:rFonts w:ascii="Book Antiqua" w:hAnsi="Book Antiqua" w:cs="Arial"/>
        </w:rPr>
        <w:t xml:space="preserve"> and who had not established that he had no family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He then went on to conclude that because the appellant therefore could be regarded as a person who did have family in Iraq, he could properly be returned to Baghdad from where he could</w:t>
      </w:r>
      <w:r w:rsidR="00CB62DB">
        <w:rPr>
          <w:rFonts w:ascii="Book Antiqua" w:hAnsi="Book Antiqua" w:cs="Arial"/>
        </w:rPr>
        <w:t>,</w:t>
      </w:r>
      <w:r>
        <w:rPr>
          <w:rFonts w:ascii="Book Antiqua" w:hAnsi="Book Antiqua" w:cs="Arial"/>
        </w:rPr>
        <w:t xml:space="preserve"> or might chose</w:t>
      </w:r>
      <w:r w:rsidR="00CB62DB">
        <w:rPr>
          <w:rFonts w:ascii="Book Antiqua" w:hAnsi="Book Antiqua" w:cs="Arial"/>
        </w:rPr>
        <w:t xml:space="preserve"> to</w:t>
      </w:r>
      <w:r>
        <w:rPr>
          <w:rFonts w:ascii="Book Antiqua" w:hAnsi="Book Antiqua" w:cs="Arial"/>
        </w:rPr>
        <w:t xml:space="preserve">, relocate to the IKR and would with the help of his family be able to able to obtain </w:t>
      </w:r>
      <w:r w:rsidR="00CB62DB">
        <w:rPr>
          <w:rFonts w:ascii="Book Antiqua" w:hAnsi="Book Antiqua" w:cs="Arial"/>
        </w:rPr>
        <w:t xml:space="preserve">a </w:t>
      </w:r>
      <w:r>
        <w:rPr>
          <w:rFonts w:ascii="Book Antiqua" w:hAnsi="Book Antiqua" w:cs="Arial"/>
        </w:rPr>
        <w:t xml:space="preserve">CSID or whatever other documents were necessary to enable him to function properly within the Iraqi regime as it currently operates in either of those two areas.  </w:t>
      </w:r>
    </w:p>
    <w:p w:rsidR="00204A5F" w:rsidRDefault="00204A5F"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are essentially that the judge erred in applying </w:t>
      </w:r>
      <w:proofErr w:type="spellStart"/>
      <w:r>
        <w:rPr>
          <w:rFonts w:ascii="Book Antiqua" w:hAnsi="Book Antiqua" w:cs="Arial"/>
          <w:u w:val="single"/>
        </w:rPr>
        <w:t>Devaseelan</w:t>
      </w:r>
      <w:proofErr w:type="spellEnd"/>
      <w:r>
        <w:rPr>
          <w:rFonts w:ascii="Book Antiqua" w:hAnsi="Book Antiqua" w:cs="Arial"/>
        </w:rPr>
        <w:t xml:space="preserve"> in the way he did,</w:t>
      </w:r>
      <w:r w:rsidR="00CB62DB">
        <w:rPr>
          <w:rFonts w:ascii="Book Antiqua" w:hAnsi="Book Antiqua" w:cs="Arial"/>
        </w:rPr>
        <w:t xml:space="preserve"> and</w:t>
      </w:r>
      <w:r>
        <w:rPr>
          <w:rFonts w:ascii="Book Antiqua" w:hAnsi="Book Antiqua" w:cs="Arial"/>
        </w:rPr>
        <w:t xml:space="preserve"> that the judge ought to have reached his own conclusion on the two matters to which I have referred</w:t>
      </w:r>
      <w:r w:rsidR="00CB62DB">
        <w:rPr>
          <w:rFonts w:ascii="Book Antiqua" w:hAnsi="Book Antiqua" w:cs="Arial"/>
        </w:rPr>
        <w:t>,</w:t>
      </w:r>
      <w:r>
        <w:rPr>
          <w:rFonts w:ascii="Book Antiqua" w:hAnsi="Book Antiqua" w:cs="Arial"/>
        </w:rPr>
        <w:t xml:space="preserve"> bearing in mind the passage of time and the events since 2010 in that part of the world.  </w:t>
      </w:r>
    </w:p>
    <w:p w:rsidR="00204A5F" w:rsidRDefault="00204A5F" w:rsidP="009D348A">
      <w:pPr>
        <w:numPr>
          <w:ilvl w:val="0"/>
          <w:numId w:val="1"/>
        </w:numPr>
        <w:tabs>
          <w:tab w:val="clear" w:pos="567"/>
        </w:tabs>
        <w:spacing w:before="240"/>
        <w:jc w:val="both"/>
        <w:rPr>
          <w:rFonts w:ascii="Book Antiqua" w:hAnsi="Book Antiqua" w:cs="Arial"/>
        </w:rPr>
      </w:pPr>
      <w:r>
        <w:rPr>
          <w:rFonts w:ascii="Book Antiqua" w:hAnsi="Book Antiqua" w:cs="Arial"/>
        </w:rPr>
        <w:t>Mr Bates</w:t>
      </w:r>
      <w:r w:rsidR="00CB62DB">
        <w:rPr>
          <w:rFonts w:ascii="Book Antiqua" w:hAnsi="Book Antiqua" w:cs="Arial"/>
        </w:rPr>
        <w:t>,</w:t>
      </w:r>
      <w:r>
        <w:rPr>
          <w:rFonts w:ascii="Book Antiqua" w:hAnsi="Book Antiqua" w:cs="Arial"/>
        </w:rPr>
        <w:t xml:space="preserve"> who appears f</w:t>
      </w:r>
      <w:r w:rsidR="00CB62DB">
        <w:rPr>
          <w:rFonts w:ascii="Book Antiqua" w:hAnsi="Book Antiqua" w:cs="Arial"/>
        </w:rPr>
        <w:t xml:space="preserve">or the respondent, </w:t>
      </w:r>
      <w:r>
        <w:rPr>
          <w:rFonts w:ascii="Book Antiqua" w:hAnsi="Book Antiqua" w:cs="Arial"/>
        </w:rPr>
        <w:t xml:space="preserve">has drawn my attention to the defects as he sees it in the appellant’s evidence about personal matters since 2010 but has accepted that if the judge’s conclusion on the appellant’s family was wrong the Secretary of State’s case is in some difficulty.  </w:t>
      </w:r>
    </w:p>
    <w:p w:rsidR="00204A5F" w:rsidRDefault="00204A5F" w:rsidP="009D348A">
      <w:pPr>
        <w:numPr>
          <w:ilvl w:val="0"/>
          <w:numId w:val="1"/>
        </w:numPr>
        <w:tabs>
          <w:tab w:val="clear" w:pos="567"/>
        </w:tabs>
        <w:spacing w:before="240"/>
        <w:jc w:val="both"/>
        <w:rPr>
          <w:rFonts w:ascii="Book Antiqua" w:hAnsi="Book Antiqua" w:cs="Arial"/>
        </w:rPr>
      </w:pPr>
      <w:r>
        <w:rPr>
          <w:rFonts w:ascii="Book Antiqua" w:hAnsi="Book Antiqua" w:cs="Arial"/>
        </w:rPr>
        <w:t>The issue of the appellant’s family was certainly determined by Judge Lever in</w:t>
      </w:r>
      <w:r w:rsidR="004C2E8A">
        <w:rPr>
          <w:rFonts w:ascii="Book Antiqua" w:hAnsi="Book Antiqua" w:cs="Arial"/>
        </w:rPr>
        <w:t xml:space="preserve"> 2010.  The question is whether</w:t>
      </w:r>
      <w:r>
        <w:rPr>
          <w:rFonts w:ascii="Book Antiqua" w:hAnsi="Book Antiqua" w:cs="Arial"/>
        </w:rPr>
        <w:t xml:space="preserve"> in the circ</w:t>
      </w:r>
      <w:r w:rsidR="00F3646C">
        <w:rPr>
          <w:rFonts w:ascii="Book Antiqua" w:hAnsi="Book Antiqua" w:cs="Arial"/>
        </w:rPr>
        <w:t>umstances of this case Judge Bannerman</w:t>
      </w:r>
      <w:r>
        <w:rPr>
          <w:rFonts w:ascii="Book Antiqua" w:hAnsi="Book Antiqua" w:cs="Arial"/>
        </w:rPr>
        <w:t xml:space="preserve"> ought to have either accorded less weight than he did to the conclusions of Judge Lever as operative at the time when he was making his decision in 2018</w:t>
      </w:r>
      <w:r w:rsidR="00F3646C">
        <w:rPr>
          <w:rFonts w:ascii="Book Antiqua" w:hAnsi="Book Antiqua" w:cs="Arial"/>
        </w:rPr>
        <w:t>,</w:t>
      </w:r>
      <w:r>
        <w:rPr>
          <w:rFonts w:ascii="Book Antiqua" w:hAnsi="Book Antiqua" w:cs="Arial"/>
        </w:rPr>
        <w:t xml:space="preserve"> or whether he should have in some other way departed from Judge Lever’s conclusions.  It seems to me that the conclusions of Judge Lever do put the appellant in the position that he</w:t>
      </w:r>
      <w:r w:rsidR="004C2E8A">
        <w:rPr>
          <w:rFonts w:ascii="Book Antiqua" w:hAnsi="Book Antiqua" w:cs="Arial"/>
        </w:rPr>
        <w:t xml:space="preserve"> needs to show some good reason</w:t>
      </w:r>
      <w:r>
        <w:rPr>
          <w:rFonts w:ascii="Book Antiqua" w:hAnsi="Book Antiqua" w:cs="Arial"/>
        </w:rPr>
        <w:t xml:space="preserve"> for departing from it.  That is, it may be said, the essence of the decision in </w:t>
      </w:r>
      <w:proofErr w:type="spellStart"/>
      <w:r>
        <w:rPr>
          <w:rFonts w:ascii="Book Antiqua" w:hAnsi="Book Antiqua" w:cs="Arial"/>
          <w:u w:val="single"/>
        </w:rPr>
        <w:t>Devaseelan</w:t>
      </w:r>
      <w:proofErr w:type="spellEnd"/>
      <w:r>
        <w:rPr>
          <w:rFonts w:ascii="Book Antiqua" w:hAnsi="Book Antiqua" w:cs="Arial"/>
        </w:rPr>
        <w:t>.  However, different cases raise different issues.  It is clearly not open to a person whose account is rejected</w:t>
      </w:r>
      <w:r w:rsidR="00465F25">
        <w:rPr>
          <w:rFonts w:ascii="Book Antiqua" w:hAnsi="Book Antiqua" w:cs="Arial"/>
        </w:rPr>
        <w:t>,</w:t>
      </w:r>
      <w:r>
        <w:rPr>
          <w:rFonts w:ascii="Book Antiqua" w:hAnsi="Book Antiqua" w:cs="Arial"/>
        </w:rPr>
        <w:t xml:space="preserve"> particularly if it is rejected because a judge does not find his evidence credible</w:t>
      </w:r>
      <w:r w:rsidR="00465F25">
        <w:rPr>
          <w:rFonts w:ascii="Book Antiqua" w:hAnsi="Book Antiqua" w:cs="Arial"/>
        </w:rPr>
        <w:t>,</w:t>
      </w:r>
      <w:r>
        <w:rPr>
          <w:rFonts w:ascii="Book Antiqua" w:hAnsi="Book Antiqua" w:cs="Arial"/>
        </w:rPr>
        <w:t xml:space="preserve"> simply to raise the same matter before another judge and say that he is entitled to have the matter determined afresh.  </w:t>
      </w:r>
      <w:proofErr w:type="spellStart"/>
      <w:r>
        <w:rPr>
          <w:rFonts w:ascii="Book Antiqua" w:hAnsi="Book Antiqua" w:cs="Arial"/>
          <w:u w:val="single"/>
        </w:rPr>
        <w:lastRenderedPageBreak/>
        <w:t>Devaseelan</w:t>
      </w:r>
      <w:proofErr w:type="spellEnd"/>
      <w:r>
        <w:rPr>
          <w:rFonts w:ascii="Book Antiqua" w:hAnsi="Book Antiqua" w:cs="Arial"/>
        </w:rPr>
        <w:t xml:space="preserve"> is precisely intended to avoid time being wasted or judgments not being regarded as final on that sort of basis.  </w:t>
      </w:r>
      <w:proofErr w:type="gramStart"/>
      <w:r>
        <w:rPr>
          <w:rFonts w:ascii="Book Antiqua" w:hAnsi="Book Antiqua" w:cs="Arial"/>
        </w:rPr>
        <w:t>Nevertheless</w:t>
      </w:r>
      <w:proofErr w:type="gramEnd"/>
      <w:r>
        <w:rPr>
          <w:rFonts w:ascii="Book Antiqua" w:hAnsi="Book Antiqua" w:cs="Arial"/>
        </w:rPr>
        <w:t xml:space="preserve"> it does appear to me in this case that there were factors which needed to be taken into account that had arisen since 2010.</w:t>
      </w:r>
    </w:p>
    <w:p w:rsidR="00204A5F" w:rsidRDefault="00204A5F"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first is that another eight years have passed with no evidence or any contact at all between the appellant and his relatives.  </w:t>
      </w:r>
      <w:proofErr w:type="gramStart"/>
      <w:r>
        <w:rPr>
          <w:rFonts w:ascii="Book Antiqua" w:hAnsi="Book Antiqua" w:cs="Arial"/>
        </w:rPr>
        <w:t>Of course</w:t>
      </w:r>
      <w:proofErr w:type="gramEnd"/>
      <w:r>
        <w:rPr>
          <w:rFonts w:ascii="Book Antiqua" w:hAnsi="Book Antiqua" w:cs="Arial"/>
        </w:rPr>
        <w:t xml:space="preserve"> that is not an absolutely persuasive factor in itself but this is not a case where, for example, another relative has been found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with whom, after claiming that there were no relatives, the appellant has had a loving reunion.  This is a case where the number of relatives was at the beginning small and where there is in a period now of ten years no trace of them.  </w:t>
      </w:r>
    </w:p>
    <w:p w:rsidR="00204A5F" w:rsidRDefault="00204A5F" w:rsidP="009D348A">
      <w:pPr>
        <w:numPr>
          <w:ilvl w:val="0"/>
          <w:numId w:val="1"/>
        </w:numPr>
        <w:tabs>
          <w:tab w:val="clear" w:pos="567"/>
        </w:tabs>
        <w:spacing w:before="240"/>
        <w:jc w:val="both"/>
        <w:rPr>
          <w:rFonts w:ascii="Book Antiqua" w:hAnsi="Book Antiqua" w:cs="Arial"/>
        </w:rPr>
      </w:pPr>
      <w:r>
        <w:rPr>
          <w:rFonts w:ascii="Book Antiqua" w:hAnsi="Book Antiqua" w:cs="Arial"/>
        </w:rPr>
        <w:t>Secondly, there was evidence from the appellant that he had made some</w:t>
      </w:r>
      <w:r w:rsidR="00465F25">
        <w:rPr>
          <w:rFonts w:ascii="Book Antiqua" w:hAnsi="Book Antiqua" w:cs="Arial"/>
        </w:rPr>
        <w:t>, albeit wholly</w:t>
      </w:r>
      <w:r>
        <w:rPr>
          <w:rFonts w:ascii="Book Antiqua" w:hAnsi="Book Antiqua" w:cs="Arial"/>
        </w:rPr>
        <w:t xml:space="preserve"> inadequate</w:t>
      </w:r>
      <w:r w:rsidR="00465F25">
        <w:rPr>
          <w:rFonts w:ascii="Book Antiqua" w:hAnsi="Book Antiqua" w:cs="Arial"/>
        </w:rPr>
        <w:t>,</w:t>
      </w:r>
      <w:r>
        <w:rPr>
          <w:rFonts w:ascii="Book Antiqua" w:hAnsi="Book Antiqua" w:cs="Arial"/>
        </w:rPr>
        <w:t xml:space="preserve"> attempts to trace them.  </w:t>
      </w:r>
      <w:proofErr w:type="gramStart"/>
      <w:r>
        <w:rPr>
          <w:rFonts w:ascii="Book Antiqua" w:hAnsi="Book Antiqua" w:cs="Arial"/>
        </w:rPr>
        <w:t>That is to say he</w:t>
      </w:r>
      <w:proofErr w:type="gramEnd"/>
      <w:r>
        <w:rPr>
          <w:rFonts w:ascii="Book Antiqua" w:hAnsi="Book Antiqua" w:cs="Arial"/>
        </w:rPr>
        <w:t xml:space="preserve"> had contacted the Red Cross to see if his mother and other family members could be traced.  The absence of a positive response </w:t>
      </w:r>
      <w:r w:rsidR="008F3C0B">
        <w:rPr>
          <w:rFonts w:ascii="Book Antiqua" w:hAnsi="Book Antiqua" w:cs="Arial"/>
        </w:rPr>
        <w:t>from the Red Cross does not of course mean that they cannot be traced</w:t>
      </w:r>
      <w:r w:rsidR="00465F25">
        <w:rPr>
          <w:rFonts w:ascii="Book Antiqua" w:hAnsi="Book Antiqua" w:cs="Arial"/>
        </w:rPr>
        <w:t>,</w:t>
      </w:r>
      <w:r w:rsidR="008F3C0B">
        <w:rPr>
          <w:rFonts w:ascii="Book Antiqua" w:hAnsi="Book Antiqua" w:cs="Arial"/>
        </w:rPr>
        <w:t xml:space="preserve"> although it does mean that they have not been yet</w:t>
      </w:r>
      <w:r w:rsidR="00465F25">
        <w:rPr>
          <w:rFonts w:ascii="Book Antiqua" w:hAnsi="Book Antiqua" w:cs="Arial"/>
        </w:rPr>
        <w:t>,</w:t>
      </w:r>
      <w:r w:rsidR="008F3C0B">
        <w:rPr>
          <w:rFonts w:ascii="Book Antiqua" w:hAnsi="Book Antiqua" w:cs="Arial"/>
        </w:rPr>
        <w:t xml:space="preserve"> but the appellant’s willingness to put that process in action through a well-respected non-governme</w:t>
      </w:r>
      <w:r w:rsidR="00465F25">
        <w:rPr>
          <w:rFonts w:ascii="Book Antiqua" w:hAnsi="Book Antiqua" w:cs="Arial"/>
        </w:rPr>
        <w:t>ntal organisation</w:t>
      </w:r>
      <w:r w:rsidR="008F3C0B">
        <w:rPr>
          <w:rFonts w:ascii="Book Antiqua" w:hAnsi="Book Antiqua" w:cs="Arial"/>
        </w:rPr>
        <w:t xml:space="preserve"> might be regarded as adding something to his credibility on that issue.</w:t>
      </w:r>
    </w:p>
    <w:p w:rsidR="008F3C0B" w:rsidRDefault="008F3C0B" w:rsidP="009D348A">
      <w:pPr>
        <w:numPr>
          <w:ilvl w:val="0"/>
          <w:numId w:val="1"/>
        </w:numPr>
        <w:tabs>
          <w:tab w:val="clear" w:pos="567"/>
        </w:tabs>
        <w:spacing w:before="240"/>
        <w:jc w:val="both"/>
        <w:rPr>
          <w:rFonts w:ascii="Book Antiqua" w:hAnsi="Book Antiqua" w:cs="Arial"/>
        </w:rPr>
      </w:pPr>
      <w:r>
        <w:rPr>
          <w:rFonts w:ascii="Book Antiqua" w:hAnsi="Book Antiqua" w:cs="Arial"/>
        </w:rPr>
        <w:t>There is a third factor which is perhaps not exactly to the point</w:t>
      </w:r>
      <w:r w:rsidR="003C797D">
        <w:rPr>
          <w:rFonts w:ascii="Book Antiqua" w:hAnsi="Book Antiqua" w:cs="Arial"/>
        </w:rPr>
        <w:t>,</w:t>
      </w:r>
      <w:r>
        <w:rPr>
          <w:rFonts w:ascii="Book Antiqua" w:hAnsi="Book Antiqua" w:cs="Arial"/>
        </w:rPr>
        <w:t xml:space="preserve"> but which may assist</w:t>
      </w:r>
      <w:r w:rsidR="003C797D">
        <w:rPr>
          <w:rFonts w:ascii="Book Antiqua" w:hAnsi="Book Antiqua" w:cs="Arial"/>
        </w:rPr>
        <w:t>,</w:t>
      </w:r>
      <w:r>
        <w:rPr>
          <w:rFonts w:ascii="Book Antiqua" w:hAnsi="Book Antiqua" w:cs="Arial"/>
        </w:rPr>
        <w:t xml:space="preserve"> which is simpl</w:t>
      </w:r>
      <w:r w:rsidR="003C797D">
        <w:rPr>
          <w:rFonts w:ascii="Book Antiqua" w:hAnsi="Book Antiqua" w:cs="Arial"/>
        </w:rPr>
        <w:t>y that the circumstances in</w:t>
      </w:r>
      <w:r>
        <w:rPr>
          <w:rFonts w:ascii="Book Antiqua" w:hAnsi="Book Antiqua" w:cs="Arial"/>
        </w:rPr>
        <w:t xml:space="preserve"> Syria, the place to which the appellant’s family are said to have gone</w:t>
      </w:r>
      <w:r w:rsidR="003C797D">
        <w:rPr>
          <w:rFonts w:ascii="Book Antiqua" w:hAnsi="Book Antiqua" w:cs="Arial"/>
        </w:rPr>
        <w:t>, and</w:t>
      </w:r>
      <w:r>
        <w:rPr>
          <w:rFonts w:ascii="Book Antiqua" w:hAnsi="Book Antiqua" w:cs="Arial"/>
        </w:rPr>
        <w:t xml:space="preserve"> Mosul</w:t>
      </w:r>
      <w:r w:rsidR="003C797D">
        <w:rPr>
          <w:rFonts w:ascii="Book Antiqua" w:hAnsi="Book Antiqua" w:cs="Arial"/>
        </w:rPr>
        <w:t>,</w:t>
      </w:r>
      <w:r>
        <w:rPr>
          <w:rFonts w:ascii="Book Antiqua" w:hAnsi="Book Antiqua" w:cs="Arial"/>
        </w:rPr>
        <w:t xml:space="preserve"> and northern Iraq</w:t>
      </w:r>
      <w:r w:rsidR="003C797D">
        <w:rPr>
          <w:rFonts w:ascii="Book Antiqua" w:hAnsi="Book Antiqua" w:cs="Arial"/>
        </w:rPr>
        <w:t>,</w:t>
      </w:r>
      <w:r>
        <w:rPr>
          <w:rFonts w:ascii="Book Antiqua" w:hAnsi="Book Antiqua" w:cs="Arial"/>
        </w:rPr>
        <w:t xml:space="preserve"> and indeed other parts of Iraq in the period between 2010 and 2018 might tend to the suggestion that individuals who may have been alive and well in 2010 might not be today.  </w:t>
      </w:r>
    </w:p>
    <w:p w:rsidR="008F3C0B" w:rsidRDefault="008F3C0B"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None of those factors of itself demonstrates that the appellant was telling the truth in 2010 or that he did not have relatives in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in 2010.  Each of them separately however is a point which as it seems to me Judge Bannerman ought to have </w:t>
      </w:r>
      <w:proofErr w:type="gramStart"/>
      <w:r>
        <w:rPr>
          <w:rFonts w:ascii="Book Antiqua" w:hAnsi="Book Antiqua" w:cs="Arial"/>
        </w:rPr>
        <w:t>taken into account</w:t>
      </w:r>
      <w:proofErr w:type="gramEnd"/>
      <w:r>
        <w:rPr>
          <w:rFonts w:ascii="Book Antiqua" w:hAnsi="Book Antiqua" w:cs="Arial"/>
        </w:rPr>
        <w:t xml:space="preserve"> in determining whether he should apply Judge Lever’s determination without departing from it or whether it was right to depart from it.  It seems to me that the combination of the three factors is amply sufficient to show that the judge’s refusal to depart from it was an error in law.  </w:t>
      </w:r>
    </w:p>
    <w:p w:rsidR="008F3C0B" w:rsidRDefault="008F3C0B"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have therefore considered the material myself.  I look to see whether the material before Judge Bannerman is material which ought to have been regarded by Judge Bannerman as establishing the absence of any relatives of the appellant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xml:space="preserve">.  It is fair to say that Judge Bannerman made no conclusion himself on the appellant’s credibility.  He said specifically that nothing that had been said in the evidence before him caused him to find that the appellant has become a credible individual based on the evidence and the way he gave it.  That might well have been an appropriate way of dealing with the matter if it were right to regard himself as </w:t>
      </w:r>
      <w:r w:rsidR="008C25F3">
        <w:rPr>
          <w:rFonts w:ascii="Book Antiqua" w:hAnsi="Book Antiqua" w:cs="Arial"/>
        </w:rPr>
        <w:t>bound by Judge Lever’s determination but once that prop disappears then the judge was evidently required to make a conclusion as to credibility himself.  Nothing that I find in his determination causes me say that the appellant properly ought to have been regarded as not a witness of credit in the hearing before Judge Bannerman</w:t>
      </w:r>
      <w:r w:rsidR="00502101">
        <w:rPr>
          <w:rFonts w:ascii="Book Antiqua" w:hAnsi="Book Antiqua" w:cs="Arial"/>
        </w:rPr>
        <w:t>,</w:t>
      </w:r>
      <w:r w:rsidR="008C25F3">
        <w:rPr>
          <w:rFonts w:ascii="Book Antiqua" w:hAnsi="Book Antiqua" w:cs="Arial"/>
        </w:rPr>
        <w:t xml:space="preserve"> based on the evidence that he gave</w:t>
      </w:r>
      <w:r w:rsidR="00502101">
        <w:rPr>
          <w:rFonts w:ascii="Book Antiqua" w:hAnsi="Book Antiqua" w:cs="Arial"/>
        </w:rPr>
        <w:t>,</w:t>
      </w:r>
      <w:r w:rsidR="008C25F3">
        <w:rPr>
          <w:rFonts w:ascii="Book Antiqua" w:hAnsi="Book Antiqua" w:cs="Arial"/>
        </w:rPr>
        <w:t xml:space="preserve"> and based as I have said on the events since 2010, </w:t>
      </w:r>
      <w:proofErr w:type="gramStart"/>
      <w:r w:rsidR="008C25F3">
        <w:rPr>
          <w:rFonts w:ascii="Book Antiqua" w:hAnsi="Book Antiqua" w:cs="Arial"/>
        </w:rPr>
        <w:t>in particular his</w:t>
      </w:r>
      <w:proofErr w:type="gramEnd"/>
      <w:r w:rsidR="008C25F3">
        <w:rPr>
          <w:rFonts w:ascii="Book Antiqua" w:hAnsi="Book Antiqua" w:cs="Arial"/>
        </w:rPr>
        <w:t xml:space="preserve"> willingness to see whether anybody else could find the relatives that he had not been able to find.  </w:t>
      </w:r>
    </w:p>
    <w:p w:rsidR="000D0C1E" w:rsidRDefault="000D0C1E"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For that </w:t>
      </w:r>
      <w:proofErr w:type="gramStart"/>
      <w:r>
        <w:rPr>
          <w:rFonts w:ascii="Book Antiqua" w:hAnsi="Book Antiqua" w:cs="Arial"/>
        </w:rPr>
        <w:t>reason</w:t>
      </w:r>
      <w:proofErr w:type="gramEnd"/>
      <w:r>
        <w:rPr>
          <w:rFonts w:ascii="Book Antiqua" w:hAnsi="Book Antiqua" w:cs="Arial"/>
        </w:rPr>
        <w:t xml:space="preserve"> my conclusion is</w:t>
      </w:r>
      <w:r w:rsidR="00502101">
        <w:rPr>
          <w:rFonts w:ascii="Book Antiqua" w:hAnsi="Book Antiqua" w:cs="Arial"/>
        </w:rPr>
        <w:t>,</w:t>
      </w:r>
      <w:r>
        <w:rPr>
          <w:rFonts w:ascii="Book Antiqua" w:hAnsi="Book Antiqua" w:cs="Arial"/>
        </w:rPr>
        <w:t xml:space="preserve"> on the facts as presented on the evidence before me that to the standard applicable in an asylum appeal </w:t>
      </w:r>
      <w:r w:rsidR="00502101">
        <w:rPr>
          <w:rFonts w:ascii="Book Antiqua" w:hAnsi="Book Antiqua" w:cs="Arial"/>
        </w:rPr>
        <w:t xml:space="preserve">that </w:t>
      </w:r>
      <w:r>
        <w:rPr>
          <w:rFonts w:ascii="Book Antiqua" w:hAnsi="Book Antiqua" w:cs="Arial"/>
        </w:rPr>
        <w:t xml:space="preserve">the appellant did establish on the evidence available that he has no family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To put that in another way</w:t>
      </w:r>
      <w:r w:rsidR="00502101">
        <w:rPr>
          <w:rFonts w:ascii="Book Antiqua" w:hAnsi="Book Antiqua" w:cs="Arial"/>
        </w:rPr>
        <w:t>,</w:t>
      </w:r>
      <w:r>
        <w:rPr>
          <w:rFonts w:ascii="Book Antiqua" w:hAnsi="Book Antiqua" w:cs="Arial"/>
        </w:rPr>
        <w:t xml:space="preserve"> there is simply no basis at all for anybody to act now on the premise that he has family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xml:space="preserve"> who would be able to assist him to re-establish himself there.  </w:t>
      </w:r>
    </w:p>
    <w:p w:rsidR="000D0C1E" w:rsidRDefault="000D0C1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consequence is that if returned to </w:t>
      </w:r>
      <w:smartTag w:uri="urn:schemas-microsoft-com:office:smarttags" w:element="country-region">
        <w:r>
          <w:rPr>
            <w:rFonts w:ascii="Book Antiqua" w:hAnsi="Book Antiqua" w:cs="Arial"/>
          </w:rPr>
          <w:t>Iraq</w:t>
        </w:r>
      </w:smartTag>
      <w:r w:rsidR="00502101">
        <w:rPr>
          <w:rFonts w:ascii="Book Antiqua" w:hAnsi="Book Antiqua" w:cs="Arial"/>
        </w:rPr>
        <w:t xml:space="preserve">, </w:t>
      </w:r>
      <w:r>
        <w:rPr>
          <w:rFonts w:ascii="Book Antiqua" w:hAnsi="Book Antiqua" w:cs="Arial"/>
        </w:rPr>
        <w:t xml:space="preserve">whether to </w:t>
      </w:r>
      <w:smartTag w:uri="urn:schemas-microsoft-com:office:smarttags" w:element="City">
        <w:r>
          <w:rPr>
            <w:rFonts w:ascii="Book Antiqua" w:hAnsi="Book Antiqua" w:cs="Arial"/>
          </w:rPr>
          <w:t>Baghdad</w:t>
        </w:r>
      </w:smartTag>
      <w:r>
        <w:rPr>
          <w:rFonts w:ascii="Book Antiqua" w:hAnsi="Book Antiqua" w:cs="Arial"/>
        </w:rPr>
        <w:t xml:space="preserve"> or to some other place that he might choose to take himself after arriving in </w:t>
      </w:r>
      <w:smartTag w:uri="urn:schemas-microsoft-com:office:smarttags" w:element="place">
        <w:smartTag w:uri="urn:schemas-microsoft-com:office:smarttags" w:element="City">
          <w:r>
            <w:rPr>
              <w:rFonts w:ascii="Book Antiqua" w:hAnsi="Book Antiqua" w:cs="Arial"/>
            </w:rPr>
            <w:t>Baghdad</w:t>
          </w:r>
        </w:smartTag>
      </w:smartTag>
      <w:r w:rsidR="00502101">
        <w:rPr>
          <w:rFonts w:ascii="Book Antiqua" w:hAnsi="Book Antiqua" w:cs="Arial"/>
        </w:rPr>
        <w:t>,</w:t>
      </w:r>
      <w:r>
        <w:rPr>
          <w:rFonts w:ascii="Book Antiqua" w:hAnsi="Book Antiqua" w:cs="Arial"/>
        </w:rPr>
        <w:t xml:space="preserve"> he would be a person who has difficulty in establishing his Iraqi identity</w:t>
      </w:r>
      <w:r w:rsidR="00502101">
        <w:rPr>
          <w:rFonts w:ascii="Book Antiqua" w:hAnsi="Book Antiqua" w:cs="Arial"/>
        </w:rPr>
        <w:t>,</w:t>
      </w:r>
      <w:r>
        <w:rPr>
          <w:rFonts w:ascii="Book Antiqua" w:hAnsi="Book Antiqua" w:cs="Arial"/>
        </w:rPr>
        <w:t xml:space="preserve"> who has no CSID, who is a member of two minorities</w:t>
      </w:r>
      <w:r w:rsidR="00502101">
        <w:rPr>
          <w:rFonts w:ascii="Book Antiqua" w:hAnsi="Book Antiqua" w:cs="Arial"/>
        </w:rPr>
        <w:t>,</w:t>
      </w:r>
      <w:r>
        <w:rPr>
          <w:rFonts w:ascii="Book Antiqua" w:hAnsi="Book Antiqua" w:cs="Arial"/>
        </w:rPr>
        <w:t xml:space="preserve"> as a Kurd and as a Sunni Muslim.  As Mr </w:t>
      </w:r>
      <w:proofErr w:type="spellStart"/>
      <w:r>
        <w:rPr>
          <w:rFonts w:ascii="Book Antiqua" w:hAnsi="Book Antiqua" w:cs="Arial"/>
        </w:rPr>
        <w:t>Karnik</w:t>
      </w:r>
      <w:proofErr w:type="spellEnd"/>
      <w:r>
        <w:rPr>
          <w:rFonts w:ascii="Book Antiqua" w:hAnsi="Book Antiqua" w:cs="Arial"/>
        </w:rPr>
        <w:t xml:space="preserve"> on his behalf has said, he has also the disadvantage of having been outside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xml:space="preserve"> for ten years and having therefore wholly failed to learn the way in which from time to time minorities in that country may be able to save themselves from difficulties.  Noting what Mr Bates said about the Secretary of State’s position if the finding on presence or absence of family members could not stand, it seems to me that the appropriate thing to do now after the ten years that the appellant has been in the United Kingdom, is to put an end to debate about his status and to recognise, as I do, that he has established a well-founded fear of persecution in Iraq as a person who is liable to ill-treatment on account either of his race or his religion or both</w:t>
      </w:r>
      <w:r w:rsidR="00502101">
        <w:rPr>
          <w:rFonts w:ascii="Book Antiqua" w:hAnsi="Book Antiqua" w:cs="Arial"/>
        </w:rPr>
        <w:t>,</w:t>
      </w:r>
      <w:r>
        <w:rPr>
          <w:rFonts w:ascii="Book Antiqua" w:hAnsi="Book Antiqua" w:cs="Arial"/>
        </w:rPr>
        <w:t xml:space="preserve"> and cannot, because of the difficulty about documentation, reasonably be expected to find himself a place to live in reasonable conditions away from such persecution.</w:t>
      </w:r>
    </w:p>
    <w:p w:rsidR="000D0C1E" w:rsidRPr="009B7433" w:rsidRDefault="004C2E8A" w:rsidP="009D348A">
      <w:pPr>
        <w:numPr>
          <w:ilvl w:val="0"/>
          <w:numId w:val="1"/>
        </w:numPr>
        <w:tabs>
          <w:tab w:val="clear" w:pos="567"/>
        </w:tabs>
        <w:spacing w:before="240"/>
        <w:jc w:val="both"/>
        <w:rPr>
          <w:rFonts w:ascii="Book Antiqua" w:hAnsi="Book Antiqua" w:cs="Arial"/>
        </w:rPr>
      </w:pPr>
      <w:r>
        <w:rPr>
          <w:rFonts w:ascii="Book Antiqua" w:hAnsi="Book Antiqua" w:cs="Arial"/>
        </w:rPr>
        <w:t>T</w:t>
      </w:r>
      <w:r w:rsidR="000D0C1E">
        <w:rPr>
          <w:rFonts w:ascii="Book Antiqua" w:hAnsi="Book Antiqua" w:cs="Arial"/>
        </w:rPr>
        <w:t>herefor</w:t>
      </w:r>
      <w:r>
        <w:rPr>
          <w:rFonts w:ascii="Book Antiqua" w:hAnsi="Book Antiqua" w:cs="Arial"/>
        </w:rPr>
        <w:t>e, for the reasons I have given I</w:t>
      </w:r>
      <w:r w:rsidR="000D0C1E">
        <w:rPr>
          <w:rFonts w:ascii="Book Antiqua" w:hAnsi="Book Antiqua" w:cs="Arial"/>
        </w:rPr>
        <w:t xml:space="preserve"> find that Judge Bannerman erred in law in his approach to the application of </w:t>
      </w:r>
      <w:proofErr w:type="spellStart"/>
      <w:r w:rsidR="000D0C1E">
        <w:rPr>
          <w:rFonts w:ascii="Book Antiqua" w:hAnsi="Book Antiqua" w:cs="Arial"/>
          <w:u w:val="single"/>
        </w:rPr>
        <w:t>Devaseelan</w:t>
      </w:r>
      <w:proofErr w:type="spellEnd"/>
      <w:r w:rsidR="000D0C1E">
        <w:rPr>
          <w:rFonts w:ascii="Book Antiqua" w:hAnsi="Book Antiqua" w:cs="Arial"/>
        </w:rPr>
        <w:t xml:space="preserve"> to this case.</w:t>
      </w:r>
      <w:r w:rsidR="00502101">
        <w:rPr>
          <w:rFonts w:ascii="Book Antiqua" w:hAnsi="Book Antiqua" w:cs="Arial"/>
        </w:rPr>
        <w:t xml:space="preserve">  I set aside his determination. </w:t>
      </w:r>
      <w:r w:rsidR="000D0C1E">
        <w:rPr>
          <w:rFonts w:ascii="Book Antiqua" w:hAnsi="Book Antiqua" w:cs="Arial"/>
        </w:rPr>
        <w:t xml:space="preserve"> I re-determine the appellant’s appeal and allow it.</w:t>
      </w:r>
    </w:p>
    <w:p w:rsidR="00D949B7" w:rsidRDefault="00D949B7" w:rsidP="00D949B7">
      <w:pPr>
        <w:jc w:val="both"/>
        <w:rPr>
          <w:rFonts w:ascii="Book Antiqua" w:hAnsi="Book Antiqua" w:cs="Arial"/>
        </w:rPr>
      </w:pPr>
    </w:p>
    <w:p w:rsidR="008D2AE8" w:rsidRDefault="008D2AE8" w:rsidP="00D949B7">
      <w:pPr>
        <w:jc w:val="both"/>
        <w:rPr>
          <w:rFonts w:ascii="Book Antiqua" w:hAnsi="Book Antiqua" w:cs="Arial"/>
        </w:rPr>
      </w:pPr>
    </w:p>
    <w:p w:rsidR="008D2AE8" w:rsidRDefault="008D2AE8" w:rsidP="00D949B7">
      <w:pPr>
        <w:jc w:val="both"/>
        <w:rPr>
          <w:rFonts w:ascii="Book Antiqua" w:hAnsi="Book Antiqua" w:cs="Arial"/>
        </w:rPr>
      </w:pPr>
    </w:p>
    <w:p w:rsidR="008D2AE8" w:rsidRDefault="008D2AE8" w:rsidP="00D949B7">
      <w:pPr>
        <w:jc w:val="both"/>
        <w:rPr>
          <w:rFonts w:ascii="Book Antiqua" w:hAnsi="Book Antiqua" w:cs="Arial"/>
        </w:rPr>
      </w:pPr>
    </w:p>
    <w:p w:rsidR="008D2AE8" w:rsidRDefault="008D2AE8" w:rsidP="00D949B7">
      <w:pPr>
        <w:jc w:val="both"/>
        <w:rPr>
          <w:rFonts w:ascii="Book Antiqua" w:hAnsi="Book Antiqua" w:cs="Arial"/>
        </w:rPr>
      </w:pPr>
    </w:p>
    <w:p w:rsidR="00342DE4" w:rsidRPr="009B7433" w:rsidRDefault="00342DE4" w:rsidP="000A0743">
      <w:pPr>
        <w:jc w:val="both"/>
        <w:rPr>
          <w:rFonts w:ascii="Book Antiqua" w:hAnsi="Book Antiqua" w:cs="Arial"/>
        </w:rPr>
      </w:pPr>
    </w:p>
    <w:p w:rsidR="00342DE4" w:rsidRDefault="00342DE4" w:rsidP="008D2AE8">
      <w:pPr>
        <w:ind w:left="4500"/>
        <w:jc w:val="right"/>
        <w:outlineLvl w:val="0"/>
        <w:rPr>
          <w:rFonts w:ascii="Book Antiqua" w:hAnsi="Book Antiqua"/>
        </w:rPr>
      </w:pPr>
      <w:r>
        <w:rPr>
          <w:rFonts w:ascii="Book Antiqua" w:hAnsi="Book Antiqua"/>
        </w:rPr>
        <w:t>C.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0A0743" w:rsidRDefault="00342DE4" w:rsidP="008D2AE8">
      <w:pPr>
        <w:tabs>
          <w:tab w:val="left" w:pos="2520"/>
        </w:tabs>
        <w:jc w:val="right"/>
        <w:rPr>
          <w:rFonts w:ascii="Book Antiqua" w:hAnsi="Book Antiqua" w:cs="Arial"/>
          <w:b/>
          <w:u w:val="single"/>
        </w:rPr>
      </w:pPr>
      <w:r>
        <w:rPr>
          <w:rFonts w:ascii="Book Antiqua" w:hAnsi="Book Antiqua"/>
        </w:rPr>
        <w:t xml:space="preserve">Date: </w:t>
      </w:r>
      <w:r w:rsidR="00502101">
        <w:rPr>
          <w:rFonts w:ascii="Book Antiqua" w:hAnsi="Book Antiqua"/>
        </w:rPr>
        <w:t>11 June</w:t>
      </w:r>
      <w:r w:rsidR="008D2AE8">
        <w:rPr>
          <w:rFonts w:ascii="Book Antiqua" w:hAnsi="Book Antiqua"/>
        </w:rPr>
        <w:t xml:space="preserve"> 2018</w:t>
      </w:r>
    </w:p>
    <w:sectPr w:rsidR="000A0743" w:rsidSect="007E306D">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C75" w:rsidRDefault="00EF0C75">
      <w:r>
        <w:separator/>
      </w:r>
    </w:p>
  </w:endnote>
  <w:endnote w:type="continuationSeparator" w:id="0">
    <w:p w:rsidR="00EF0C75" w:rsidRDefault="00EF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D13" w:rsidRPr="007E306D" w:rsidRDefault="00050D13" w:rsidP="00593795">
    <w:pPr>
      <w:pStyle w:val="Footer"/>
      <w:jc w:val="center"/>
      <w:rPr>
        <w:rFonts w:ascii="Book Antiqua" w:hAnsi="Book Antiqua" w:cs="Arial"/>
      </w:rPr>
    </w:pPr>
    <w:r w:rsidRPr="007E306D">
      <w:rPr>
        <w:rStyle w:val="PageNumber"/>
        <w:rFonts w:ascii="Book Antiqua" w:hAnsi="Book Antiqua" w:cs="Arial"/>
      </w:rPr>
      <w:fldChar w:fldCharType="begin"/>
    </w:r>
    <w:r w:rsidRPr="007E306D">
      <w:rPr>
        <w:rStyle w:val="PageNumber"/>
        <w:rFonts w:ascii="Book Antiqua" w:hAnsi="Book Antiqua" w:cs="Arial"/>
      </w:rPr>
      <w:instrText xml:space="preserve"> PAGE </w:instrText>
    </w:r>
    <w:r w:rsidRPr="007E306D">
      <w:rPr>
        <w:rStyle w:val="PageNumber"/>
        <w:rFonts w:ascii="Book Antiqua" w:hAnsi="Book Antiqua" w:cs="Arial"/>
      </w:rPr>
      <w:fldChar w:fldCharType="separate"/>
    </w:r>
    <w:r w:rsidR="0064756F">
      <w:rPr>
        <w:rStyle w:val="PageNumber"/>
        <w:rFonts w:ascii="Book Antiqua" w:hAnsi="Book Antiqua" w:cs="Arial"/>
        <w:noProof/>
      </w:rPr>
      <w:t>4</w:t>
    </w:r>
    <w:r w:rsidRPr="007E306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D13" w:rsidRPr="009B7433" w:rsidRDefault="00050D1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C75" w:rsidRDefault="00EF0C75">
      <w:r>
        <w:separator/>
      </w:r>
    </w:p>
  </w:footnote>
  <w:footnote w:type="continuationSeparator" w:id="0">
    <w:p w:rsidR="00EF0C75" w:rsidRDefault="00EF0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D13" w:rsidRDefault="00050D13"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PA/06344/2017</w:t>
    </w:r>
    <w:r w:rsidRPr="009B7433">
      <w:rPr>
        <w:rFonts w:ascii="Book Antiqua" w:hAnsi="Book Antiqua" w:cs="Arial"/>
        <w:sz w:val="16"/>
        <w:szCs w:val="16"/>
      </w:rPr>
      <w:t xml:space="preserve"> </w:t>
    </w:r>
  </w:p>
  <w:p w:rsidR="007E306D" w:rsidRPr="009B7433" w:rsidRDefault="007E306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D13" w:rsidRPr="009B7433" w:rsidRDefault="00050D1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1D0"/>
    <w:rsid w:val="00000621"/>
    <w:rsid w:val="000036C2"/>
    <w:rsid w:val="00016C1A"/>
    <w:rsid w:val="00033588"/>
    <w:rsid w:val="00033D3D"/>
    <w:rsid w:val="0004776F"/>
    <w:rsid w:val="00050D13"/>
    <w:rsid w:val="00052895"/>
    <w:rsid w:val="00062F02"/>
    <w:rsid w:val="00071A7E"/>
    <w:rsid w:val="000746C0"/>
    <w:rsid w:val="00074D1D"/>
    <w:rsid w:val="00092580"/>
    <w:rsid w:val="00093D4D"/>
    <w:rsid w:val="000A0743"/>
    <w:rsid w:val="000D0C1E"/>
    <w:rsid w:val="000D5D94"/>
    <w:rsid w:val="000E32F6"/>
    <w:rsid w:val="000F1A0E"/>
    <w:rsid w:val="001165A7"/>
    <w:rsid w:val="0016508E"/>
    <w:rsid w:val="00167D3A"/>
    <w:rsid w:val="00173F50"/>
    <w:rsid w:val="00185986"/>
    <w:rsid w:val="001A3082"/>
    <w:rsid w:val="001B186A"/>
    <w:rsid w:val="001B2F75"/>
    <w:rsid w:val="001C6F5F"/>
    <w:rsid w:val="001D6167"/>
    <w:rsid w:val="001F2716"/>
    <w:rsid w:val="001F3AC0"/>
    <w:rsid w:val="002001D0"/>
    <w:rsid w:val="00204A5F"/>
    <w:rsid w:val="00207617"/>
    <w:rsid w:val="0023134B"/>
    <w:rsid w:val="00253EC7"/>
    <w:rsid w:val="00283659"/>
    <w:rsid w:val="002C6BD4"/>
    <w:rsid w:val="002D68BF"/>
    <w:rsid w:val="002E4541"/>
    <w:rsid w:val="002F6B98"/>
    <w:rsid w:val="00306FD1"/>
    <w:rsid w:val="00336CBF"/>
    <w:rsid w:val="00342DE4"/>
    <w:rsid w:val="00343FE3"/>
    <w:rsid w:val="003546C8"/>
    <w:rsid w:val="0037777D"/>
    <w:rsid w:val="003825D4"/>
    <w:rsid w:val="003A7CF2"/>
    <w:rsid w:val="003C5CE5"/>
    <w:rsid w:val="003C78B6"/>
    <w:rsid w:val="003C797D"/>
    <w:rsid w:val="003D25F1"/>
    <w:rsid w:val="003D6FAD"/>
    <w:rsid w:val="003E267B"/>
    <w:rsid w:val="003E7CD1"/>
    <w:rsid w:val="00402B9E"/>
    <w:rsid w:val="004249CB"/>
    <w:rsid w:val="004378D3"/>
    <w:rsid w:val="0044127D"/>
    <w:rsid w:val="004448DB"/>
    <w:rsid w:val="00446C9A"/>
    <w:rsid w:val="00451236"/>
    <w:rsid w:val="00452F2B"/>
    <w:rsid w:val="00465F25"/>
    <w:rsid w:val="00477193"/>
    <w:rsid w:val="004A1848"/>
    <w:rsid w:val="004A2D15"/>
    <w:rsid w:val="004A4853"/>
    <w:rsid w:val="004A534C"/>
    <w:rsid w:val="004A6F4A"/>
    <w:rsid w:val="004B70D7"/>
    <w:rsid w:val="004C2E8A"/>
    <w:rsid w:val="004C4741"/>
    <w:rsid w:val="004D2545"/>
    <w:rsid w:val="004D6B45"/>
    <w:rsid w:val="004E4717"/>
    <w:rsid w:val="004F2676"/>
    <w:rsid w:val="00502101"/>
    <w:rsid w:val="00507FEC"/>
    <w:rsid w:val="00510F0E"/>
    <w:rsid w:val="005479E1"/>
    <w:rsid w:val="00553028"/>
    <w:rsid w:val="00553E0A"/>
    <w:rsid w:val="005570FD"/>
    <w:rsid w:val="005575EA"/>
    <w:rsid w:val="0057249E"/>
    <w:rsid w:val="0057790C"/>
    <w:rsid w:val="00593795"/>
    <w:rsid w:val="005A75FF"/>
    <w:rsid w:val="005D10AB"/>
    <w:rsid w:val="005F0198"/>
    <w:rsid w:val="00601D8F"/>
    <w:rsid w:val="00605582"/>
    <w:rsid w:val="00611F34"/>
    <w:rsid w:val="00621FE8"/>
    <w:rsid w:val="006434B6"/>
    <w:rsid w:val="0064756F"/>
    <w:rsid w:val="006478A6"/>
    <w:rsid w:val="00653E97"/>
    <w:rsid w:val="00661945"/>
    <w:rsid w:val="006667DB"/>
    <w:rsid w:val="00684A74"/>
    <w:rsid w:val="0068620A"/>
    <w:rsid w:val="00690B8A"/>
    <w:rsid w:val="00691714"/>
    <w:rsid w:val="006D584F"/>
    <w:rsid w:val="006F2CF1"/>
    <w:rsid w:val="007038ED"/>
    <w:rsid w:val="00703BC3"/>
    <w:rsid w:val="00704B61"/>
    <w:rsid w:val="0070723E"/>
    <w:rsid w:val="00715A64"/>
    <w:rsid w:val="00740C1F"/>
    <w:rsid w:val="007552A9"/>
    <w:rsid w:val="0075658A"/>
    <w:rsid w:val="00761858"/>
    <w:rsid w:val="00767D59"/>
    <w:rsid w:val="00776E97"/>
    <w:rsid w:val="00780F86"/>
    <w:rsid w:val="007845C5"/>
    <w:rsid w:val="007912AD"/>
    <w:rsid w:val="007B0824"/>
    <w:rsid w:val="007B5D3C"/>
    <w:rsid w:val="007E306D"/>
    <w:rsid w:val="00801C1D"/>
    <w:rsid w:val="00815011"/>
    <w:rsid w:val="00821B72"/>
    <w:rsid w:val="0082229E"/>
    <w:rsid w:val="00823EF2"/>
    <w:rsid w:val="008303B8"/>
    <w:rsid w:val="00833DCE"/>
    <w:rsid w:val="00833E86"/>
    <w:rsid w:val="00863D06"/>
    <w:rsid w:val="00871D34"/>
    <w:rsid w:val="008A25EC"/>
    <w:rsid w:val="008A6059"/>
    <w:rsid w:val="008B270C"/>
    <w:rsid w:val="008B5078"/>
    <w:rsid w:val="008C25F3"/>
    <w:rsid w:val="008C3D3D"/>
    <w:rsid w:val="008D2AE8"/>
    <w:rsid w:val="008D4131"/>
    <w:rsid w:val="008D41A5"/>
    <w:rsid w:val="008F1932"/>
    <w:rsid w:val="008F3C0B"/>
    <w:rsid w:val="0090151B"/>
    <w:rsid w:val="009042A9"/>
    <w:rsid w:val="00921062"/>
    <w:rsid w:val="00957C35"/>
    <w:rsid w:val="009722BC"/>
    <w:rsid w:val="009727A3"/>
    <w:rsid w:val="00987774"/>
    <w:rsid w:val="009A11E8"/>
    <w:rsid w:val="009B7433"/>
    <w:rsid w:val="009C57C8"/>
    <w:rsid w:val="009D348A"/>
    <w:rsid w:val="009F5220"/>
    <w:rsid w:val="009F7751"/>
    <w:rsid w:val="00A07919"/>
    <w:rsid w:val="00A15234"/>
    <w:rsid w:val="00A172F5"/>
    <w:rsid w:val="00A201AB"/>
    <w:rsid w:val="00A31C8B"/>
    <w:rsid w:val="00A509FA"/>
    <w:rsid w:val="00A845DC"/>
    <w:rsid w:val="00B26AA2"/>
    <w:rsid w:val="00B3524D"/>
    <w:rsid w:val="00B40F69"/>
    <w:rsid w:val="00B46616"/>
    <w:rsid w:val="00B528BB"/>
    <w:rsid w:val="00B7040A"/>
    <w:rsid w:val="00B83391"/>
    <w:rsid w:val="00B95326"/>
    <w:rsid w:val="00BA647E"/>
    <w:rsid w:val="00BD4196"/>
    <w:rsid w:val="00BF22CA"/>
    <w:rsid w:val="00BF23BB"/>
    <w:rsid w:val="00C26032"/>
    <w:rsid w:val="00C345E1"/>
    <w:rsid w:val="00C43BFD"/>
    <w:rsid w:val="00C6048A"/>
    <w:rsid w:val="00C663C3"/>
    <w:rsid w:val="00CB62DB"/>
    <w:rsid w:val="00CB6E35"/>
    <w:rsid w:val="00CC0817"/>
    <w:rsid w:val="00CC5F4D"/>
    <w:rsid w:val="00CE09B1"/>
    <w:rsid w:val="00CE1A46"/>
    <w:rsid w:val="00D05EA6"/>
    <w:rsid w:val="00D20757"/>
    <w:rsid w:val="00D22636"/>
    <w:rsid w:val="00D36779"/>
    <w:rsid w:val="00D40FD9"/>
    <w:rsid w:val="00D53769"/>
    <w:rsid w:val="00D6602D"/>
    <w:rsid w:val="00D85C13"/>
    <w:rsid w:val="00D9111A"/>
    <w:rsid w:val="00D91BE3"/>
    <w:rsid w:val="00D949B7"/>
    <w:rsid w:val="00D94AFC"/>
    <w:rsid w:val="00DA7888"/>
    <w:rsid w:val="00DA7D1D"/>
    <w:rsid w:val="00DB70AE"/>
    <w:rsid w:val="00DD5071"/>
    <w:rsid w:val="00DD5C39"/>
    <w:rsid w:val="00DE7DB7"/>
    <w:rsid w:val="00E00A0A"/>
    <w:rsid w:val="00E066DE"/>
    <w:rsid w:val="00E07F57"/>
    <w:rsid w:val="00E30683"/>
    <w:rsid w:val="00E42107"/>
    <w:rsid w:val="00E43865"/>
    <w:rsid w:val="00E453D8"/>
    <w:rsid w:val="00E50BCE"/>
    <w:rsid w:val="00E574BF"/>
    <w:rsid w:val="00E61292"/>
    <w:rsid w:val="00E77C4D"/>
    <w:rsid w:val="00E81D01"/>
    <w:rsid w:val="00EB485A"/>
    <w:rsid w:val="00EE45D8"/>
    <w:rsid w:val="00EF0C75"/>
    <w:rsid w:val="00F15FFB"/>
    <w:rsid w:val="00F21F5C"/>
    <w:rsid w:val="00F22EDA"/>
    <w:rsid w:val="00F3646C"/>
    <w:rsid w:val="00F470D6"/>
    <w:rsid w:val="00F5589A"/>
    <w:rsid w:val="00F67816"/>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4:docId w14:val="025241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8D2AE8"/>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1833</Words>
  <Characters>8487</Characters>
  <Application>Microsoft Office Word</Application>
  <DocSecurity>0</DocSecurity>
  <Lines>70</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2018-07-16T13:38:00Z</dcterms:created>
  <dcterms:modified xsi:type="dcterms:W3CDTF">2018-07-16T13:38:00Z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