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3649E" w14:textId="77777777" w:rsidR="00D94AFC" w:rsidRPr="009D45E7" w:rsidRDefault="00D94AFC">
      <w:pPr>
        <w:rPr>
          <w:rFonts w:ascii="Book Antiqua" w:hAnsi="Book Antiqua" w:cs="Arial"/>
          <w:color w:val="000000"/>
        </w:rPr>
      </w:pPr>
    </w:p>
    <w:p w14:paraId="5F07BB17" w14:textId="4081F04B" w:rsidR="00F97703" w:rsidRPr="009D45E7" w:rsidRDefault="00C02CA1" w:rsidP="00F97703">
      <w:pPr>
        <w:jc w:val="center"/>
        <w:rPr>
          <w:rFonts w:ascii="Book Antiqua" w:hAnsi="Book Antiqua" w:cs="Arial"/>
          <w:color w:val="000000"/>
        </w:rPr>
      </w:pPr>
      <w:r w:rsidRPr="009D45E7">
        <w:rPr>
          <w:rFonts w:ascii="Book Antiqua" w:hAnsi="Book Antiqua"/>
          <w:noProof/>
        </w:rPr>
        <w:drawing>
          <wp:inline distT="0" distB="0" distL="0" distR="0" wp14:anchorId="1095D3B9" wp14:editId="7DCBBCFF">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14:paraId="46A15C50" w14:textId="77777777" w:rsidR="00F97703" w:rsidRPr="009D45E7" w:rsidRDefault="00611011" w:rsidP="00780F86">
      <w:pPr>
        <w:tabs>
          <w:tab w:val="right" w:pos="9720"/>
        </w:tabs>
        <w:ind w:right="-82"/>
        <w:rPr>
          <w:rFonts w:ascii="Book Antiqua" w:hAnsi="Book Antiqua" w:cs="Arial"/>
          <w:b/>
          <w:color w:val="000000"/>
        </w:rPr>
      </w:pPr>
      <w:r w:rsidRPr="009D45E7">
        <w:rPr>
          <w:rFonts w:ascii="Book Antiqua" w:hAnsi="Book Antiqua" w:cs="Arial"/>
          <w:b/>
          <w:color w:val="000000"/>
        </w:rPr>
        <w:t>Upper</w:t>
      </w:r>
      <w:r w:rsidR="00F97703" w:rsidRPr="009D45E7">
        <w:rPr>
          <w:rFonts w:ascii="Book Antiqua" w:hAnsi="Book Antiqua" w:cs="Arial"/>
          <w:b/>
          <w:color w:val="000000"/>
        </w:rPr>
        <w:t xml:space="preserve"> Tribunal </w:t>
      </w:r>
    </w:p>
    <w:p w14:paraId="375F45AD" w14:textId="6F51CF80" w:rsidR="007B0824" w:rsidRPr="009D45E7" w:rsidRDefault="00F97703" w:rsidP="00780F86">
      <w:pPr>
        <w:tabs>
          <w:tab w:val="right" w:pos="9720"/>
        </w:tabs>
        <w:ind w:right="-82"/>
        <w:rPr>
          <w:rFonts w:ascii="Book Antiqua" w:hAnsi="Book Antiqua" w:cs="Arial"/>
          <w:b/>
          <w:color w:val="000000"/>
        </w:rPr>
      </w:pPr>
      <w:r w:rsidRPr="009D45E7">
        <w:rPr>
          <w:rFonts w:ascii="Book Antiqua" w:hAnsi="Book Antiqua" w:cs="Arial"/>
          <w:b/>
          <w:color w:val="000000"/>
        </w:rPr>
        <w:t xml:space="preserve">(Immigration and Asylum </w:t>
      </w:r>
      <w:proofErr w:type="gramStart"/>
      <w:r w:rsidRPr="009D45E7">
        <w:rPr>
          <w:rFonts w:ascii="Book Antiqua" w:hAnsi="Book Antiqua" w:cs="Arial"/>
          <w:b/>
          <w:color w:val="000000"/>
        </w:rPr>
        <w:t>Chamber)</w:t>
      </w:r>
      <w:r w:rsidR="009D45E7" w:rsidRPr="009D45E7">
        <w:rPr>
          <w:rFonts w:ascii="Book Antiqua" w:hAnsi="Book Antiqua" w:cs="Arial"/>
          <w:b/>
          <w:color w:val="000000"/>
        </w:rPr>
        <w:t xml:space="preserve">   </w:t>
      </w:r>
      <w:proofErr w:type="gramEnd"/>
      <w:r w:rsidR="009D45E7" w:rsidRPr="009D45E7">
        <w:rPr>
          <w:rFonts w:ascii="Book Antiqua" w:hAnsi="Book Antiqua" w:cs="Arial"/>
          <w:b/>
          <w:color w:val="000000"/>
        </w:rPr>
        <w:t xml:space="preserve">                    </w:t>
      </w:r>
      <w:r w:rsidR="00B3524D" w:rsidRPr="009D45E7">
        <w:rPr>
          <w:rFonts w:ascii="Book Antiqua" w:hAnsi="Book Antiqua" w:cs="Arial"/>
          <w:b/>
          <w:color w:val="000000"/>
        </w:rPr>
        <w:t>Appeal Number</w:t>
      </w:r>
      <w:r w:rsidR="00D53769" w:rsidRPr="009D45E7">
        <w:rPr>
          <w:rFonts w:ascii="Book Antiqua" w:hAnsi="Book Antiqua" w:cs="Arial"/>
          <w:b/>
          <w:color w:val="000000"/>
        </w:rPr>
        <w:t>:</w:t>
      </w:r>
      <w:r w:rsidR="00B3524D" w:rsidRPr="009D45E7">
        <w:rPr>
          <w:rFonts w:ascii="Book Antiqua" w:hAnsi="Book Antiqua" w:cs="Arial"/>
          <w:b/>
          <w:color w:val="000000"/>
        </w:rPr>
        <w:t xml:space="preserve"> </w:t>
      </w:r>
      <w:r w:rsidR="0049465D" w:rsidRPr="009D45E7">
        <w:rPr>
          <w:rFonts w:ascii="Book Antiqua" w:hAnsi="Book Antiqua" w:cs="Arial"/>
          <w:b/>
          <w:caps/>
          <w:color w:val="000000"/>
        </w:rPr>
        <w:t>PA/06360/2017</w:t>
      </w:r>
    </w:p>
    <w:p w14:paraId="5D00C4CE" w14:textId="77777777" w:rsidR="00C345E1" w:rsidRPr="009D45E7" w:rsidRDefault="00C345E1" w:rsidP="00C345E1">
      <w:pPr>
        <w:jc w:val="center"/>
        <w:rPr>
          <w:rFonts w:ascii="Book Antiqua" w:hAnsi="Book Antiqua" w:cs="Arial"/>
          <w:color w:val="000000"/>
        </w:rPr>
      </w:pPr>
    </w:p>
    <w:p w14:paraId="49BA999D" w14:textId="77777777" w:rsidR="00C345E1" w:rsidRPr="009D45E7" w:rsidRDefault="00C345E1" w:rsidP="00C345E1">
      <w:pPr>
        <w:jc w:val="center"/>
        <w:rPr>
          <w:rFonts w:ascii="Book Antiqua" w:hAnsi="Book Antiqua" w:cs="Arial"/>
          <w:b/>
          <w:color w:val="000000"/>
          <w:u w:val="single"/>
        </w:rPr>
      </w:pPr>
      <w:r w:rsidRPr="009D45E7">
        <w:rPr>
          <w:rFonts w:ascii="Book Antiqua" w:hAnsi="Book Antiqua" w:cs="Arial"/>
          <w:b/>
          <w:color w:val="000000"/>
          <w:u w:val="single"/>
        </w:rPr>
        <w:t>THE IMMIGRATION ACTS</w:t>
      </w:r>
    </w:p>
    <w:p w14:paraId="16A3FEF2" w14:textId="77777777" w:rsidR="00C345E1" w:rsidRPr="009D45E7" w:rsidRDefault="00C345E1" w:rsidP="00C345E1">
      <w:pPr>
        <w:jc w:val="center"/>
        <w:rPr>
          <w:rFonts w:ascii="Book Antiqua" w:hAnsi="Book Antiqua" w:cs="Arial"/>
          <w:b/>
          <w:u w:val="single"/>
        </w:rPr>
      </w:pPr>
    </w:p>
    <w:tbl>
      <w:tblPr>
        <w:tblW w:w="10205" w:type="dxa"/>
        <w:tblLook w:val="01E0" w:firstRow="1" w:lastRow="1" w:firstColumn="1" w:lastColumn="1" w:noHBand="0" w:noVBand="0"/>
      </w:tblPr>
      <w:tblGrid>
        <w:gridCol w:w="5245"/>
        <w:gridCol w:w="1035"/>
        <w:gridCol w:w="3925"/>
      </w:tblGrid>
      <w:tr w:rsidR="00D22636" w:rsidRPr="009D45E7" w14:paraId="5ABEE53E" w14:textId="77777777" w:rsidTr="009D45E7">
        <w:trPr>
          <w:trHeight w:val="531"/>
        </w:trPr>
        <w:tc>
          <w:tcPr>
            <w:tcW w:w="5245" w:type="dxa"/>
            <w:shd w:val="clear" w:color="auto" w:fill="auto"/>
          </w:tcPr>
          <w:p w14:paraId="0E7DBE6C" w14:textId="77777777" w:rsidR="009D45E7" w:rsidRPr="009D45E7" w:rsidRDefault="00F22430" w:rsidP="000D0CB5">
            <w:pPr>
              <w:jc w:val="both"/>
              <w:rPr>
                <w:rFonts w:ascii="Book Antiqua" w:hAnsi="Book Antiqua" w:cs="Arial"/>
                <w:b/>
              </w:rPr>
            </w:pPr>
            <w:r w:rsidRPr="009D45E7">
              <w:rPr>
                <w:rFonts w:ascii="Book Antiqua" w:hAnsi="Book Antiqua" w:cs="Arial"/>
                <w:b/>
              </w:rPr>
              <w:t xml:space="preserve">Heard at </w:t>
            </w:r>
            <w:r w:rsidR="0049465D" w:rsidRPr="009D45E7">
              <w:rPr>
                <w:rFonts w:ascii="Book Antiqua" w:hAnsi="Book Antiqua" w:cs="Arial"/>
                <w:b/>
              </w:rPr>
              <w:t>North Shields</w:t>
            </w:r>
            <w:r w:rsidR="000060DE" w:rsidRPr="009D45E7">
              <w:rPr>
                <w:rFonts w:ascii="Book Antiqua" w:hAnsi="Book Antiqua" w:cs="Arial"/>
                <w:b/>
              </w:rPr>
              <w:t xml:space="preserve"> </w:t>
            </w:r>
          </w:p>
          <w:p w14:paraId="1C36D2BC" w14:textId="6782582E" w:rsidR="00D22636" w:rsidRPr="009D45E7" w:rsidRDefault="009D45E7" w:rsidP="000D0CB5">
            <w:pPr>
              <w:jc w:val="both"/>
              <w:rPr>
                <w:rFonts w:ascii="Book Antiqua" w:hAnsi="Book Antiqua" w:cs="Arial"/>
                <w:b/>
              </w:rPr>
            </w:pPr>
            <w:r w:rsidRPr="009D45E7">
              <w:rPr>
                <w:rFonts w:ascii="Book Antiqua" w:hAnsi="Book Antiqua" w:cs="Arial"/>
                <w:b/>
              </w:rPr>
              <w:t>On 2 May 2018</w:t>
            </w:r>
          </w:p>
        </w:tc>
        <w:tc>
          <w:tcPr>
            <w:tcW w:w="4960" w:type="dxa"/>
            <w:gridSpan w:val="2"/>
            <w:shd w:val="clear" w:color="auto" w:fill="auto"/>
          </w:tcPr>
          <w:p w14:paraId="10CCEF37" w14:textId="18CB7334" w:rsidR="009D45E7" w:rsidRPr="009D45E7" w:rsidRDefault="009D45E7" w:rsidP="000D0CB5">
            <w:pPr>
              <w:jc w:val="both"/>
              <w:rPr>
                <w:rFonts w:ascii="Book Antiqua" w:hAnsi="Book Antiqua" w:cs="Arial"/>
                <w:b/>
              </w:rPr>
            </w:pPr>
            <w:r w:rsidRPr="009D45E7">
              <w:rPr>
                <w:rFonts w:ascii="Book Antiqua" w:hAnsi="Book Antiqua" w:cs="Arial"/>
                <w:b/>
                <w:color w:val="000000"/>
              </w:rPr>
              <w:t xml:space="preserve"> </w:t>
            </w:r>
            <w:r w:rsidR="00CA0B29" w:rsidRPr="009D45E7">
              <w:rPr>
                <w:rFonts w:ascii="Book Antiqua" w:hAnsi="Book Antiqua" w:cs="Arial"/>
                <w:b/>
                <w:color w:val="000000"/>
              </w:rPr>
              <w:t>Decision &amp; Reasons Promulgated</w:t>
            </w:r>
            <w:r w:rsidRPr="009D45E7">
              <w:rPr>
                <w:rFonts w:ascii="Book Antiqua" w:hAnsi="Book Antiqua" w:cs="Arial"/>
                <w:b/>
              </w:rPr>
              <w:t xml:space="preserve"> </w:t>
            </w:r>
          </w:p>
          <w:p w14:paraId="7E3F3AC7" w14:textId="4DFF1254" w:rsidR="00D22636" w:rsidRPr="009D45E7" w:rsidRDefault="009D45E7" w:rsidP="000D0CB5">
            <w:pPr>
              <w:jc w:val="both"/>
              <w:rPr>
                <w:rFonts w:ascii="Book Antiqua" w:hAnsi="Book Antiqua" w:cs="Arial"/>
                <w:b/>
                <w:color w:val="000000"/>
              </w:rPr>
            </w:pPr>
            <w:r w:rsidRPr="009D45E7">
              <w:rPr>
                <w:rFonts w:ascii="Book Antiqua" w:hAnsi="Book Antiqua" w:cs="Arial"/>
                <w:b/>
              </w:rPr>
              <w:t xml:space="preserve"> </w:t>
            </w:r>
            <w:r w:rsidRPr="009D45E7">
              <w:rPr>
                <w:rFonts w:ascii="Book Antiqua" w:hAnsi="Book Antiqua" w:cs="Arial"/>
                <w:b/>
              </w:rPr>
              <w:t>On 20 June 2018</w:t>
            </w:r>
          </w:p>
        </w:tc>
      </w:tr>
      <w:tr w:rsidR="000060DE" w:rsidRPr="009D45E7" w14:paraId="234F4D1A" w14:textId="77777777" w:rsidTr="00CA0B29">
        <w:trPr>
          <w:trHeight w:val="220"/>
        </w:trPr>
        <w:tc>
          <w:tcPr>
            <w:tcW w:w="6280" w:type="dxa"/>
            <w:gridSpan w:val="2"/>
            <w:shd w:val="clear" w:color="auto" w:fill="auto"/>
          </w:tcPr>
          <w:p w14:paraId="0110AD47" w14:textId="77777777" w:rsidR="000060DE" w:rsidRPr="009D45E7" w:rsidRDefault="000060DE" w:rsidP="000D0CB5">
            <w:pPr>
              <w:jc w:val="both"/>
              <w:rPr>
                <w:rFonts w:ascii="Book Antiqua" w:hAnsi="Book Antiqua" w:cs="Arial"/>
                <w:b/>
              </w:rPr>
            </w:pPr>
          </w:p>
        </w:tc>
        <w:tc>
          <w:tcPr>
            <w:tcW w:w="3925" w:type="dxa"/>
            <w:shd w:val="clear" w:color="auto" w:fill="auto"/>
          </w:tcPr>
          <w:p w14:paraId="77D43702" w14:textId="77777777" w:rsidR="000060DE" w:rsidRPr="009D45E7" w:rsidRDefault="000060DE" w:rsidP="000D0CB5">
            <w:pPr>
              <w:jc w:val="both"/>
              <w:rPr>
                <w:rFonts w:ascii="Book Antiqua" w:hAnsi="Book Antiqua" w:cs="Arial"/>
                <w:b/>
              </w:rPr>
            </w:pPr>
          </w:p>
        </w:tc>
      </w:tr>
    </w:tbl>
    <w:p w14:paraId="344DA9C0" w14:textId="77777777" w:rsidR="00A15234" w:rsidRPr="009D45E7" w:rsidRDefault="00A15234" w:rsidP="00A15234">
      <w:pPr>
        <w:jc w:val="center"/>
        <w:rPr>
          <w:rFonts w:ascii="Book Antiqua" w:hAnsi="Book Antiqua" w:cs="Arial"/>
        </w:rPr>
      </w:pPr>
    </w:p>
    <w:p w14:paraId="5417A5A9" w14:textId="77777777" w:rsidR="00617C22" w:rsidRDefault="00617C22" w:rsidP="00A15234">
      <w:pPr>
        <w:jc w:val="center"/>
        <w:rPr>
          <w:rFonts w:ascii="Book Antiqua" w:hAnsi="Book Antiqua" w:cs="Arial"/>
          <w:b/>
        </w:rPr>
      </w:pPr>
    </w:p>
    <w:p w14:paraId="2202E467" w14:textId="081977DA" w:rsidR="00A15234" w:rsidRPr="009D45E7" w:rsidRDefault="00207617" w:rsidP="00A15234">
      <w:pPr>
        <w:jc w:val="center"/>
        <w:rPr>
          <w:rFonts w:ascii="Book Antiqua" w:hAnsi="Book Antiqua" w:cs="Arial"/>
          <w:b/>
        </w:rPr>
      </w:pPr>
      <w:r w:rsidRPr="009D45E7">
        <w:rPr>
          <w:rFonts w:ascii="Book Antiqua" w:hAnsi="Book Antiqua" w:cs="Arial"/>
          <w:b/>
        </w:rPr>
        <w:t>Befo</w:t>
      </w:r>
      <w:r w:rsidR="00A15234" w:rsidRPr="009D45E7">
        <w:rPr>
          <w:rFonts w:ascii="Book Antiqua" w:hAnsi="Book Antiqua" w:cs="Arial"/>
          <w:b/>
        </w:rPr>
        <w:t>re</w:t>
      </w:r>
    </w:p>
    <w:p w14:paraId="640115B0" w14:textId="77777777" w:rsidR="00A15234" w:rsidRPr="009D45E7" w:rsidRDefault="00A15234" w:rsidP="00A15234">
      <w:pPr>
        <w:jc w:val="center"/>
        <w:rPr>
          <w:rFonts w:ascii="Book Antiqua" w:hAnsi="Book Antiqua" w:cs="Arial"/>
          <w:b/>
        </w:rPr>
      </w:pPr>
    </w:p>
    <w:p w14:paraId="18A9EBB7" w14:textId="77777777" w:rsidR="001B186A" w:rsidRPr="009D45E7" w:rsidRDefault="00AD7978" w:rsidP="00A15234">
      <w:pPr>
        <w:jc w:val="center"/>
        <w:rPr>
          <w:rFonts w:ascii="Book Antiqua" w:hAnsi="Book Antiqua" w:cs="Arial"/>
          <w:b/>
          <w:color w:val="000000"/>
        </w:rPr>
      </w:pPr>
      <w:r w:rsidRPr="009D45E7">
        <w:rPr>
          <w:rFonts w:ascii="Book Antiqua" w:hAnsi="Book Antiqua" w:cs="Arial"/>
          <w:b/>
          <w:color w:val="000000"/>
        </w:rPr>
        <w:t xml:space="preserve">UPPER TRIBUNAL </w:t>
      </w:r>
      <w:r w:rsidR="001B2F75" w:rsidRPr="009D45E7">
        <w:rPr>
          <w:rFonts w:ascii="Book Antiqua" w:hAnsi="Book Antiqua" w:cs="Arial"/>
          <w:b/>
          <w:color w:val="000000"/>
        </w:rPr>
        <w:t xml:space="preserve">JUDGE </w:t>
      </w:r>
      <w:r w:rsidR="00F22430" w:rsidRPr="009D45E7">
        <w:rPr>
          <w:rFonts w:ascii="Book Antiqua" w:hAnsi="Book Antiqua" w:cs="Arial"/>
          <w:b/>
          <w:color w:val="000000"/>
        </w:rPr>
        <w:t>GLEESON</w:t>
      </w:r>
    </w:p>
    <w:p w14:paraId="49C478BD" w14:textId="77777777" w:rsidR="001B186A" w:rsidRPr="009D45E7" w:rsidRDefault="001B186A" w:rsidP="00A15234">
      <w:pPr>
        <w:jc w:val="center"/>
        <w:rPr>
          <w:rFonts w:ascii="Book Antiqua" w:hAnsi="Book Antiqua" w:cs="Arial"/>
          <w:b/>
          <w:color w:val="000000"/>
        </w:rPr>
      </w:pPr>
    </w:p>
    <w:p w14:paraId="58641D8E" w14:textId="77777777" w:rsidR="00A845DC" w:rsidRPr="009D45E7" w:rsidRDefault="00A845DC" w:rsidP="00A15234">
      <w:pPr>
        <w:jc w:val="center"/>
        <w:rPr>
          <w:rFonts w:ascii="Book Antiqua" w:hAnsi="Book Antiqua" w:cs="Arial"/>
          <w:b/>
        </w:rPr>
      </w:pPr>
      <w:r w:rsidRPr="009D45E7">
        <w:rPr>
          <w:rFonts w:ascii="Book Antiqua" w:hAnsi="Book Antiqua" w:cs="Arial"/>
          <w:b/>
        </w:rPr>
        <w:t>Between</w:t>
      </w:r>
    </w:p>
    <w:p w14:paraId="13CEB418" w14:textId="77777777" w:rsidR="00A845DC" w:rsidRPr="009D45E7" w:rsidRDefault="00A845DC" w:rsidP="00A15234">
      <w:pPr>
        <w:jc w:val="center"/>
        <w:rPr>
          <w:rFonts w:ascii="Book Antiqua" w:hAnsi="Book Antiqua" w:cs="Arial"/>
          <w:b/>
        </w:rPr>
      </w:pPr>
    </w:p>
    <w:p w14:paraId="7BDFB895" w14:textId="77777777" w:rsidR="00704B61" w:rsidRPr="009D45E7" w:rsidRDefault="0049465D" w:rsidP="00A15234">
      <w:pPr>
        <w:jc w:val="center"/>
        <w:rPr>
          <w:rFonts w:ascii="Book Antiqua" w:hAnsi="Book Antiqua" w:cs="Arial"/>
          <w:b/>
        </w:rPr>
      </w:pPr>
      <w:r w:rsidRPr="009D45E7">
        <w:rPr>
          <w:rFonts w:ascii="Book Antiqua" w:hAnsi="Book Antiqua" w:cs="Arial"/>
          <w:b/>
        </w:rPr>
        <w:t xml:space="preserve">THE SECRETARY OF STATE FOR THE HOME DEPARTMENT  </w:t>
      </w:r>
    </w:p>
    <w:p w14:paraId="50B9315A" w14:textId="77777777" w:rsidR="00704B61" w:rsidRPr="009D45E7" w:rsidRDefault="00704B61" w:rsidP="00704B61">
      <w:pPr>
        <w:jc w:val="right"/>
        <w:rPr>
          <w:rFonts w:ascii="Book Antiqua" w:hAnsi="Book Antiqua" w:cs="Arial"/>
          <w:u w:val="single"/>
        </w:rPr>
      </w:pPr>
      <w:r w:rsidRPr="009D45E7">
        <w:rPr>
          <w:rFonts w:ascii="Book Antiqua" w:hAnsi="Book Antiqua" w:cs="Arial"/>
          <w:u w:val="single"/>
        </w:rPr>
        <w:t>Appellant</w:t>
      </w:r>
    </w:p>
    <w:p w14:paraId="6BA72209" w14:textId="77777777" w:rsidR="00704B61" w:rsidRPr="009D45E7" w:rsidRDefault="00DD5071" w:rsidP="00704B61">
      <w:pPr>
        <w:jc w:val="center"/>
        <w:rPr>
          <w:rFonts w:ascii="Book Antiqua" w:hAnsi="Book Antiqua" w:cs="Arial"/>
          <w:b/>
        </w:rPr>
      </w:pPr>
      <w:r w:rsidRPr="009D45E7">
        <w:rPr>
          <w:rFonts w:ascii="Book Antiqua" w:hAnsi="Book Antiqua" w:cs="Arial"/>
          <w:b/>
        </w:rPr>
        <w:t>and</w:t>
      </w:r>
    </w:p>
    <w:p w14:paraId="05D19308" w14:textId="77777777" w:rsidR="00DD5071" w:rsidRPr="009D45E7" w:rsidRDefault="00DD5071" w:rsidP="00704B61">
      <w:pPr>
        <w:jc w:val="center"/>
        <w:rPr>
          <w:rFonts w:ascii="Book Antiqua" w:hAnsi="Book Antiqua" w:cs="Arial"/>
          <w:b/>
        </w:rPr>
      </w:pPr>
    </w:p>
    <w:p w14:paraId="540252C7" w14:textId="220B256B" w:rsidR="0049465D" w:rsidRPr="009D45E7" w:rsidRDefault="0049465D" w:rsidP="0049465D">
      <w:pPr>
        <w:jc w:val="center"/>
        <w:rPr>
          <w:rFonts w:ascii="Book Antiqua" w:hAnsi="Book Antiqua" w:cs="Arial"/>
          <w:b/>
          <w:caps/>
        </w:rPr>
      </w:pPr>
      <w:bookmarkStart w:id="0" w:name="_GoBack"/>
      <w:bookmarkEnd w:id="0"/>
      <w:r w:rsidRPr="009D45E7">
        <w:rPr>
          <w:rFonts w:ascii="Book Antiqua" w:hAnsi="Book Antiqua" w:cs="Arial"/>
          <w:b/>
          <w:caps/>
        </w:rPr>
        <w:t>Y M</w:t>
      </w:r>
    </w:p>
    <w:p w14:paraId="782E70F5" w14:textId="77777777" w:rsidR="0049465D" w:rsidRPr="00617C22" w:rsidRDefault="0049465D" w:rsidP="0049465D">
      <w:pPr>
        <w:jc w:val="center"/>
        <w:rPr>
          <w:rFonts w:ascii="Book Antiqua" w:hAnsi="Book Antiqua" w:cs="Arial"/>
          <w:caps/>
        </w:rPr>
      </w:pPr>
      <w:r w:rsidRPr="00617C22">
        <w:rPr>
          <w:rFonts w:ascii="Book Antiqua" w:hAnsi="Book Antiqua" w:cs="Arial"/>
          <w:caps/>
        </w:rPr>
        <w:t xml:space="preserve">[NO ANONYMITY ORDER] </w:t>
      </w:r>
    </w:p>
    <w:p w14:paraId="13E9DD31" w14:textId="77777777" w:rsidR="00DD5071" w:rsidRPr="009D45E7" w:rsidRDefault="00DD5071" w:rsidP="00DD5071">
      <w:pPr>
        <w:jc w:val="right"/>
        <w:rPr>
          <w:rFonts w:ascii="Book Antiqua" w:hAnsi="Book Antiqua" w:cs="Arial"/>
          <w:u w:val="single"/>
        </w:rPr>
      </w:pPr>
      <w:r w:rsidRPr="009D45E7">
        <w:rPr>
          <w:rFonts w:ascii="Book Antiqua" w:hAnsi="Book Antiqua" w:cs="Arial"/>
          <w:u w:val="single"/>
        </w:rPr>
        <w:t>Respondent</w:t>
      </w:r>
    </w:p>
    <w:p w14:paraId="0DD75C26" w14:textId="77777777" w:rsidR="00DD5071" w:rsidRPr="00617C22" w:rsidRDefault="00DD5071" w:rsidP="00DD5071">
      <w:pPr>
        <w:rPr>
          <w:rFonts w:ascii="Book Antiqua" w:hAnsi="Book Antiqua" w:cs="Arial"/>
          <w:b/>
          <w:u w:val="single"/>
        </w:rPr>
      </w:pPr>
    </w:p>
    <w:p w14:paraId="19F6CBE3" w14:textId="77777777" w:rsidR="00496861" w:rsidRPr="00617C22" w:rsidRDefault="00496861" w:rsidP="00DD5071">
      <w:pPr>
        <w:rPr>
          <w:rFonts w:ascii="Book Antiqua" w:hAnsi="Book Antiqua" w:cs="Arial"/>
          <w:b/>
          <w:u w:val="single"/>
        </w:rPr>
      </w:pPr>
      <w:r w:rsidRPr="00617C22">
        <w:rPr>
          <w:rFonts w:ascii="Book Antiqua" w:hAnsi="Book Antiqua" w:cs="Arial"/>
          <w:b/>
          <w:u w:val="single"/>
        </w:rPr>
        <w:t>Representation:</w:t>
      </w:r>
    </w:p>
    <w:p w14:paraId="2BF89224" w14:textId="77777777" w:rsidR="00496861" w:rsidRPr="009D45E7" w:rsidRDefault="00496861" w:rsidP="00DD5071">
      <w:pPr>
        <w:rPr>
          <w:rFonts w:ascii="Book Antiqua" w:hAnsi="Book Antiqua" w:cs="Arial"/>
          <w:u w:val="single"/>
        </w:rPr>
      </w:pPr>
    </w:p>
    <w:p w14:paraId="7A0B3E46" w14:textId="61E30EA4" w:rsidR="00496861" w:rsidRPr="009D45E7" w:rsidRDefault="00496861" w:rsidP="00DD5071">
      <w:pPr>
        <w:rPr>
          <w:rFonts w:ascii="Book Antiqua" w:hAnsi="Book Antiqua" w:cs="Arial"/>
        </w:rPr>
      </w:pPr>
      <w:r w:rsidRPr="009D45E7">
        <w:rPr>
          <w:rFonts w:ascii="Book Antiqua" w:hAnsi="Book Antiqua" w:cs="Arial"/>
        </w:rPr>
        <w:t>For the appellant:</w:t>
      </w:r>
      <w:r w:rsidRPr="009D45E7">
        <w:rPr>
          <w:rFonts w:ascii="Book Antiqua" w:hAnsi="Book Antiqua" w:cs="Arial"/>
        </w:rPr>
        <w:tab/>
      </w:r>
      <w:r w:rsidR="00617C22">
        <w:rPr>
          <w:rFonts w:ascii="Book Antiqua" w:hAnsi="Book Antiqua" w:cs="Arial"/>
        </w:rPr>
        <w:t xml:space="preserve">   </w:t>
      </w:r>
      <w:r w:rsidR="0049465D" w:rsidRPr="009D45E7">
        <w:rPr>
          <w:rFonts w:ascii="Book Antiqua" w:hAnsi="Book Antiqua" w:cs="Arial"/>
        </w:rPr>
        <w:t xml:space="preserve">Mr </w:t>
      </w:r>
      <w:proofErr w:type="spellStart"/>
      <w:r w:rsidR="0049465D" w:rsidRPr="009D45E7">
        <w:rPr>
          <w:rFonts w:ascii="Book Antiqua" w:hAnsi="Book Antiqua" w:cs="Arial"/>
        </w:rPr>
        <w:t>Myroslav</w:t>
      </w:r>
      <w:proofErr w:type="spellEnd"/>
      <w:r w:rsidR="0049465D" w:rsidRPr="009D45E7">
        <w:rPr>
          <w:rFonts w:ascii="Book Antiqua" w:hAnsi="Book Antiqua" w:cs="Arial"/>
        </w:rPr>
        <w:t xml:space="preserve"> </w:t>
      </w:r>
      <w:proofErr w:type="spellStart"/>
      <w:r w:rsidR="0049465D" w:rsidRPr="009D45E7">
        <w:rPr>
          <w:rFonts w:ascii="Book Antiqua" w:hAnsi="Book Antiqua" w:cs="Arial"/>
        </w:rPr>
        <w:t>Diwnycz</w:t>
      </w:r>
      <w:proofErr w:type="spellEnd"/>
      <w:r w:rsidR="0049465D" w:rsidRPr="009D45E7">
        <w:rPr>
          <w:rFonts w:ascii="Book Antiqua" w:hAnsi="Book Antiqua" w:cs="Arial"/>
        </w:rPr>
        <w:t xml:space="preserve">, a Senior Home Office Presenting Officer </w:t>
      </w:r>
    </w:p>
    <w:p w14:paraId="1C610369" w14:textId="487BC8A4" w:rsidR="00496861" w:rsidRPr="009D45E7" w:rsidRDefault="00496861" w:rsidP="0049465D">
      <w:pPr>
        <w:rPr>
          <w:rFonts w:ascii="Book Antiqua" w:hAnsi="Book Antiqua" w:cs="Arial"/>
        </w:rPr>
      </w:pPr>
      <w:r w:rsidRPr="009D45E7">
        <w:rPr>
          <w:rFonts w:ascii="Book Antiqua" w:hAnsi="Book Antiqua" w:cs="Arial"/>
        </w:rPr>
        <w:t>For the respondent:</w:t>
      </w:r>
      <w:r w:rsidRPr="009D45E7">
        <w:rPr>
          <w:rFonts w:ascii="Book Antiqua" w:hAnsi="Book Antiqua" w:cs="Arial"/>
        </w:rPr>
        <w:tab/>
      </w:r>
      <w:r w:rsidR="00617C22">
        <w:rPr>
          <w:rFonts w:ascii="Book Antiqua" w:hAnsi="Book Antiqua" w:cs="Arial"/>
        </w:rPr>
        <w:t xml:space="preserve">   </w:t>
      </w:r>
      <w:r w:rsidR="0049465D" w:rsidRPr="009D45E7">
        <w:rPr>
          <w:rFonts w:ascii="Book Antiqua" w:hAnsi="Book Antiqua" w:cs="Arial"/>
        </w:rPr>
        <w:t>Mr Chris Boyle, a solicitor with Halliday Reeves Law Firm</w:t>
      </w:r>
    </w:p>
    <w:p w14:paraId="6D60AE6B" w14:textId="77777777" w:rsidR="00617C22" w:rsidRDefault="00617C22" w:rsidP="0049465D">
      <w:pPr>
        <w:tabs>
          <w:tab w:val="left" w:pos="2520"/>
        </w:tabs>
        <w:spacing w:before="240"/>
        <w:jc w:val="center"/>
        <w:rPr>
          <w:rFonts w:ascii="Book Antiqua" w:hAnsi="Book Antiqua" w:cs="Arial"/>
          <w:b/>
          <w:u w:val="single"/>
        </w:rPr>
      </w:pPr>
    </w:p>
    <w:p w14:paraId="52B9C365" w14:textId="0181D8A4" w:rsidR="00DE7DB7" w:rsidRPr="009D45E7" w:rsidRDefault="0060752B" w:rsidP="0049465D">
      <w:pPr>
        <w:tabs>
          <w:tab w:val="left" w:pos="2520"/>
        </w:tabs>
        <w:spacing w:before="240"/>
        <w:jc w:val="center"/>
        <w:rPr>
          <w:rFonts w:ascii="Book Antiqua" w:hAnsi="Book Antiqua" w:cs="Arial"/>
        </w:rPr>
      </w:pPr>
      <w:r w:rsidRPr="009D45E7">
        <w:rPr>
          <w:rFonts w:ascii="Book Antiqua" w:hAnsi="Book Antiqua" w:cs="Arial"/>
          <w:b/>
          <w:u w:val="single"/>
        </w:rPr>
        <w:t xml:space="preserve">DECISION AND </w:t>
      </w:r>
      <w:r w:rsidR="000E01B8" w:rsidRPr="009D45E7">
        <w:rPr>
          <w:rFonts w:ascii="Book Antiqua" w:hAnsi="Book Antiqua" w:cs="Arial"/>
          <w:b/>
          <w:u w:val="single"/>
        </w:rPr>
        <w:t>REASONS</w:t>
      </w:r>
    </w:p>
    <w:p w14:paraId="3B89ED28" w14:textId="77777777" w:rsidR="00400D69" w:rsidRPr="009D45E7" w:rsidRDefault="00D51814"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9D45E7">
        <w:rPr>
          <w:rFonts w:ascii="Book Antiqua" w:hAnsi="Book Antiqua" w:cs="Arial"/>
        </w:rPr>
        <w:t xml:space="preserve">The </w:t>
      </w:r>
      <w:r w:rsidR="00400D69" w:rsidRPr="009D45E7">
        <w:rPr>
          <w:rFonts w:ascii="Book Antiqua" w:hAnsi="Book Antiqua" w:cs="Arial"/>
        </w:rPr>
        <w:t>Secretary of State</w:t>
      </w:r>
      <w:r w:rsidRPr="009D45E7">
        <w:rPr>
          <w:rFonts w:ascii="Book Antiqua" w:hAnsi="Book Antiqua" w:cs="Arial"/>
        </w:rPr>
        <w:t xml:space="preserve"> appeals with permission against the decision of the First-tier Tribunal </w:t>
      </w:r>
      <w:r w:rsidR="00400D69" w:rsidRPr="009D45E7">
        <w:rPr>
          <w:rFonts w:ascii="Book Antiqua" w:hAnsi="Book Antiqua" w:cs="Arial"/>
        </w:rPr>
        <w:t>allowing the claimant’s appeal against her decision to refuse</w:t>
      </w:r>
      <w:r w:rsidR="0049465D" w:rsidRPr="009D45E7">
        <w:rPr>
          <w:rFonts w:ascii="Book Antiqua" w:hAnsi="Book Antiqua" w:cs="Arial"/>
        </w:rPr>
        <w:t xml:space="preserve"> him international protection under the Refugee Convention, humanitarian protection, or leave to remain in the United Kingdom on human rights grounds</w:t>
      </w:r>
      <w:r w:rsidRPr="009D45E7">
        <w:rPr>
          <w:rFonts w:ascii="Book Antiqua" w:hAnsi="Book Antiqua" w:cs="Arial"/>
        </w:rPr>
        <w:t xml:space="preserve">.  </w:t>
      </w:r>
    </w:p>
    <w:p w14:paraId="355BEDDA" w14:textId="77777777" w:rsidR="00400D69" w:rsidRPr="009D45E7" w:rsidRDefault="00D51814" w:rsidP="00400D69">
      <w:pPr>
        <w:numPr>
          <w:ilvl w:val="0"/>
          <w:numId w:val="1"/>
        </w:numPr>
        <w:tabs>
          <w:tab w:val="clear" w:pos="720"/>
          <w:tab w:val="num" w:pos="360"/>
          <w:tab w:val="left" w:pos="567"/>
        </w:tabs>
        <w:spacing w:before="240"/>
        <w:ind w:left="360"/>
        <w:jc w:val="both"/>
        <w:rPr>
          <w:rFonts w:ascii="Book Antiqua" w:hAnsi="Book Antiqua" w:cs="Arial"/>
        </w:rPr>
      </w:pPr>
      <w:r w:rsidRPr="009D45E7">
        <w:rPr>
          <w:rFonts w:ascii="Book Antiqua" w:hAnsi="Book Antiqua" w:cs="Arial"/>
        </w:rPr>
        <w:t xml:space="preserve">The </w:t>
      </w:r>
      <w:r w:rsidR="00400D69" w:rsidRPr="009D45E7">
        <w:rPr>
          <w:rFonts w:ascii="Book Antiqua" w:hAnsi="Book Antiqua" w:cs="Arial"/>
        </w:rPr>
        <w:t>claimant</w:t>
      </w:r>
      <w:r w:rsidRPr="009D45E7">
        <w:rPr>
          <w:rFonts w:ascii="Book Antiqua" w:hAnsi="Book Antiqua" w:cs="Arial"/>
        </w:rPr>
        <w:t xml:space="preserve"> is a citizen of </w:t>
      </w:r>
      <w:r w:rsidR="0049465D" w:rsidRPr="009D45E7">
        <w:rPr>
          <w:rFonts w:ascii="Book Antiqua" w:hAnsi="Book Antiqua" w:cs="Arial"/>
        </w:rPr>
        <w:t>Pakistan</w:t>
      </w:r>
      <w:r w:rsidRPr="009D45E7">
        <w:rPr>
          <w:rFonts w:ascii="Book Antiqua" w:hAnsi="Book Antiqua" w:cs="Arial"/>
        </w:rPr>
        <w:t xml:space="preserve">. </w:t>
      </w:r>
      <w:r w:rsidR="00400D69" w:rsidRPr="009D45E7">
        <w:rPr>
          <w:rFonts w:ascii="Book Antiqua" w:hAnsi="Book Antiqua" w:cs="Arial"/>
        </w:rPr>
        <w:t xml:space="preserve"> The claimant came to the United Kingdom as a student in August 2011 but did not make an asylum claim until his student leave expired.  He has a sister and a brother-in-law in United Kingdom who he visits once or twice a month and on major holidays or festivals, speaking with them every day.  The claimant regards his brother-in-law’s family in Manchester as his own extended family.</w:t>
      </w:r>
    </w:p>
    <w:p w14:paraId="22C08144" w14:textId="77777777" w:rsidR="00306236" w:rsidRPr="009D45E7" w:rsidRDefault="00400D69"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9D45E7">
        <w:rPr>
          <w:rFonts w:ascii="Book Antiqua" w:hAnsi="Book Antiqua" w:cs="Arial"/>
        </w:rPr>
        <w:lastRenderedPageBreak/>
        <w:t xml:space="preserve">The claimant is a Christian: he formerly lived in a Muslim area of Pakistan.   He claims that he was forcibly converted to Islam in a jihadi mosque, without understanding what he was doing, then threatened afterwards for failure to study Islam and renounce his practice of Christianity. </w:t>
      </w:r>
    </w:p>
    <w:p w14:paraId="4E2BC29A" w14:textId="502AD78B" w:rsidR="00400D69" w:rsidRPr="009D45E7" w:rsidRDefault="0049465D" w:rsidP="00920EDC">
      <w:pPr>
        <w:numPr>
          <w:ilvl w:val="0"/>
          <w:numId w:val="1"/>
        </w:numPr>
        <w:tabs>
          <w:tab w:val="clear" w:pos="720"/>
          <w:tab w:val="num" w:pos="360"/>
          <w:tab w:val="left" w:pos="567"/>
        </w:tabs>
        <w:spacing w:before="240"/>
        <w:ind w:left="360"/>
        <w:jc w:val="both"/>
        <w:rPr>
          <w:rFonts w:ascii="Book Antiqua" w:hAnsi="Book Antiqua" w:cs="Arial"/>
        </w:rPr>
      </w:pPr>
      <w:r w:rsidRPr="009D45E7">
        <w:rPr>
          <w:rFonts w:ascii="Book Antiqua" w:hAnsi="Book Antiqua" w:cs="Arial"/>
        </w:rPr>
        <w:t xml:space="preserve">The claimant’s boss in Pakistan had jihadi links and attended a jihadi mosque, to which he took the claimant.  </w:t>
      </w:r>
      <w:r w:rsidR="00920EDC" w:rsidRPr="009D45E7">
        <w:rPr>
          <w:rFonts w:ascii="Book Antiqua" w:hAnsi="Book Antiqua" w:cs="Arial"/>
        </w:rPr>
        <w:t xml:space="preserve">The claimant said that he was forced to go into </w:t>
      </w:r>
      <w:r w:rsidR="00400D69" w:rsidRPr="009D45E7">
        <w:rPr>
          <w:rFonts w:ascii="Book Antiqua" w:hAnsi="Book Antiqua" w:cs="Arial"/>
        </w:rPr>
        <w:t>the</w:t>
      </w:r>
      <w:r w:rsidR="00920EDC" w:rsidRPr="009D45E7">
        <w:rPr>
          <w:rFonts w:ascii="Book Antiqua" w:hAnsi="Book Antiqua" w:cs="Arial"/>
        </w:rPr>
        <w:t xml:space="preserve"> mosque and lectured about jihad, then given money.  He was told to repeat words in Arabic and then informed that he had agreed to convert.  </w:t>
      </w:r>
      <w:r w:rsidRPr="009D45E7">
        <w:rPr>
          <w:rFonts w:ascii="Book Antiqua" w:hAnsi="Book Antiqua" w:cs="Arial"/>
        </w:rPr>
        <w:t>He was punched for failing to respond to a greeting, ‘</w:t>
      </w:r>
      <w:proofErr w:type="spellStart"/>
      <w:r w:rsidRPr="009D45E7">
        <w:rPr>
          <w:rFonts w:ascii="Book Antiqua" w:hAnsi="Book Antiqua" w:cs="Arial"/>
        </w:rPr>
        <w:t>Wa</w:t>
      </w:r>
      <w:proofErr w:type="spellEnd"/>
      <w:r w:rsidRPr="009D45E7">
        <w:rPr>
          <w:rFonts w:ascii="Book Antiqua" w:hAnsi="Book Antiqua" w:cs="Arial"/>
        </w:rPr>
        <w:t xml:space="preserve"> </w:t>
      </w:r>
      <w:proofErr w:type="spellStart"/>
      <w:r w:rsidRPr="009D45E7">
        <w:rPr>
          <w:rFonts w:ascii="Book Antiqua" w:hAnsi="Book Antiqua" w:cs="Arial"/>
        </w:rPr>
        <w:t>Alaikum</w:t>
      </w:r>
      <w:proofErr w:type="spellEnd"/>
      <w:r w:rsidRPr="009D45E7">
        <w:rPr>
          <w:rFonts w:ascii="Book Antiqua" w:hAnsi="Book Antiqua" w:cs="Arial"/>
        </w:rPr>
        <w:t xml:space="preserve"> As-Salaam’ with the same phrase. </w:t>
      </w:r>
      <w:r w:rsidR="002C4492">
        <w:rPr>
          <w:rFonts w:ascii="Book Antiqua" w:hAnsi="Book Antiqua" w:cs="Arial"/>
        </w:rPr>
        <w:t xml:space="preserve"> </w:t>
      </w:r>
    </w:p>
    <w:p w14:paraId="7FD570EC" w14:textId="5B25E687" w:rsidR="00920EDC" w:rsidRPr="009D45E7" w:rsidRDefault="002C4492" w:rsidP="00920EDC">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A</w:t>
      </w:r>
      <w:r w:rsidR="00920EDC" w:rsidRPr="009D45E7">
        <w:rPr>
          <w:rFonts w:ascii="Book Antiqua" w:hAnsi="Book Antiqua" w:cs="Arial"/>
        </w:rPr>
        <w:t xml:space="preserve">n attempt to report </w:t>
      </w:r>
      <w:r w:rsidR="00400D69" w:rsidRPr="009D45E7">
        <w:rPr>
          <w:rFonts w:ascii="Book Antiqua" w:hAnsi="Book Antiqua" w:cs="Arial"/>
        </w:rPr>
        <w:t xml:space="preserve">to the police </w:t>
      </w:r>
      <w:r w:rsidR="00920EDC" w:rsidRPr="009D45E7">
        <w:rPr>
          <w:rFonts w:ascii="Book Antiqua" w:hAnsi="Book Antiqua" w:cs="Arial"/>
        </w:rPr>
        <w:t xml:space="preserve">the threats to him for apostasy was unsuccessful.  </w:t>
      </w:r>
    </w:p>
    <w:p w14:paraId="3A5A0BEA" w14:textId="7049EC47" w:rsidR="0049465D" w:rsidRPr="009D45E7" w:rsidRDefault="00920EDC" w:rsidP="00E147B4">
      <w:pPr>
        <w:numPr>
          <w:ilvl w:val="0"/>
          <w:numId w:val="1"/>
        </w:numPr>
        <w:tabs>
          <w:tab w:val="clear" w:pos="720"/>
          <w:tab w:val="num" w:pos="360"/>
          <w:tab w:val="left" w:pos="567"/>
        </w:tabs>
        <w:spacing w:before="240"/>
        <w:ind w:left="360"/>
        <w:jc w:val="both"/>
        <w:rPr>
          <w:rFonts w:ascii="Book Antiqua" w:hAnsi="Book Antiqua" w:cs="Arial"/>
        </w:rPr>
      </w:pPr>
      <w:r w:rsidRPr="009D45E7">
        <w:rPr>
          <w:rFonts w:ascii="Book Antiqua" w:hAnsi="Book Antiqua" w:cs="Arial"/>
        </w:rPr>
        <w:t xml:space="preserve">The </w:t>
      </w:r>
      <w:r w:rsidR="00400D69" w:rsidRPr="009D45E7">
        <w:rPr>
          <w:rFonts w:ascii="Book Antiqua" w:hAnsi="Book Antiqua" w:cs="Arial"/>
        </w:rPr>
        <w:t>claimant</w:t>
      </w:r>
      <w:r w:rsidRPr="009D45E7">
        <w:rPr>
          <w:rFonts w:ascii="Book Antiqua" w:hAnsi="Book Antiqua" w:cs="Arial"/>
        </w:rPr>
        <w:t xml:space="preserve"> exercised an internal relocation option to </w:t>
      </w:r>
      <w:r w:rsidR="00400D69" w:rsidRPr="009D45E7">
        <w:rPr>
          <w:rFonts w:ascii="Book Antiqua" w:hAnsi="Book Antiqua" w:cs="Arial"/>
        </w:rPr>
        <w:t xml:space="preserve">stay with </w:t>
      </w:r>
      <w:r w:rsidRPr="009D45E7">
        <w:rPr>
          <w:rFonts w:ascii="Book Antiqua" w:hAnsi="Book Antiqua" w:cs="Arial"/>
        </w:rPr>
        <w:t xml:space="preserve">an uncle in Sialkot in March 2011 and came to the United Kingdom in August 2011.  He also spent a week in Lahore, but in both </w:t>
      </w:r>
      <w:r w:rsidR="00400D69" w:rsidRPr="009D45E7">
        <w:rPr>
          <w:rFonts w:ascii="Book Antiqua" w:hAnsi="Book Antiqua" w:cs="Arial"/>
        </w:rPr>
        <w:t>cities</w:t>
      </w:r>
      <w:r w:rsidR="002C4492">
        <w:rPr>
          <w:rFonts w:ascii="Book Antiqua" w:hAnsi="Book Antiqua" w:cs="Arial"/>
        </w:rPr>
        <w:t>,</w:t>
      </w:r>
      <w:r w:rsidRPr="009D45E7">
        <w:rPr>
          <w:rFonts w:ascii="Book Antiqua" w:hAnsi="Book Antiqua" w:cs="Arial"/>
        </w:rPr>
        <w:t xml:space="preserve"> he was in hiding.</w:t>
      </w:r>
    </w:p>
    <w:p w14:paraId="2B87E55A" w14:textId="77777777" w:rsidR="00400D69" w:rsidRPr="009D45E7" w:rsidRDefault="00920EDC" w:rsidP="00400D69">
      <w:pPr>
        <w:numPr>
          <w:ilvl w:val="0"/>
          <w:numId w:val="1"/>
        </w:numPr>
        <w:tabs>
          <w:tab w:val="clear" w:pos="720"/>
          <w:tab w:val="num" w:pos="360"/>
          <w:tab w:val="left" w:pos="567"/>
        </w:tabs>
        <w:spacing w:before="240"/>
        <w:ind w:left="360"/>
        <w:jc w:val="both"/>
        <w:rPr>
          <w:rFonts w:ascii="Book Antiqua" w:hAnsi="Book Antiqua" w:cs="Arial"/>
          <w:b/>
        </w:rPr>
      </w:pPr>
      <w:r w:rsidRPr="009D45E7">
        <w:rPr>
          <w:rFonts w:ascii="Book Antiqua" w:hAnsi="Book Antiqua" w:cs="Arial"/>
        </w:rPr>
        <w:t xml:space="preserve">After coming to the United Kingdom, the </w:t>
      </w:r>
      <w:r w:rsidR="00400D69" w:rsidRPr="009D45E7">
        <w:rPr>
          <w:rFonts w:ascii="Book Antiqua" w:hAnsi="Book Antiqua" w:cs="Arial"/>
        </w:rPr>
        <w:t>claimant</w:t>
      </w:r>
      <w:r w:rsidRPr="009D45E7">
        <w:rPr>
          <w:rFonts w:ascii="Book Antiqua" w:hAnsi="Book Antiqua" w:cs="Arial"/>
        </w:rPr>
        <w:t xml:space="preserve"> says he attended blasphemy law protests in 2012 or 2013, and another demonstration outside the Pakistan embassy in Manchester in 2017, to free Asia Bibi: he said that his brother-in-law posted photographs of the 2017 protest and the claimant’s family in Pakistan received threatening calls.  </w:t>
      </w:r>
    </w:p>
    <w:p w14:paraId="17768344" w14:textId="77777777" w:rsidR="00D51814" w:rsidRPr="009D45E7" w:rsidRDefault="00D51814" w:rsidP="00400D69">
      <w:pPr>
        <w:tabs>
          <w:tab w:val="left" w:pos="567"/>
        </w:tabs>
        <w:spacing w:before="240"/>
        <w:jc w:val="both"/>
        <w:rPr>
          <w:rFonts w:ascii="Book Antiqua" w:hAnsi="Book Antiqua" w:cs="Arial"/>
          <w:b/>
        </w:rPr>
      </w:pPr>
      <w:r w:rsidRPr="009D45E7">
        <w:rPr>
          <w:rFonts w:ascii="Book Antiqua" w:hAnsi="Book Antiqua" w:cs="Arial"/>
          <w:b/>
        </w:rPr>
        <w:t xml:space="preserve">First-tier Tribunal decision </w:t>
      </w:r>
    </w:p>
    <w:p w14:paraId="38968BD0" w14:textId="77777777" w:rsidR="00400D69" w:rsidRPr="009D45E7" w:rsidRDefault="00920EDC" w:rsidP="00E147B4">
      <w:pPr>
        <w:numPr>
          <w:ilvl w:val="0"/>
          <w:numId w:val="1"/>
        </w:numPr>
        <w:tabs>
          <w:tab w:val="clear" w:pos="720"/>
          <w:tab w:val="num" w:pos="360"/>
          <w:tab w:val="left" w:pos="567"/>
        </w:tabs>
        <w:spacing w:before="240"/>
        <w:ind w:left="360"/>
        <w:jc w:val="both"/>
        <w:rPr>
          <w:rFonts w:ascii="Book Antiqua" w:hAnsi="Book Antiqua" w:cs="Arial"/>
        </w:rPr>
      </w:pPr>
      <w:r w:rsidRPr="009D45E7">
        <w:rPr>
          <w:rFonts w:ascii="Book Antiqua" w:hAnsi="Book Antiqua" w:cs="Arial"/>
        </w:rPr>
        <w:t xml:space="preserve">The First-tier Tribunal Judge was satisfied that the claimant had given a good, honest reason for not claiming asylum earlier.  He considered that the claimant was a reliable witness and </w:t>
      </w:r>
      <w:r w:rsidR="00400D69" w:rsidRPr="009D45E7">
        <w:rPr>
          <w:rFonts w:ascii="Book Antiqua" w:hAnsi="Book Antiqua" w:cs="Arial"/>
        </w:rPr>
        <w:t xml:space="preserve">held </w:t>
      </w:r>
      <w:r w:rsidRPr="009D45E7">
        <w:rPr>
          <w:rFonts w:ascii="Book Antiqua" w:hAnsi="Book Antiqua" w:cs="Arial"/>
        </w:rPr>
        <w:t xml:space="preserve">that he could not safely relocate within Pakistan.  </w:t>
      </w:r>
    </w:p>
    <w:p w14:paraId="027E88AD" w14:textId="77777777" w:rsidR="00D51814" w:rsidRPr="009D45E7" w:rsidRDefault="00920EDC" w:rsidP="00E147B4">
      <w:pPr>
        <w:numPr>
          <w:ilvl w:val="0"/>
          <w:numId w:val="1"/>
        </w:numPr>
        <w:tabs>
          <w:tab w:val="clear" w:pos="720"/>
          <w:tab w:val="num" w:pos="360"/>
          <w:tab w:val="left" w:pos="567"/>
        </w:tabs>
        <w:spacing w:before="240"/>
        <w:ind w:left="360"/>
        <w:jc w:val="both"/>
        <w:rPr>
          <w:rFonts w:ascii="Book Antiqua" w:hAnsi="Book Antiqua" w:cs="Arial"/>
        </w:rPr>
      </w:pPr>
      <w:r w:rsidRPr="009D45E7">
        <w:rPr>
          <w:rFonts w:ascii="Book Antiqua" w:hAnsi="Book Antiqua" w:cs="Arial"/>
        </w:rPr>
        <w:t>The First-tier Tribunal Judge allowed the asylum appeal</w:t>
      </w:r>
      <w:r w:rsidR="00706D63" w:rsidRPr="009D45E7">
        <w:rPr>
          <w:rFonts w:ascii="Book Antiqua" w:hAnsi="Book Antiqua" w:cs="Arial"/>
        </w:rPr>
        <w:t xml:space="preserve">, relying on the respondent’s country information and guidance of May 2016, but making no mention of the country guidance of this Tribunal in </w:t>
      </w:r>
      <w:r w:rsidR="00706D63" w:rsidRPr="009D45E7">
        <w:rPr>
          <w:rFonts w:ascii="Book Antiqua" w:hAnsi="Book Antiqua" w:cs="Arial"/>
          <w:i/>
        </w:rPr>
        <w:t xml:space="preserve">AK and SK </w:t>
      </w:r>
      <w:r w:rsidR="00706D63" w:rsidRPr="009D45E7">
        <w:rPr>
          <w:rFonts w:ascii="Book Antiqua" w:hAnsi="Book Antiqua" w:cs="Arial"/>
        </w:rPr>
        <w:t>(Christians: risk) Pakistan CG 00569 UKUT (IAC)</w:t>
      </w:r>
    </w:p>
    <w:p w14:paraId="4B4E0DB8" w14:textId="77777777" w:rsidR="00920EDC" w:rsidRPr="009D45E7" w:rsidRDefault="00920EDC" w:rsidP="00E147B4">
      <w:pPr>
        <w:numPr>
          <w:ilvl w:val="0"/>
          <w:numId w:val="1"/>
        </w:numPr>
        <w:tabs>
          <w:tab w:val="clear" w:pos="720"/>
          <w:tab w:val="num" w:pos="360"/>
          <w:tab w:val="left" w:pos="567"/>
        </w:tabs>
        <w:spacing w:before="240"/>
        <w:ind w:left="360"/>
        <w:jc w:val="both"/>
        <w:rPr>
          <w:rFonts w:ascii="Book Antiqua" w:hAnsi="Book Antiqua" w:cs="Arial"/>
        </w:rPr>
      </w:pPr>
      <w:r w:rsidRPr="009D45E7">
        <w:rPr>
          <w:rFonts w:ascii="Book Antiqua" w:hAnsi="Book Antiqua" w:cs="Arial"/>
        </w:rPr>
        <w:t xml:space="preserve">The Secretary of State appealed to the Upper Tribunal. </w:t>
      </w:r>
    </w:p>
    <w:p w14:paraId="0C712085" w14:textId="77777777" w:rsidR="00D51814" w:rsidRPr="009D45E7" w:rsidRDefault="00D51814" w:rsidP="00D51814">
      <w:pPr>
        <w:tabs>
          <w:tab w:val="left" w:pos="567"/>
        </w:tabs>
        <w:spacing w:before="240"/>
        <w:jc w:val="both"/>
        <w:rPr>
          <w:rFonts w:ascii="Book Antiqua" w:hAnsi="Book Antiqua" w:cs="Arial"/>
          <w:b/>
        </w:rPr>
      </w:pPr>
      <w:r w:rsidRPr="009D45E7">
        <w:rPr>
          <w:rFonts w:ascii="Book Antiqua" w:hAnsi="Book Antiqua" w:cs="Arial"/>
          <w:b/>
        </w:rPr>
        <w:t xml:space="preserve">Permission to appeal </w:t>
      </w:r>
    </w:p>
    <w:p w14:paraId="6AF93C2C" w14:textId="77777777" w:rsidR="00706D63" w:rsidRPr="009D45E7" w:rsidRDefault="00920EDC" w:rsidP="00E147B4">
      <w:pPr>
        <w:numPr>
          <w:ilvl w:val="0"/>
          <w:numId w:val="1"/>
        </w:numPr>
        <w:tabs>
          <w:tab w:val="clear" w:pos="720"/>
          <w:tab w:val="num" w:pos="360"/>
          <w:tab w:val="left" w:pos="567"/>
        </w:tabs>
        <w:spacing w:before="240"/>
        <w:ind w:left="360"/>
        <w:jc w:val="both"/>
        <w:rPr>
          <w:rFonts w:ascii="Book Antiqua" w:hAnsi="Book Antiqua" w:cs="Arial"/>
        </w:rPr>
      </w:pPr>
      <w:r w:rsidRPr="009D45E7">
        <w:rPr>
          <w:rFonts w:ascii="Book Antiqua" w:hAnsi="Book Antiqua" w:cs="Arial"/>
        </w:rPr>
        <w:t>The grounds of appeal argued that the First-tier Tribunal had failed to take account of extant country guidance in</w:t>
      </w:r>
      <w:r w:rsidR="00706D63" w:rsidRPr="009D45E7">
        <w:rPr>
          <w:rFonts w:ascii="Book Antiqua" w:hAnsi="Book Antiqua" w:cs="Arial"/>
        </w:rPr>
        <w:t xml:space="preserve"> </w:t>
      </w:r>
      <w:r w:rsidR="00706D63" w:rsidRPr="009D45E7">
        <w:rPr>
          <w:rFonts w:ascii="Book Antiqua" w:hAnsi="Book Antiqua" w:cs="Arial"/>
          <w:i/>
        </w:rPr>
        <w:t>AK and SK</w:t>
      </w:r>
      <w:r w:rsidRPr="009D45E7">
        <w:rPr>
          <w:rFonts w:ascii="Book Antiqua" w:hAnsi="Book Antiqua" w:cs="Arial"/>
        </w:rPr>
        <w:t xml:space="preserve">. </w:t>
      </w:r>
    </w:p>
    <w:p w14:paraId="7686441D" w14:textId="77777777" w:rsidR="00D51814" w:rsidRPr="009D45E7" w:rsidRDefault="00920EDC" w:rsidP="00E147B4">
      <w:pPr>
        <w:numPr>
          <w:ilvl w:val="0"/>
          <w:numId w:val="1"/>
        </w:numPr>
        <w:tabs>
          <w:tab w:val="clear" w:pos="720"/>
          <w:tab w:val="num" w:pos="360"/>
          <w:tab w:val="left" w:pos="567"/>
        </w:tabs>
        <w:spacing w:before="240"/>
        <w:ind w:left="360"/>
        <w:jc w:val="both"/>
        <w:rPr>
          <w:rFonts w:ascii="Book Antiqua" w:hAnsi="Book Antiqua" w:cs="Arial"/>
        </w:rPr>
      </w:pPr>
      <w:r w:rsidRPr="009D45E7">
        <w:rPr>
          <w:rFonts w:ascii="Book Antiqua" w:hAnsi="Book Antiqua" w:cs="Arial"/>
        </w:rPr>
        <w:t xml:space="preserve">Permission to appeal was granted on that basis. </w:t>
      </w:r>
    </w:p>
    <w:p w14:paraId="17F00E8A" w14:textId="77777777" w:rsidR="00D51814" w:rsidRPr="009D45E7" w:rsidRDefault="00D51814" w:rsidP="00D51814">
      <w:pPr>
        <w:tabs>
          <w:tab w:val="left" w:pos="567"/>
        </w:tabs>
        <w:spacing w:before="240"/>
        <w:jc w:val="both"/>
        <w:rPr>
          <w:rFonts w:ascii="Book Antiqua" w:hAnsi="Book Antiqua" w:cs="Arial"/>
          <w:b/>
        </w:rPr>
      </w:pPr>
      <w:r w:rsidRPr="009D45E7">
        <w:rPr>
          <w:rFonts w:ascii="Book Antiqua" w:hAnsi="Book Antiqua" w:cs="Arial"/>
          <w:b/>
        </w:rPr>
        <w:t>Rule 24 Reply</w:t>
      </w:r>
    </w:p>
    <w:p w14:paraId="6F6A7D4D" w14:textId="77777777" w:rsidR="00D51814" w:rsidRPr="009D45E7" w:rsidRDefault="00706D63" w:rsidP="00E147B4">
      <w:pPr>
        <w:numPr>
          <w:ilvl w:val="0"/>
          <w:numId w:val="1"/>
        </w:numPr>
        <w:tabs>
          <w:tab w:val="clear" w:pos="720"/>
          <w:tab w:val="num" w:pos="360"/>
          <w:tab w:val="left" w:pos="567"/>
        </w:tabs>
        <w:spacing w:before="240"/>
        <w:ind w:left="360"/>
        <w:jc w:val="both"/>
        <w:rPr>
          <w:rFonts w:ascii="Book Antiqua" w:hAnsi="Book Antiqua" w:cs="Arial"/>
        </w:rPr>
      </w:pPr>
      <w:r w:rsidRPr="009D45E7">
        <w:rPr>
          <w:rFonts w:ascii="Book Antiqua" w:hAnsi="Book Antiqua" w:cs="Arial"/>
        </w:rPr>
        <w:t xml:space="preserve">There was no Rule 24 Reply. </w:t>
      </w:r>
    </w:p>
    <w:p w14:paraId="6355E383" w14:textId="77777777" w:rsidR="00D51814" w:rsidRPr="009D45E7" w:rsidRDefault="00D51814" w:rsidP="00E147B4">
      <w:pPr>
        <w:numPr>
          <w:ilvl w:val="0"/>
          <w:numId w:val="1"/>
        </w:numPr>
        <w:tabs>
          <w:tab w:val="clear" w:pos="720"/>
          <w:tab w:val="num" w:pos="360"/>
          <w:tab w:val="left" w:pos="567"/>
        </w:tabs>
        <w:spacing w:before="240"/>
        <w:ind w:left="360"/>
        <w:jc w:val="both"/>
        <w:rPr>
          <w:rFonts w:ascii="Book Antiqua" w:hAnsi="Book Antiqua" w:cs="Arial"/>
        </w:rPr>
      </w:pPr>
      <w:r w:rsidRPr="009D45E7">
        <w:rPr>
          <w:rFonts w:ascii="Book Antiqua" w:hAnsi="Book Antiqua" w:cs="Arial"/>
        </w:rPr>
        <w:t>That is the basis on which this appeal came before the Upper Tribunal.</w:t>
      </w:r>
    </w:p>
    <w:p w14:paraId="31035F97" w14:textId="77777777" w:rsidR="002C4492" w:rsidRDefault="002C4492" w:rsidP="00D51814">
      <w:pPr>
        <w:tabs>
          <w:tab w:val="left" w:pos="567"/>
        </w:tabs>
        <w:spacing w:before="240"/>
        <w:jc w:val="both"/>
        <w:rPr>
          <w:rFonts w:ascii="Book Antiqua" w:hAnsi="Book Antiqua" w:cs="Arial"/>
          <w:b/>
        </w:rPr>
      </w:pPr>
    </w:p>
    <w:p w14:paraId="2095DADB" w14:textId="77777777" w:rsidR="002C4492" w:rsidRDefault="002C4492" w:rsidP="00D51814">
      <w:pPr>
        <w:tabs>
          <w:tab w:val="left" w:pos="567"/>
        </w:tabs>
        <w:spacing w:before="240"/>
        <w:jc w:val="both"/>
        <w:rPr>
          <w:rFonts w:ascii="Book Antiqua" w:hAnsi="Book Antiqua" w:cs="Arial"/>
          <w:b/>
        </w:rPr>
      </w:pPr>
    </w:p>
    <w:p w14:paraId="71061232" w14:textId="1DFD7C4A" w:rsidR="00D51814" w:rsidRDefault="00D51814" w:rsidP="00D51814">
      <w:pPr>
        <w:tabs>
          <w:tab w:val="left" w:pos="567"/>
        </w:tabs>
        <w:spacing w:before="240"/>
        <w:jc w:val="both"/>
        <w:rPr>
          <w:rFonts w:ascii="Book Antiqua" w:hAnsi="Book Antiqua" w:cs="Arial"/>
          <w:b/>
        </w:rPr>
      </w:pPr>
      <w:r w:rsidRPr="009D45E7">
        <w:rPr>
          <w:rFonts w:ascii="Book Antiqua" w:hAnsi="Book Antiqua" w:cs="Arial"/>
          <w:b/>
        </w:rPr>
        <w:lastRenderedPageBreak/>
        <w:t>Upper Tribunal hearing</w:t>
      </w:r>
    </w:p>
    <w:p w14:paraId="10F500CD" w14:textId="77777777" w:rsidR="00D51814" w:rsidRPr="009D45E7" w:rsidRDefault="00706D63" w:rsidP="00E147B4">
      <w:pPr>
        <w:numPr>
          <w:ilvl w:val="0"/>
          <w:numId w:val="1"/>
        </w:numPr>
        <w:tabs>
          <w:tab w:val="clear" w:pos="720"/>
          <w:tab w:val="num" w:pos="360"/>
          <w:tab w:val="left" w:pos="567"/>
        </w:tabs>
        <w:spacing w:before="240"/>
        <w:ind w:left="360"/>
        <w:jc w:val="both"/>
        <w:rPr>
          <w:rFonts w:ascii="Book Antiqua" w:hAnsi="Book Antiqua" w:cs="Arial"/>
        </w:rPr>
      </w:pPr>
      <w:r w:rsidRPr="009D45E7">
        <w:rPr>
          <w:rFonts w:ascii="Book Antiqua" w:hAnsi="Book Antiqua" w:cs="Arial"/>
        </w:rPr>
        <w:t xml:space="preserve">At the Upper Tribunal, I asked Mr Boyle to assist me with the application of the </w:t>
      </w:r>
      <w:r w:rsidRPr="009D45E7">
        <w:rPr>
          <w:rFonts w:ascii="Book Antiqua" w:hAnsi="Book Antiqua" w:cs="Arial"/>
          <w:i/>
        </w:rPr>
        <w:t xml:space="preserve">AK and SK </w:t>
      </w:r>
      <w:r w:rsidRPr="009D45E7">
        <w:rPr>
          <w:rFonts w:ascii="Book Antiqua" w:hAnsi="Book Antiqua" w:cs="Arial"/>
        </w:rPr>
        <w:t xml:space="preserve">decision to this appeal, approaching the appeal on the basis that the </w:t>
      </w:r>
      <w:r w:rsidR="00400D69" w:rsidRPr="009D45E7">
        <w:rPr>
          <w:rFonts w:ascii="Book Antiqua" w:hAnsi="Book Antiqua" w:cs="Arial"/>
        </w:rPr>
        <w:t>claimant</w:t>
      </w:r>
      <w:r w:rsidRPr="009D45E7">
        <w:rPr>
          <w:rFonts w:ascii="Book Antiqua" w:hAnsi="Book Antiqua" w:cs="Arial"/>
        </w:rPr>
        <w:t>’s account was credible.</w:t>
      </w:r>
    </w:p>
    <w:p w14:paraId="222C7D09" w14:textId="77777777" w:rsidR="00706D63" w:rsidRPr="009D45E7" w:rsidRDefault="00706D63" w:rsidP="00E147B4">
      <w:pPr>
        <w:numPr>
          <w:ilvl w:val="0"/>
          <w:numId w:val="1"/>
        </w:numPr>
        <w:tabs>
          <w:tab w:val="clear" w:pos="720"/>
          <w:tab w:val="num" w:pos="360"/>
          <w:tab w:val="left" w:pos="567"/>
        </w:tabs>
        <w:spacing w:before="240"/>
        <w:ind w:left="360"/>
        <w:jc w:val="both"/>
        <w:rPr>
          <w:rFonts w:ascii="Book Antiqua" w:hAnsi="Book Antiqua" w:cs="Arial"/>
        </w:rPr>
      </w:pPr>
      <w:r w:rsidRPr="009D45E7">
        <w:rPr>
          <w:rFonts w:ascii="Book Antiqua" w:hAnsi="Book Antiqua" w:cs="Arial"/>
        </w:rPr>
        <w:t xml:space="preserve">Mr Boyle’s submissions were in line with the First-tier Tribunal decision but did not engage in detail with </w:t>
      </w:r>
      <w:r w:rsidRPr="009D45E7">
        <w:rPr>
          <w:rFonts w:ascii="Book Antiqua" w:hAnsi="Book Antiqua" w:cs="Arial"/>
          <w:i/>
        </w:rPr>
        <w:t xml:space="preserve">AK and SK.  </w:t>
      </w:r>
      <w:r w:rsidRPr="009D45E7">
        <w:rPr>
          <w:rFonts w:ascii="Book Antiqua" w:hAnsi="Book Antiqua" w:cs="Arial"/>
        </w:rPr>
        <w:t xml:space="preserve">I did not call on Mr </w:t>
      </w:r>
      <w:proofErr w:type="spellStart"/>
      <w:r w:rsidRPr="009D45E7">
        <w:rPr>
          <w:rFonts w:ascii="Book Antiqua" w:hAnsi="Book Antiqua" w:cs="Arial"/>
        </w:rPr>
        <w:t>Diwnycz</w:t>
      </w:r>
      <w:proofErr w:type="spellEnd"/>
      <w:r w:rsidRPr="009D45E7">
        <w:rPr>
          <w:rFonts w:ascii="Book Antiqua" w:hAnsi="Book Antiqua" w:cs="Arial"/>
        </w:rPr>
        <w:t xml:space="preserve"> for the </w:t>
      </w:r>
      <w:r w:rsidR="00400D69" w:rsidRPr="009D45E7">
        <w:rPr>
          <w:rFonts w:ascii="Book Antiqua" w:hAnsi="Book Antiqua" w:cs="Arial"/>
        </w:rPr>
        <w:t>Secretary of State</w:t>
      </w:r>
      <w:r w:rsidRPr="009D45E7">
        <w:rPr>
          <w:rFonts w:ascii="Book Antiqua" w:hAnsi="Book Antiqua" w:cs="Arial"/>
        </w:rPr>
        <w:t>.</w:t>
      </w:r>
    </w:p>
    <w:p w14:paraId="1FC57D77" w14:textId="77777777" w:rsidR="00D51814" w:rsidRPr="009D45E7" w:rsidRDefault="00D51814" w:rsidP="00D51814">
      <w:pPr>
        <w:tabs>
          <w:tab w:val="left" w:pos="567"/>
        </w:tabs>
        <w:spacing w:before="240"/>
        <w:jc w:val="both"/>
        <w:rPr>
          <w:rFonts w:ascii="Book Antiqua" w:hAnsi="Book Antiqua" w:cs="Arial"/>
          <w:b/>
        </w:rPr>
      </w:pPr>
      <w:r w:rsidRPr="009D45E7">
        <w:rPr>
          <w:rFonts w:ascii="Book Antiqua" w:hAnsi="Book Antiqua" w:cs="Arial"/>
          <w:b/>
        </w:rPr>
        <w:t xml:space="preserve">Discussion </w:t>
      </w:r>
    </w:p>
    <w:p w14:paraId="766B04BC" w14:textId="77777777" w:rsidR="00D51814" w:rsidRPr="009D45E7" w:rsidRDefault="00706D63" w:rsidP="00E147B4">
      <w:pPr>
        <w:numPr>
          <w:ilvl w:val="0"/>
          <w:numId w:val="1"/>
        </w:numPr>
        <w:tabs>
          <w:tab w:val="clear" w:pos="720"/>
          <w:tab w:val="num" w:pos="360"/>
          <w:tab w:val="left" w:pos="567"/>
        </w:tabs>
        <w:spacing w:before="240"/>
        <w:ind w:left="360"/>
        <w:jc w:val="both"/>
        <w:rPr>
          <w:rFonts w:ascii="Book Antiqua" w:hAnsi="Book Antiqua" w:cs="Arial"/>
        </w:rPr>
      </w:pPr>
      <w:r w:rsidRPr="009D45E7">
        <w:rPr>
          <w:rFonts w:ascii="Book Antiqua" w:hAnsi="Book Antiqua" w:cs="Arial"/>
        </w:rPr>
        <w:t xml:space="preserve">I begin by considering the country guidance given in </w:t>
      </w:r>
      <w:r w:rsidRPr="009D45E7">
        <w:rPr>
          <w:rFonts w:ascii="Book Antiqua" w:hAnsi="Book Antiqua" w:cs="Arial"/>
          <w:i/>
        </w:rPr>
        <w:t xml:space="preserve">AK and SK, </w:t>
      </w:r>
      <w:r w:rsidRPr="009D45E7">
        <w:rPr>
          <w:rFonts w:ascii="Book Antiqua" w:hAnsi="Book Antiqua" w:cs="Arial"/>
        </w:rPr>
        <w:t>which the First-tier Tribunal Judge overlooked, and/or did not adequately distinguish in his decision:</w:t>
      </w:r>
    </w:p>
    <w:p w14:paraId="02A19D95" w14:textId="77777777" w:rsidR="00706D63" w:rsidRPr="009D45E7" w:rsidRDefault="00706D63" w:rsidP="00706D63">
      <w:pPr>
        <w:tabs>
          <w:tab w:val="left" w:pos="567"/>
        </w:tabs>
        <w:spacing w:before="240"/>
        <w:ind w:left="1134"/>
        <w:jc w:val="both"/>
        <w:rPr>
          <w:rFonts w:ascii="Book Antiqua" w:hAnsi="Book Antiqua" w:cs="Arial"/>
        </w:rPr>
      </w:pPr>
      <w:r w:rsidRPr="009D45E7">
        <w:rPr>
          <w:rFonts w:ascii="Book Antiqua" w:hAnsi="Book Antiqua" w:cs="Arial"/>
        </w:rPr>
        <w:t>“</w:t>
      </w:r>
      <w:r w:rsidRPr="009D45E7">
        <w:rPr>
          <w:rFonts w:ascii="Book Antiqua" w:hAnsi="Book Antiqua" w:cs="Arial"/>
          <w:i/>
          <w:iCs/>
        </w:rPr>
        <w:t xml:space="preserve">1. Christians in Pakistan are a religious minority who, in general, suffer discrimination but this is not sufficient to amount to a real risk of persecution. </w:t>
      </w:r>
    </w:p>
    <w:p w14:paraId="0D270538" w14:textId="77777777" w:rsidR="00706D63" w:rsidRPr="009D45E7" w:rsidRDefault="00706D63" w:rsidP="00706D63">
      <w:pPr>
        <w:tabs>
          <w:tab w:val="left" w:pos="567"/>
        </w:tabs>
        <w:spacing w:before="240"/>
        <w:ind w:left="1134"/>
        <w:jc w:val="both"/>
        <w:rPr>
          <w:rFonts w:ascii="Book Antiqua" w:hAnsi="Book Antiqua" w:cs="Arial"/>
        </w:rPr>
      </w:pPr>
      <w:r w:rsidRPr="009D45E7">
        <w:rPr>
          <w:rFonts w:ascii="Book Antiqua" w:hAnsi="Book Antiqua" w:cs="Arial"/>
          <w:i/>
          <w:iCs/>
        </w:rPr>
        <w:t>2. Unlike the position of Ahmadis, Christians in general are permitted to practise their faith, can attend church, participate in religious activities and have their own schools and hospitals.</w:t>
      </w:r>
    </w:p>
    <w:p w14:paraId="2CFFEFA4" w14:textId="77777777" w:rsidR="00706D63" w:rsidRPr="009D45E7" w:rsidRDefault="00706D63" w:rsidP="00706D63">
      <w:pPr>
        <w:tabs>
          <w:tab w:val="left" w:pos="567"/>
        </w:tabs>
        <w:spacing w:before="240"/>
        <w:ind w:left="1134"/>
        <w:jc w:val="both"/>
        <w:rPr>
          <w:rFonts w:ascii="Book Antiqua" w:hAnsi="Book Antiqua" w:cs="Arial"/>
        </w:rPr>
      </w:pPr>
      <w:r w:rsidRPr="009D45E7">
        <w:rPr>
          <w:rFonts w:ascii="Book Antiqua" w:hAnsi="Book Antiqua" w:cs="Arial"/>
          <w:i/>
          <w:iCs/>
        </w:rPr>
        <w:t xml:space="preserve">3. Evangelism by its very nature involves some obligation to proselytise. Someone who seeks to broadcast their faith to strangers </w:t>
      </w:r>
      <w:proofErr w:type="gramStart"/>
      <w:r w:rsidRPr="009D45E7">
        <w:rPr>
          <w:rFonts w:ascii="Book Antiqua" w:hAnsi="Book Antiqua" w:cs="Arial"/>
          <w:i/>
          <w:iCs/>
        </w:rPr>
        <w:t>so as to</w:t>
      </w:r>
      <w:proofErr w:type="gramEnd"/>
      <w:r w:rsidRPr="009D45E7">
        <w:rPr>
          <w:rFonts w:ascii="Book Antiqua" w:hAnsi="Book Antiqua" w:cs="Arial"/>
          <w:i/>
          <w:iCs/>
        </w:rPr>
        <w:t xml:space="preserve"> encourage them to convert, may find themselves facing a charge of blasphemy. In that way, evangelical Christians face a greater risk than those Christians who are not publicly active. It will be for the judicial fact-finder to assess on a case by case basis whether, notwithstanding attendance at an evangelical church, it is important to the individual to behave in evangelical ways that may lead to a real risk of persecution.</w:t>
      </w:r>
    </w:p>
    <w:p w14:paraId="71993D2F" w14:textId="77777777" w:rsidR="00706D63" w:rsidRPr="009D45E7" w:rsidRDefault="00706D63" w:rsidP="00706D63">
      <w:pPr>
        <w:tabs>
          <w:tab w:val="left" w:pos="567"/>
        </w:tabs>
        <w:spacing w:before="240"/>
        <w:ind w:left="1134"/>
        <w:jc w:val="both"/>
        <w:rPr>
          <w:rFonts w:ascii="Book Antiqua" w:hAnsi="Book Antiqua" w:cs="Arial"/>
        </w:rPr>
      </w:pPr>
      <w:r w:rsidRPr="009D45E7">
        <w:rPr>
          <w:rFonts w:ascii="Book Antiqua" w:hAnsi="Book Antiqua" w:cs="Arial"/>
          <w:i/>
          <w:iCs/>
        </w:rPr>
        <w:t xml:space="preserve">4. Along with Christians, Sunnis, Shi’as, Ahmadis and Hindus may all be potentially charged with blasphemy. Those citizens who are more marginalised and occupy low standing social positions, may be less able to deal with the consequences of such proceedings. </w:t>
      </w:r>
    </w:p>
    <w:p w14:paraId="1ECD2422" w14:textId="77777777" w:rsidR="00706D63" w:rsidRPr="009D45E7" w:rsidRDefault="00706D63" w:rsidP="00706D63">
      <w:pPr>
        <w:tabs>
          <w:tab w:val="left" w:pos="567"/>
        </w:tabs>
        <w:spacing w:before="240"/>
        <w:ind w:left="1134"/>
        <w:jc w:val="both"/>
        <w:rPr>
          <w:rFonts w:ascii="Book Antiqua" w:hAnsi="Book Antiqua" w:cs="Arial"/>
        </w:rPr>
      </w:pPr>
      <w:r w:rsidRPr="009D45E7">
        <w:rPr>
          <w:rFonts w:ascii="Book Antiqua" w:hAnsi="Book Antiqua" w:cs="Arial"/>
          <w:i/>
          <w:iCs/>
        </w:rPr>
        <w:t xml:space="preserve">5. The risk of becoming a victim of a blasphemy allegation will depend upon </w:t>
      </w:r>
      <w:proofErr w:type="gramStart"/>
      <w:r w:rsidRPr="009D45E7">
        <w:rPr>
          <w:rFonts w:ascii="Book Antiqua" w:hAnsi="Book Antiqua" w:cs="Arial"/>
          <w:i/>
          <w:iCs/>
        </w:rPr>
        <w:t>a number of</w:t>
      </w:r>
      <w:proofErr w:type="gramEnd"/>
      <w:r w:rsidRPr="009D45E7">
        <w:rPr>
          <w:rFonts w:ascii="Book Antiqua" w:hAnsi="Book Antiqua" w:cs="Arial"/>
          <w:i/>
          <w:iCs/>
        </w:rPr>
        <w:t xml:space="preserve"> factors and must be assessed on a case by case basis. Relevant factors will include the place of residence, whether it is an urban or rural area, and the individual’s level of education, financial and employment status and level of public religious activity such as preaching. These factors are not exhaustive. </w:t>
      </w:r>
    </w:p>
    <w:p w14:paraId="3EEFE55F" w14:textId="77777777" w:rsidR="00706D63" w:rsidRPr="009D45E7" w:rsidRDefault="00706D63" w:rsidP="00706D63">
      <w:pPr>
        <w:tabs>
          <w:tab w:val="left" w:pos="567"/>
        </w:tabs>
        <w:spacing w:before="240"/>
        <w:ind w:left="1134"/>
        <w:jc w:val="both"/>
        <w:rPr>
          <w:rFonts w:ascii="Book Antiqua" w:hAnsi="Book Antiqua" w:cs="Arial"/>
        </w:rPr>
      </w:pPr>
      <w:r w:rsidRPr="009D45E7">
        <w:rPr>
          <w:rFonts w:ascii="Book Antiqua" w:hAnsi="Book Antiqua" w:cs="Arial"/>
          <w:i/>
          <w:iCs/>
        </w:rPr>
        <w:t xml:space="preserve">6. … A blasphemy allegation, without more, will not generally be enough to make out a claim under the Refugee Convention. It </w:t>
      </w:r>
      <w:proofErr w:type="gramStart"/>
      <w:r w:rsidRPr="009D45E7">
        <w:rPr>
          <w:rFonts w:ascii="Book Antiqua" w:hAnsi="Book Antiqua" w:cs="Arial"/>
          <w:i/>
          <w:iCs/>
        </w:rPr>
        <w:t>has to</w:t>
      </w:r>
      <w:proofErr w:type="gramEnd"/>
      <w:r w:rsidRPr="009D45E7">
        <w:rPr>
          <w:rFonts w:ascii="Book Antiqua" w:hAnsi="Book Antiqua" w:cs="Arial"/>
          <w:i/>
          <w:iCs/>
        </w:rPr>
        <w:t xml:space="preserve"> be actively followed either by the authorities in the form of charges being brought or by those making the complaint. If it is, or will be, actively pursued, then an applicant may be able to establish a real risk of harm in the home area and an insufficiency of state protection.</w:t>
      </w:r>
      <w:r w:rsidRPr="009D45E7">
        <w:rPr>
          <w:rFonts w:ascii="Book Antiqua" w:hAnsi="Book Antiqua" w:cs="Arial"/>
        </w:rPr>
        <w:t xml:space="preserve"> </w:t>
      </w:r>
      <w:r w:rsidRPr="009D45E7">
        <w:rPr>
          <w:rFonts w:ascii="Book Antiqua" w:hAnsi="Book Antiqua" w:cs="Arial"/>
          <w:i/>
          <w:iCs/>
        </w:rPr>
        <w:t>…</w:t>
      </w:r>
    </w:p>
    <w:p w14:paraId="143F501F" w14:textId="77777777" w:rsidR="00706D63" w:rsidRPr="009D45E7" w:rsidRDefault="00706D63" w:rsidP="00706D63">
      <w:pPr>
        <w:tabs>
          <w:tab w:val="left" w:pos="567"/>
        </w:tabs>
        <w:spacing w:before="240"/>
        <w:ind w:left="1134"/>
        <w:jc w:val="both"/>
        <w:rPr>
          <w:rFonts w:ascii="Book Antiqua" w:hAnsi="Book Antiqua" w:cs="Arial"/>
        </w:rPr>
      </w:pPr>
      <w:r w:rsidRPr="009D45E7">
        <w:rPr>
          <w:rFonts w:ascii="Book Antiqua" w:hAnsi="Book Antiqua" w:cs="Arial"/>
          <w:i/>
          <w:iCs/>
        </w:rPr>
        <w:t>8. Relocation is normally a viable option unless an individual is accused of blasphemy which is being seriously pursued; in that situation there is, in general, no internal relocation alternative.</w:t>
      </w:r>
      <w:r w:rsidRPr="009D45E7">
        <w:rPr>
          <w:rFonts w:ascii="Book Antiqua" w:hAnsi="Book Antiqua" w:cs="Arial"/>
        </w:rPr>
        <w:t>”</w:t>
      </w:r>
    </w:p>
    <w:p w14:paraId="5BF16A3C" w14:textId="77777777" w:rsidR="00706D63" w:rsidRPr="009D45E7" w:rsidRDefault="00706D63" w:rsidP="00E147B4">
      <w:pPr>
        <w:numPr>
          <w:ilvl w:val="0"/>
          <w:numId w:val="1"/>
        </w:numPr>
        <w:tabs>
          <w:tab w:val="clear" w:pos="720"/>
          <w:tab w:val="num" w:pos="360"/>
          <w:tab w:val="left" w:pos="567"/>
        </w:tabs>
        <w:spacing w:before="240"/>
        <w:ind w:left="360"/>
        <w:jc w:val="both"/>
        <w:rPr>
          <w:rFonts w:ascii="Book Antiqua" w:hAnsi="Book Antiqua" w:cs="Arial"/>
        </w:rPr>
      </w:pPr>
      <w:r w:rsidRPr="009D45E7">
        <w:rPr>
          <w:rFonts w:ascii="Book Antiqua" w:hAnsi="Book Antiqua" w:cs="Arial"/>
        </w:rPr>
        <w:lastRenderedPageBreak/>
        <w:t xml:space="preserve">The </w:t>
      </w:r>
      <w:r w:rsidR="00400D69" w:rsidRPr="009D45E7">
        <w:rPr>
          <w:rFonts w:ascii="Book Antiqua" w:hAnsi="Book Antiqua" w:cs="Arial"/>
        </w:rPr>
        <w:t>claimant</w:t>
      </w:r>
      <w:r w:rsidRPr="009D45E7">
        <w:rPr>
          <w:rFonts w:ascii="Book Antiqua" w:hAnsi="Book Antiqua" w:cs="Arial"/>
        </w:rPr>
        <w:t xml:space="preserve">’s evidence does not suggest that there is against him a blasphemy charge which is being actively pursued.  His difficulty is limited to the home area and therefore, applying </w:t>
      </w:r>
      <w:r w:rsidRPr="009D45E7">
        <w:rPr>
          <w:rFonts w:ascii="Book Antiqua" w:hAnsi="Book Antiqua" w:cs="Arial"/>
          <w:i/>
        </w:rPr>
        <w:t xml:space="preserve">AK and SK, </w:t>
      </w:r>
      <w:r w:rsidRPr="009D45E7">
        <w:rPr>
          <w:rFonts w:ascii="Book Antiqua" w:hAnsi="Book Antiqua" w:cs="Arial"/>
        </w:rPr>
        <w:t xml:space="preserve">the </w:t>
      </w:r>
      <w:r w:rsidR="00400D69" w:rsidRPr="009D45E7">
        <w:rPr>
          <w:rFonts w:ascii="Book Antiqua" w:hAnsi="Book Antiqua" w:cs="Arial"/>
        </w:rPr>
        <w:t>claimant</w:t>
      </w:r>
      <w:r w:rsidRPr="009D45E7">
        <w:rPr>
          <w:rFonts w:ascii="Book Antiqua" w:hAnsi="Book Antiqua" w:cs="Arial"/>
        </w:rPr>
        <w:t xml:space="preserve"> has an internal relocation option.  </w:t>
      </w:r>
    </w:p>
    <w:p w14:paraId="578569BF" w14:textId="77777777" w:rsidR="00706D63" w:rsidRPr="009D45E7" w:rsidRDefault="00706D63" w:rsidP="00E147B4">
      <w:pPr>
        <w:numPr>
          <w:ilvl w:val="0"/>
          <w:numId w:val="1"/>
        </w:numPr>
        <w:tabs>
          <w:tab w:val="clear" w:pos="720"/>
          <w:tab w:val="num" w:pos="360"/>
          <w:tab w:val="left" w:pos="567"/>
        </w:tabs>
        <w:spacing w:before="240"/>
        <w:ind w:left="360"/>
        <w:jc w:val="both"/>
        <w:rPr>
          <w:rFonts w:ascii="Book Antiqua" w:hAnsi="Book Antiqua" w:cs="Arial"/>
        </w:rPr>
      </w:pPr>
      <w:r w:rsidRPr="009D45E7">
        <w:rPr>
          <w:rFonts w:ascii="Book Antiqua" w:hAnsi="Book Antiqua" w:cs="Arial"/>
        </w:rPr>
        <w:t xml:space="preserve">Failure to apply country guidance without an explanation as to why a person is diverging therefrom is an error of law and in this </w:t>
      </w:r>
      <w:proofErr w:type="gramStart"/>
      <w:r w:rsidRPr="009D45E7">
        <w:rPr>
          <w:rFonts w:ascii="Book Antiqua" w:hAnsi="Book Antiqua" w:cs="Arial"/>
        </w:rPr>
        <w:t>case</w:t>
      </w:r>
      <w:proofErr w:type="gramEnd"/>
      <w:r w:rsidRPr="009D45E7">
        <w:rPr>
          <w:rFonts w:ascii="Book Antiqua" w:hAnsi="Book Antiqua" w:cs="Arial"/>
        </w:rPr>
        <w:t xml:space="preserve"> it was material:  a Judge, applying </w:t>
      </w:r>
      <w:r w:rsidRPr="009D45E7">
        <w:rPr>
          <w:rFonts w:ascii="Book Antiqua" w:hAnsi="Book Antiqua" w:cs="Arial"/>
          <w:i/>
        </w:rPr>
        <w:t xml:space="preserve">AK and SK </w:t>
      </w:r>
      <w:r w:rsidRPr="009D45E7">
        <w:rPr>
          <w:rFonts w:ascii="Book Antiqua" w:hAnsi="Book Antiqua" w:cs="Arial"/>
        </w:rPr>
        <w:t xml:space="preserve">to the facts of this appeal </w:t>
      </w:r>
      <w:r w:rsidR="00400D69" w:rsidRPr="009D45E7">
        <w:rPr>
          <w:rFonts w:ascii="Book Antiqua" w:hAnsi="Book Antiqua" w:cs="Arial"/>
        </w:rPr>
        <w:t>could</w:t>
      </w:r>
      <w:r w:rsidRPr="009D45E7">
        <w:rPr>
          <w:rFonts w:ascii="Book Antiqua" w:hAnsi="Book Antiqua" w:cs="Arial"/>
        </w:rPr>
        <w:t xml:space="preserve"> not have concluded that there was a risk</w:t>
      </w:r>
      <w:r w:rsidR="00400D69" w:rsidRPr="009D45E7">
        <w:rPr>
          <w:rFonts w:ascii="Book Antiqua" w:hAnsi="Book Antiqua" w:cs="Arial"/>
        </w:rPr>
        <w:t xml:space="preserve"> in the claimant’s home area</w:t>
      </w:r>
      <w:r w:rsidRPr="009D45E7">
        <w:rPr>
          <w:rFonts w:ascii="Book Antiqua" w:hAnsi="Book Antiqua" w:cs="Arial"/>
        </w:rPr>
        <w:t xml:space="preserve"> </w:t>
      </w:r>
      <w:r w:rsidR="00400D69" w:rsidRPr="009D45E7">
        <w:rPr>
          <w:rFonts w:ascii="Book Antiqua" w:hAnsi="Book Antiqua" w:cs="Arial"/>
        </w:rPr>
        <w:t xml:space="preserve">which could not be mitigated by internal relocation. </w:t>
      </w:r>
    </w:p>
    <w:p w14:paraId="34369815" w14:textId="77777777" w:rsidR="00306236" w:rsidRPr="009D45E7" w:rsidRDefault="00306236" w:rsidP="00BF23BB">
      <w:pPr>
        <w:tabs>
          <w:tab w:val="left" w:pos="567"/>
        </w:tabs>
        <w:ind w:left="567" w:hanging="567"/>
        <w:jc w:val="both"/>
        <w:rPr>
          <w:rFonts w:ascii="Book Antiqua" w:hAnsi="Book Antiqua" w:cs="Arial"/>
        </w:rPr>
      </w:pPr>
    </w:p>
    <w:p w14:paraId="2D753359" w14:textId="77777777" w:rsidR="00306236" w:rsidRPr="009D45E7" w:rsidRDefault="00306236" w:rsidP="00BF23BB">
      <w:pPr>
        <w:tabs>
          <w:tab w:val="left" w:pos="567"/>
        </w:tabs>
        <w:ind w:left="567" w:hanging="567"/>
        <w:jc w:val="both"/>
        <w:rPr>
          <w:rFonts w:ascii="Book Antiqua" w:hAnsi="Book Antiqua" w:cs="Arial"/>
        </w:rPr>
      </w:pPr>
      <w:r w:rsidRPr="009D45E7">
        <w:rPr>
          <w:rFonts w:ascii="Book Antiqua" w:hAnsi="Book Antiqua" w:cs="Arial"/>
          <w:b/>
        </w:rPr>
        <w:t>DECISION</w:t>
      </w:r>
    </w:p>
    <w:p w14:paraId="043FAF62" w14:textId="77777777" w:rsidR="001F2716" w:rsidRPr="009D45E7" w:rsidRDefault="001F2716" w:rsidP="00780F86">
      <w:pPr>
        <w:ind w:left="540" w:hanging="540"/>
        <w:jc w:val="both"/>
        <w:rPr>
          <w:rFonts w:ascii="Book Antiqua" w:hAnsi="Book Antiqua" w:cs="Arial"/>
        </w:rPr>
      </w:pPr>
    </w:p>
    <w:p w14:paraId="1A37F21C" w14:textId="77777777" w:rsidR="00306236" w:rsidRPr="009D45E7" w:rsidRDefault="00306236" w:rsidP="00306236">
      <w:pPr>
        <w:numPr>
          <w:ilvl w:val="0"/>
          <w:numId w:val="1"/>
        </w:numPr>
        <w:tabs>
          <w:tab w:val="clear" w:pos="720"/>
          <w:tab w:val="num" w:pos="360"/>
          <w:tab w:val="left" w:pos="567"/>
        </w:tabs>
        <w:ind w:left="360"/>
        <w:jc w:val="both"/>
        <w:rPr>
          <w:rFonts w:ascii="Book Antiqua" w:hAnsi="Book Antiqua" w:cs="Arial"/>
        </w:rPr>
      </w:pPr>
      <w:r w:rsidRPr="009D45E7">
        <w:rPr>
          <w:rFonts w:ascii="Book Antiqua" w:hAnsi="Book Antiqua" w:cs="Arial"/>
        </w:rPr>
        <w:t>For the foregoing reasons, my decision is as follows:</w:t>
      </w:r>
    </w:p>
    <w:p w14:paraId="6F4FD5CA" w14:textId="77777777" w:rsidR="00306236" w:rsidRPr="009D45E7" w:rsidRDefault="00306236" w:rsidP="00306236">
      <w:pPr>
        <w:tabs>
          <w:tab w:val="left" w:pos="567"/>
        </w:tabs>
        <w:ind w:left="360"/>
        <w:jc w:val="both"/>
        <w:rPr>
          <w:rFonts w:ascii="Book Antiqua" w:hAnsi="Book Antiqua" w:cs="Arial"/>
        </w:rPr>
      </w:pPr>
      <w:r w:rsidRPr="009D45E7">
        <w:rPr>
          <w:rFonts w:ascii="Book Antiqua" w:hAnsi="Book Antiqua" w:cs="Arial"/>
        </w:rPr>
        <w:t xml:space="preserve">The making of the previous decision involved the making of an error on a point of law.   </w:t>
      </w:r>
    </w:p>
    <w:p w14:paraId="64C99A5F" w14:textId="77777777" w:rsidR="00400D69" w:rsidRPr="009D45E7" w:rsidRDefault="00306236" w:rsidP="00306236">
      <w:pPr>
        <w:tabs>
          <w:tab w:val="left" w:pos="567"/>
        </w:tabs>
        <w:ind w:left="360"/>
        <w:jc w:val="both"/>
        <w:rPr>
          <w:rFonts w:ascii="Book Antiqua" w:hAnsi="Book Antiqua" w:cs="Arial"/>
        </w:rPr>
      </w:pPr>
      <w:r w:rsidRPr="009D45E7">
        <w:rPr>
          <w:rFonts w:ascii="Book Antiqua" w:hAnsi="Book Antiqua" w:cs="Arial"/>
        </w:rPr>
        <w:t xml:space="preserve">I set aside the previous decision.  </w:t>
      </w:r>
    </w:p>
    <w:p w14:paraId="25340F3F" w14:textId="77777777" w:rsidR="00400D69" w:rsidRPr="009D45E7" w:rsidRDefault="00400D69" w:rsidP="00306236">
      <w:pPr>
        <w:tabs>
          <w:tab w:val="left" w:pos="567"/>
        </w:tabs>
        <w:ind w:left="360"/>
        <w:jc w:val="both"/>
        <w:rPr>
          <w:rFonts w:ascii="Book Antiqua" w:hAnsi="Book Antiqua" w:cs="Arial"/>
        </w:rPr>
      </w:pPr>
    </w:p>
    <w:p w14:paraId="5939AA78" w14:textId="77777777" w:rsidR="00306236" w:rsidRPr="009D45E7" w:rsidRDefault="00D51814" w:rsidP="00306236">
      <w:pPr>
        <w:tabs>
          <w:tab w:val="left" w:pos="567"/>
        </w:tabs>
        <w:ind w:left="360"/>
        <w:jc w:val="both"/>
        <w:rPr>
          <w:rFonts w:ascii="Book Antiqua" w:hAnsi="Book Antiqua" w:cs="Arial"/>
        </w:rPr>
      </w:pPr>
      <w:r w:rsidRPr="009D45E7">
        <w:rPr>
          <w:rFonts w:ascii="Book Antiqua" w:hAnsi="Book Antiqua" w:cs="Arial"/>
        </w:rPr>
        <w:t xml:space="preserve">I remake the decision by </w:t>
      </w:r>
      <w:r w:rsidR="00400D69" w:rsidRPr="009D45E7">
        <w:rPr>
          <w:rFonts w:ascii="Book Antiqua" w:hAnsi="Book Antiqua" w:cs="Arial"/>
        </w:rPr>
        <w:t>dismissing the asylum appeal</w:t>
      </w:r>
      <w:r w:rsidRPr="009D45E7">
        <w:rPr>
          <w:rFonts w:ascii="Book Antiqua" w:hAnsi="Book Antiqua" w:cs="Arial"/>
        </w:rPr>
        <w:t xml:space="preserve">.   </w:t>
      </w:r>
    </w:p>
    <w:p w14:paraId="144D9B7B" w14:textId="77777777" w:rsidR="00D51814" w:rsidRPr="009D45E7" w:rsidRDefault="00D51814" w:rsidP="00306236">
      <w:pPr>
        <w:tabs>
          <w:tab w:val="left" w:pos="567"/>
        </w:tabs>
        <w:ind w:left="360"/>
        <w:jc w:val="both"/>
        <w:rPr>
          <w:rFonts w:ascii="Book Antiqua" w:hAnsi="Book Antiqua" w:cs="Arial"/>
        </w:rPr>
      </w:pPr>
    </w:p>
    <w:p w14:paraId="00528804" w14:textId="77777777" w:rsidR="009F5220" w:rsidRPr="009D45E7" w:rsidRDefault="009F5220" w:rsidP="00780F86">
      <w:pPr>
        <w:ind w:left="540" w:hanging="540"/>
        <w:jc w:val="both"/>
        <w:rPr>
          <w:rFonts w:ascii="Book Antiqua" w:hAnsi="Book Antiqua" w:cs="Arial"/>
        </w:rPr>
      </w:pPr>
    </w:p>
    <w:p w14:paraId="7938BC1E" w14:textId="77777777" w:rsidR="00B95326" w:rsidRPr="009D45E7" w:rsidRDefault="00306236" w:rsidP="00CA0B29">
      <w:pPr>
        <w:rPr>
          <w:rFonts w:ascii="Book Antiqua" w:hAnsi="Book Antiqua" w:cs="Arial"/>
          <w:color w:val="000000"/>
        </w:rPr>
      </w:pPr>
      <w:r w:rsidRPr="009D45E7">
        <w:rPr>
          <w:rFonts w:ascii="Book Antiqua" w:hAnsi="Book Antiqua" w:cs="Arial"/>
        </w:rPr>
        <w:t>Date:</w:t>
      </w:r>
      <w:r w:rsidR="00AD7978" w:rsidRPr="009D45E7">
        <w:rPr>
          <w:rFonts w:ascii="Book Antiqua" w:hAnsi="Book Antiqua" w:cs="Arial"/>
        </w:rPr>
        <w:tab/>
      </w:r>
      <w:r w:rsidRPr="009D45E7">
        <w:rPr>
          <w:rFonts w:ascii="Book Antiqua" w:hAnsi="Book Antiqua" w:cs="Arial"/>
        </w:rPr>
        <w:tab/>
      </w:r>
      <w:r w:rsidR="00400D69" w:rsidRPr="009D45E7">
        <w:rPr>
          <w:rFonts w:ascii="Book Antiqua" w:hAnsi="Book Antiqua" w:cs="Arial"/>
        </w:rPr>
        <w:t>15 May 2018</w:t>
      </w:r>
      <w:r w:rsidR="00185211" w:rsidRPr="009D45E7">
        <w:rPr>
          <w:rFonts w:ascii="Book Antiqua" w:hAnsi="Book Antiqua" w:cs="Arial"/>
        </w:rPr>
        <w:tab/>
      </w:r>
      <w:r w:rsidR="00185211" w:rsidRPr="009D45E7">
        <w:rPr>
          <w:rFonts w:ascii="Book Antiqua" w:hAnsi="Book Antiqua" w:cs="Arial"/>
        </w:rPr>
        <w:tab/>
      </w:r>
      <w:r w:rsidRPr="009D45E7">
        <w:rPr>
          <w:rFonts w:ascii="Book Antiqua" w:hAnsi="Book Antiqua" w:cs="Arial"/>
        </w:rPr>
        <w:tab/>
      </w:r>
      <w:r w:rsidRPr="009D45E7">
        <w:rPr>
          <w:rFonts w:ascii="Book Antiqua" w:hAnsi="Book Antiqua" w:cs="Arial"/>
        </w:rPr>
        <w:tab/>
      </w:r>
      <w:r w:rsidR="00780F86" w:rsidRPr="009D45E7">
        <w:rPr>
          <w:rFonts w:ascii="Book Antiqua" w:hAnsi="Book Antiqua" w:cs="Arial"/>
        </w:rPr>
        <w:t>Signed</w:t>
      </w:r>
      <w:r w:rsidR="00780F86" w:rsidRPr="009D45E7">
        <w:rPr>
          <w:rFonts w:ascii="Book Antiqua" w:hAnsi="Book Antiqua" w:cs="Arial"/>
        </w:rPr>
        <w:tab/>
      </w:r>
      <w:r w:rsidR="00185211" w:rsidRPr="009D45E7">
        <w:rPr>
          <w:rFonts w:ascii="Book Antiqua" w:hAnsi="Book Antiqua" w:cs="Arial"/>
          <w:color w:val="0070C0"/>
        </w:rPr>
        <w:t>Judith AJC Gleeson</w:t>
      </w:r>
      <w:r w:rsidR="00780F86" w:rsidRPr="009D45E7">
        <w:rPr>
          <w:rFonts w:ascii="Book Antiqua" w:hAnsi="Book Antiqua" w:cs="Arial"/>
        </w:rPr>
        <w:tab/>
      </w:r>
      <w:r w:rsidR="00780F86" w:rsidRPr="009D45E7">
        <w:rPr>
          <w:rFonts w:ascii="Book Antiqua" w:hAnsi="Book Antiqua" w:cs="Arial"/>
        </w:rPr>
        <w:tab/>
      </w:r>
      <w:r w:rsidR="00780F86" w:rsidRPr="009D45E7">
        <w:rPr>
          <w:rFonts w:ascii="Book Antiqua" w:hAnsi="Book Antiqua" w:cs="Arial"/>
        </w:rPr>
        <w:tab/>
      </w:r>
      <w:r w:rsidR="00780F86" w:rsidRPr="009D45E7">
        <w:rPr>
          <w:rFonts w:ascii="Book Antiqua" w:hAnsi="Book Antiqua" w:cs="Arial"/>
        </w:rPr>
        <w:tab/>
      </w:r>
      <w:r w:rsidR="00185211" w:rsidRPr="009D45E7">
        <w:rPr>
          <w:rFonts w:ascii="Book Antiqua" w:hAnsi="Book Antiqua" w:cs="Arial"/>
        </w:rPr>
        <w:tab/>
      </w:r>
      <w:r w:rsidR="00185211" w:rsidRPr="009D45E7">
        <w:rPr>
          <w:rFonts w:ascii="Book Antiqua" w:hAnsi="Book Antiqua" w:cs="Arial"/>
        </w:rPr>
        <w:tab/>
      </w:r>
      <w:r w:rsidR="00185211" w:rsidRPr="009D45E7">
        <w:rPr>
          <w:rFonts w:ascii="Book Antiqua" w:hAnsi="Book Antiqua" w:cs="Arial"/>
        </w:rPr>
        <w:tab/>
      </w:r>
      <w:r w:rsidR="00185211" w:rsidRPr="009D45E7">
        <w:rPr>
          <w:rFonts w:ascii="Book Antiqua" w:hAnsi="Book Antiqua" w:cs="Arial"/>
        </w:rPr>
        <w:tab/>
      </w:r>
      <w:r w:rsidR="00185211" w:rsidRPr="009D45E7">
        <w:rPr>
          <w:rFonts w:ascii="Book Antiqua" w:hAnsi="Book Antiqua" w:cs="Arial"/>
        </w:rPr>
        <w:tab/>
      </w:r>
      <w:r w:rsidR="00185211" w:rsidRPr="009D45E7">
        <w:rPr>
          <w:rFonts w:ascii="Book Antiqua" w:hAnsi="Book Antiqua" w:cs="Arial"/>
        </w:rPr>
        <w:tab/>
      </w:r>
      <w:r w:rsidR="00AD7978" w:rsidRPr="009D45E7">
        <w:rPr>
          <w:rFonts w:ascii="Book Antiqua" w:hAnsi="Book Antiqua" w:cs="Arial"/>
        </w:rPr>
        <w:tab/>
      </w:r>
      <w:r w:rsidR="00185211" w:rsidRPr="009D45E7">
        <w:rPr>
          <w:rFonts w:ascii="Book Antiqua" w:hAnsi="Book Antiqua" w:cs="Arial"/>
        </w:rPr>
        <w:tab/>
      </w:r>
      <w:r w:rsidR="00AD7978" w:rsidRPr="009D45E7">
        <w:rPr>
          <w:rFonts w:ascii="Book Antiqua" w:hAnsi="Book Antiqua" w:cs="Arial"/>
        </w:rPr>
        <w:t xml:space="preserve">Upper Tribunal </w:t>
      </w:r>
      <w:r w:rsidRPr="009D45E7">
        <w:rPr>
          <w:rFonts w:ascii="Book Antiqua" w:hAnsi="Book Antiqua" w:cs="Arial"/>
        </w:rPr>
        <w:t xml:space="preserve">Judge Gleeson </w:t>
      </w:r>
    </w:p>
    <w:sectPr w:rsidR="00B95326" w:rsidRPr="009D45E7" w:rsidSect="009D45E7">
      <w:headerReference w:type="default" r:id="rId8"/>
      <w:footerReference w:type="defaul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18C66" w14:textId="77777777" w:rsidR="00050D51" w:rsidRDefault="00050D51">
      <w:r>
        <w:separator/>
      </w:r>
    </w:p>
  </w:endnote>
  <w:endnote w:type="continuationSeparator" w:id="0">
    <w:p w14:paraId="42BB80B7" w14:textId="77777777" w:rsidR="00050D51" w:rsidRDefault="0005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F921E" w14:textId="634B8C5D" w:rsidR="0060752B" w:rsidRPr="00617C22" w:rsidRDefault="0060752B" w:rsidP="00593795">
    <w:pPr>
      <w:pStyle w:val="Footer"/>
      <w:jc w:val="center"/>
      <w:rPr>
        <w:rFonts w:ascii="Book Antiqua" w:hAnsi="Book Antiqua" w:cs="Arial"/>
      </w:rPr>
    </w:pPr>
    <w:r w:rsidRPr="00617C22">
      <w:rPr>
        <w:rStyle w:val="PageNumber"/>
        <w:rFonts w:ascii="Book Antiqua" w:hAnsi="Book Antiqua" w:cs="Arial"/>
      </w:rPr>
      <w:fldChar w:fldCharType="begin"/>
    </w:r>
    <w:r w:rsidRPr="00617C22">
      <w:rPr>
        <w:rStyle w:val="PageNumber"/>
        <w:rFonts w:ascii="Book Antiqua" w:hAnsi="Book Antiqua" w:cs="Arial"/>
      </w:rPr>
      <w:instrText xml:space="preserve"> PAGE </w:instrText>
    </w:r>
    <w:r w:rsidRPr="00617C22">
      <w:rPr>
        <w:rStyle w:val="PageNumber"/>
        <w:rFonts w:ascii="Book Antiqua" w:hAnsi="Book Antiqua" w:cs="Arial"/>
      </w:rPr>
      <w:fldChar w:fldCharType="separate"/>
    </w:r>
    <w:r w:rsidR="00847C76">
      <w:rPr>
        <w:rStyle w:val="PageNumber"/>
        <w:rFonts w:ascii="Book Antiqua" w:hAnsi="Book Antiqua" w:cs="Arial"/>
        <w:noProof/>
      </w:rPr>
      <w:t>4</w:t>
    </w:r>
    <w:r w:rsidRPr="00617C2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B2F39" w14:textId="5BBF9205" w:rsidR="0060752B" w:rsidRPr="00617C22" w:rsidRDefault="0060752B" w:rsidP="00090CF9">
    <w:pPr>
      <w:jc w:val="center"/>
      <w:rPr>
        <w:rFonts w:ascii="Book Antiqua" w:hAnsi="Book Antiqua" w:cs="Arial"/>
        <w:b/>
      </w:rPr>
    </w:pPr>
    <w:r w:rsidRPr="00617C22">
      <w:rPr>
        <w:rFonts w:ascii="Book Antiqua" w:hAnsi="Book Antiqua" w:cs="Arial"/>
        <w:b/>
        <w:spacing w:val="-6"/>
      </w:rPr>
      <w:t>©</w:t>
    </w:r>
    <w:r w:rsidRPr="00617C22">
      <w:rPr>
        <w:rFonts w:ascii="Book Antiqua" w:hAnsi="Book Antiqua" w:cs="Arial"/>
        <w:b/>
      </w:rPr>
      <w:t xml:space="preserve"> CROWN COPYRIGHT </w:t>
    </w:r>
    <w:r w:rsidR="000060DE" w:rsidRPr="00617C22">
      <w:rPr>
        <w:rFonts w:ascii="Book Antiqua" w:hAnsi="Book Antiqua" w:cs="Arial"/>
        <w:b/>
      </w:rPr>
      <w:fldChar w:fldCharType="begin"/>
    </w:r>
    <w:r w:rsidR="000060DE" w:rsidRPr="00617C22">
      <w:rPr>
        <w:rFonts w:ascii="Book Antiqua" w:hAnsi="Book Antiqua" w:cs="Arial"/>
        <w:b/>
      </w:rPr>
      <w:instrText xml:space="preserve"> DATE  \@ "yyyy" </w:instrText>
    </w:r>
    <w:r w:rsidR="000060DE" w:rsidRPr="00617C22">
      <w:rPr>
        <w:rFonts w:ascii="Book Antiqua" w:hAnsi="Book Antiqua" w:cs="Arial"/>
        <w:b/>
      </w:rPr>
      <w:fldChar w:fldCharType="separate"/>
    </w:r>
    <w:r w:rsidR="009D45E7" w:rsidRPr="00617C22">
      <w:rPr>
        <w:rFonts w:ascii="Book Antiqua" w:hAnsi="Book Antiqua" w:cs="Arial"/>
        <w:b/>
        <w:noProof/>
      </w:rPr>
      <w:t>2018</w:t>
    </w:r>
    <w:r w:rsidR="000060DE" w:rsidRPr="00617C22">
      <w:rPr>
        <w:rFonts w:ascii="Book Antiqua" w:hAnsi="Book Antiqua"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50D96" w14:textId="77777777" w:rsidR="00050D51" w:rsidRDefault="00050D51">
      <w:r>
        <w:separator/>
      </w:r>
    </w:p>
  </w:footnote>
  <w:footnote w:type="continuationSeparator" w:id="0">
    <w:p w14:paraId="2436C506" w14:textId="77777777" w:rsidR="00050D51" w:rsidRDefault="00050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ADAD9" w14:textId="0B5A92C8" w:rsidR="0060752B" w:rsidRDefault="0060752B" w:rsidP="00593795">
    <w:pPr>
      <w:pStyle w:val="Header"/>
      <w:jc w:val="right"/>
      <w:rPr>
        <w:rFonts w:ascii="Book Antiqua" w:hAnsi="Book Antiqua" w:cs="Arial"/>
        <w:sz w:val="16"/>
        <w:szCs w:val="16"/>
      </w:rPr>
    </w:pPr>
    <w:r w:rsidRPr="00617C22">
      <w:rPr>
        <w:rFonts w:ascii="Book Antiqua" w:hAnsi="Book Antiqua" w:cs="Arial"/>
        <w:sz w:val="16"/>
        <w:szCs w:val="16"/>
      </w:rPr>
      <w:t xml:space="preserve">Appeal Number:  </w:t>
    </w:r>
    <w:r w:rsidR="0049465D" w:rsidRPr="00617C22">
      <w:rPr>
        <w:rFonts w:ascii="Book Antiqua" w:hAnsi="Book Antiqua" w:cs="Arial"/>
        <w:sz w:val="16"/>
        <w:szCs w:val="16"/>
      </w:rPr>
      <w:t>PA/06360/2017</w:t>
    </w:r>
    <w:r w:rsidRPr="00617C22">
      <w:rPr>
        <w:rFonts w:ascii="Book Antiqua" w:hAnsi="Book Antiqua" w:cs="Arial"/>
        <w:sz w:val="16"/>
        <w:szCs w:val="16"/>
      </w:rPr>
      <w:t xml:space="preserve"> </w:t>
    </w:r>
  </w:p>
  <w:p w14:paraId="2CBDB54F" w14:textId="77777777" w:rsidR="00617C22" w:rsidRPr="00617C22" w:rsidRDefault="00617C22"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66"/>
    <w:rsid w:val="00000621"/>
    <w:rsid w:val="000036C2"/>
    <w:rsid w:val="000060DE"/>
    <w:rsid w:val="00021C88"/>
    <w:rsid w:val="00033D3D"/>
    <w:rsid w:val="00050D51"/>
    <w:rsid w:val="00057601"/>
    <w:rsid w:val="00062F02"/>
    <w:rsid w:val="00071A7E"/>
    <w:rsid w:val="000746C0"/>
    <w:rsid w:val="00074D1D"/>
    <w:rsid w:val="00090CF9"/>
    <w:rsid w:val="00092580"/>
    <w:rsid w:val="00093D4D"/>
    <w:rsid w:val="000D0CB5"/>
    <w:rsid w:val="000D5D94"/>
    <w:rsid w:val="000E01B8"/>
    <w:rsid w:val="000F1A0E"/>
    <w:rsid w:val="00113ECC"/>
    <w:rsid w:val="001165A7"/>
    <w:rsid w:val="00167D3A"/>
    <w:rsid w:val="00185211"/>
    <w:rsid w:val="001A3082"/>
    <w:rsid w:val="001B186A"/>
    <w:rsid w:val="001B2F75"/>
    <w:rsid w:val="001B3ABC"/>
    <w:rsid w:val="001C5C75"/>
    <w:rsid w:val="001F2716"/>
    <w:rsid w:val="00201E53"/>
    <w:rsid w:val="00207617"/>
    <w:rsid w:val="0023134B"/>
    <w:rsid w:val="0026015E"/>
    <w:rsid w:val="002667BE"/>
    <w:rsid w:val="00270E13"/>
    <w:rsid w:val="00283659"/>
    <w:rsid w:val="002B243C"/>
    <w:rsid w:val="002B5149"/>
    <w:rsid w:val="002C4492"/>
    <w:rsid w:val="002C650D"/>
    <w:rsid w:val="002C6BD4"/>
    <w:rsid w:val="002D68BF"/>
    <w:rsid w:val="002F6B98"/>
    <w:rsid w:val="00306236"/>
    <w:rsid w:val="00336CBF"/>
    <w:rsid w:val="00343FE3"/>
    <w:rsid w:val="003546C8"/>
    <w:rsid w:val="00361B66"/>
    <w:rsid w:val="003814E7"/>
    <w:rsid w:val="003A7CF2"/>
    <w:rsid w:val="003C5CE5"/>
    <w:rsid w:val="003E267B"/>
    <w:rsid w:val="003E3BB6"/>
    <w:rsid w:val="003E5773"/>
    <w:rsid w:val="003E7CD1"/>
    <w:rsid w:val="00400D69"/>
    <w:rsid w:val="00402B9E"/>
    <w:rsid w:val="00420643"/>
    <w:rsid w:val="004249CB"/>
    <w:rsid w:val="00436115"/>
    <w:rsid w:val="0044127D"/>
    <w:rsid w:val="004448DB"/>
    <w:rsid w:val="00446C9A"/>
    <w:rsid w:val="00452F2B"/>
    <w:rsid w:val="00477193"/>
    <w:rsid w:val="0049465D"/>
    <w:rsid w:val="00496861"/>
    <w:rsid w:val="004A1848"/>
    <w:rsid w:val="004A6F4A"/>
    <w:rsid w:val="004E4717"/>
    <w:rsid w:val="005035E7"/>
    <w:rsid w:val="00507FEC"/>
    <w:rsid w:val="00510F0E"/>
    <w:rsid w:val="005479E1"/>
    <w:rsid w:val="00553E0A"/>
    <w:rsid w:val="005570FD"/>
    <w:rsid w:val="005575EA"/>
    <w:rsid w:val="0057790C"/>
    <w:rsid w:val="00593795"/>
    <w:rsid w:val="00593821"/>
    <w:rsid w:val="005A3B95"/>
    <w:rsid w:val="005A549B"/>
    <w:rsid w:val="005A75FF"/>
    <w:rsid w:val="005D10AB"/>
    <w:rsid w:val="005F1F19"/>
    <w:rsid w:val="00601D8F"/>
    <w:rsid w:val="0060752B"/>
    <w:rsid w:val="00611011"/>
    <w:rsid w:val="00617C22"/>
    <w:rsid w:val="00653E97"/>
    <w:rsid w:val="00676204"/>
    <w:rsid w:val="00684A74"/>
    <w:rsid w:val="00690B8A"/>
    <w:rsid w:val="006F2CF1"/>
    <w:rsid w:val="007038ED"/>
    <w:rsid w:val="00703BC3"/>
    <w:rsid w:val="00704B61"/>
    <w:rsid w:val="00706D63"/>
    <w:rsid w:val="007334B3"/>
    <w:rsid w:val="007552A9"/>
    <w:rsid w:val="00761858"/>
    <w:rsid w:val="00767D59"/>
    <w:rsid w:val="00776E97"/>
    <w:rsid w:val="00780F86"/>
    <w:rsid w:val="007912AD"/>
    <w:rsid w:val="007A37E8"/>
    <w:rsid w:val="007B0824"/>
    <w:rsid w:val="007B5D3C"/>
    <w:rsid w:val="00821B72"/>
    <w:rsid w:val="00823EF2"/>
    <w:rsid w:val="008303B8"/>
    <w:rsid w:val="00833DCE"/>
    <w:rsid w:val="00847C76"/>
    <w:rsid w:val="00871D34"/>
    <w:rsid w:val="00880370"/>
    <w:rsid w:val="008B270C"/>
    <w:rsid w:val="008B382D"/>
    <w:rsid w:val="008B5078"/>
    <w:rsid w:val="008C3D3D"/>
    <w:rsid w:val="008D4131"/>
    <w:rsid w:val="008F1932"/>
    <w:rsid w:val="00920EDC"/>
    <w:rsid w:val="00921062"/>
    <w:rsid w:val="00925AB2"/>
    <w:rsid w:val="009722BC"/>
    <w:rsid w:val="009727A3"/>
    <w:rsid w:val="00987774"/>
    <w:rsid w:val="009A11E8"/>
    <w:rsid w:val="009D45E7"/>
    <w:rsid w:val="009F5220"/>
    <w:rsid w:val="00A15234"/>
    <w:rsid w:val="00A16913"/>
    <w:rsid w:val="00A201AB"/>
    <w:rsid w:val="00A240AA"/>
    <w:rsid w:val="00A253BF"/>
    <w:rsid w:val="00A26A9A"/>
    <w:rsid w:val="00A31C8B"/>
    <w:rsid w:val="00A509FA"/>
    <w:rsid w:val="00A845DC"/>
    <w:rsid w:val="00A87238"/>
    <w:rsid w:val="00AD7978"/>
    <w:rsid w:val="00AF0A6B"/>
    <w:rsid w:val="00AF3B01"/>
    <w:rsid w:val="00B26AA2"/>
    <w:rsid w:val="00B3524D"/>
    <w:rsid w:val="00B40F69"/>
    <w:rsid w:val="00B46616"/>
    <w:rsid w:val="00B7040A"/>
    <w:rsid w:val="00B83391"/>
    <w:rsid w:val="00B95326"/>
    <w:rsid w:val="00B9753D"/>
    <w:rsid w:val="00BC7802"/>
    <w:rsid w:val="00BD4196"/>
    <w:rsid w:val="00BF22CA"/>
    <w:rsid w:val="00BF23BB"/>
    <w:rsid w:val="00C02CA1"/>
    <w:rsid w:val="00C12F97"/>
    <w:rsid w:val="00C26032"/>
    <w:rsid w:val="00C345E1"/>
    <w:rsid w:val="00C43BFD"/>
    <w:rsid w:val="00CA0B29"/>
    <w:rsid w:val="00CB6E35"/>
    <w:rsid w:val="00CE1A46"/>
    <w:rsid w:val="00D20757"/>
    <w:rsid w:val="00D22636"/>
    <w:rsid w:val="00D31AEA"/>
    <w:rsid w:val="00D40FD9"/>
    <w:rsid w:val="00D51814"/>
    <w:rsid w:val="00D53769"/>
    <w:rsid w:val="00D85C13"/>
    <w:rsid w:val="00D9111A"/>
    <w:rsid w:val="00D91BE3"/>
    <w:rsid w:val="00D94AFC"/>
    <w:rsid w:val="00D9651E"/>
    <w:rsid w:val="00DB70AE"/>
    <w:rsid w:val="00DB7283"/>
    <w:rsid w:val="00DD5071"/>
    <w:rsid w:val="00DD5C39"/>
    <w:rsid w:val="00DE7DB7"/>
    <w:rsid w:val="00E00A0A"/>
    <w:rsid w:val="00E066DE"/>
    <w:rsid w:val="00E070BE"/>
    <w:rsid w:val="00E07F57"/>
    <w:rsid w:val="00E147B4"/>
    <w:rsid w:val="00E20264"/>
    <w:rsid w:val="00E30683"/>
    <w:rsid w:val="00E453D8"/>
    <w:rsid w:val="00E50BCE"/>
    <w:rsid w:val="00E574BF"/>
    <w:rsid w:val="00E61292"/>
    <w:rsid w:val="00E77C4D"/>
    <w:rsid w:val="00E80AD9"/>
    <w:rsid w:val="00E81D01"/>
    <w:rsid w:val="00EA49E6"/>
    <w:rsid w:val="00EE43F3"/>
    <w:rsid w:val="00EE45D8"/>
    <w:rsid w:val="00F22430"/>
    <w:rsid w:val="00F22EDA"/>
    <w:rsid w:val="00F97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97D03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5475">
      <w:bodyDiv w:val="1"/>
      <w:marLeft w:val="0"/>
      <w:marRight w:val="0"/>
      <w:marTop w:val="0"/>
      <w:marBottom w:val="0"/>
      <w:divBdr>
        <w:top w:val="none" w:sz="0" w:space="0" w:color="auto"/>
        <w:left w:val="none" w:sz="0" w:space="0" w:color="auto"/>
        <w:bottom w:val="none" w:sz="0" w:space="0" w:color="auto"/>
        <w:right w:val="none" w:sz="0" w:space="0" w:color="auto"/>
      </w:divBdr>
      <w:divsChild>
        <w:div w:id="400951661">
          <w:marLeft w:val="0"/>
          <w:marRight w:val="0"/>
          <w:marTop w:val="0"/>
          <w:marBottom w:val="0"/>
          <w:divBdr>
            <w:top w:val="none" w:sz="0" w:space="0" w:color="auto"/>
            <w:left w:val="none" w:sz="0" w:space="0" w:color="auto"/>
            <w:bottom w:val="none" w:sz="0" w:space="0" w:color="auto"/>
            <w:right w:val="none" w:sz="0" w:space="0" w:color="auto"/>
          </w:divBdr>
          <w:divsChild>
            <w:div w:id="23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8330">
      <w:bodyDiv w:val="1"/>
      <w:marLeft w:val="0"/>
      <w:marRight w:val="0"/>
      <w:marTop w:val="0"/>
      <w:marBottom w:val="0"/>
      <w:divBdr>
        <w:top w:val="none" w:sz="0" w:space="0" w:color="auto"/>
        <w:left w:val="none" w:sz="0" w:space="0" w:color="auto"/>
        <w:bottom w:val="none" w:sz="0" w:space="0" w:color="auto"/>
        <w:right w:val="none" w:sz="0" w:space="0" w:color="auto"/>
      </w:divBdr>
    </w:div>
    <w:div w:id="1109621745">
      <w:bodyDiv w:val="1"/>
      <w:marLeft w:val="0"/>
      <w:marRight w:val="0"/>
      <w:marTop w:val="0"/>
      <w:marBottom w:val="0"/>
      <w:divBdr>
        <w:top w:val="none" w:sz="0" w:space="0" w:color="auto"/>
        <w:left w:val="none" w:sz="0" w:space="0" w:color="auto"/>
        <w:bottom w:val="none" w:sz="0" w:space="0" w:color="auto"/>
        <w:right w:val="none" w:sz="0" w:space="0" w:color="auto"/>
      </w:divBdr>
    </w:div>
    <w:div w:id="1445030651">
      <w:bodyDiv w:val="1"/>
      <w:marLeft w:val="0"/>
      <w:marRight w:val="0"/>
      <w:marTop w:val="0"/>
      <w:marBottom w:val="0"/>
      <w:divBdr>
        <w:top w:val="none" w:sz="0" w:space="0" w:color="auto"/>
        <w:left w:val="none" w:sz="0" w:space="0" w:color="auto"/>
        <w:bottom w:val="none" w:sz="0" w:space="0" w:color="auto"/>
        <w:right w:val="none" w:sz="0" w:space="0" w:color="auto"/>
      </w:divBdr>
    </w:div>
    <w:div w:id="166304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1209</Words>
  <Characters>6029</Characters>
  <Application>Microsoft Office Word</Application>
  <DocSecurity>0</DocSecurity>
  <Lines>50</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2018-07-13T11:25:00Z</dcterms:created>
  <dcterms:modified xsi:type="dcterms:W3CDTF">2018-07-13T11:25:00Z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