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B5" w:rsidRPr="00E13A25" w:rsidRDefault="00CD5FF5" w:rsidP="00012704">
      <w:pPr>
        <w:tabs>
          <w:tab w:val="right" w:pos="9720"/>
        </w:tabs>
        <w:ind w:right="-82"/>
        <w:jc w:val="center"/>
        <w:outlineLvl w:val="0"/>
        <w:rPr>
          <w:rFonts w:ascii="Book Antiqua" w:hAnsi="Book Antiqua" w:cs="Arial"/>
          <w:b/>
          <w:color w:val="000000"/>
          <w:sz w:val="16"/>
          <w:szCs w:val="16"/>
        </w:rPr>
      </w:pPr>
      <w:r w:rsidRPr="00E13A25">
        <w:rPr>
          <w:noProof/>
          <w:sz w:val="16"/>
          <w:szCs w:val="16"/>
        </w:rPr>
        <w:drawing>
          <wp:inline distT="0" distB="0" distL="0" distR="0" wp14:anchorId="0FEFDC45">
            <wp:extent cx="14706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81476" b="-7645"/>
                    <a:stretch>
                      <a:fillRect/>
                    </a:stretch>
                  </pic:blipFill>
                  <pic:spPr bwMode="auto">
                    <a:xfrm>
                      <a:off x="0" y="0"/>
                      <a:ext cx="1470660" cy="1051560"/>
                    </a:xfrm>
                    <a:prstGeom prst="rect">
                      <a:avLst/>
                    </a:prstGeom>
                    <a:noFill/>
                    <a:ln>
                      <a:noFill/>
                    </a:ln>
                  </pic:spPr>
                </pic:pic>
              </a:graphicData>
            </a:graphic>
          </wp:inline>
        </w:drawing>
      </w:r>
    </w:p>
    <w:p w:rsidR="00E13A25" w:rsidRPr="00E13A25" w:rsidRDefault="00E13A25" w:rsidP="00012704">
      <w:pPr>
        <w:tabs>
          <w:tab w:val="right" w:pos="9720"/>
        </w:tabs>
        <w:ind w:right="-82"/>
        <w:jc w:val="center"/>
        <w:outlineLvl w:val="0"/>
        <w:rPr>
          <w:rFonts w:ascii="Book Antiqua" w:hAnsi="Book Antiqua" w:cs="Arial"/>
          <w:b/>
          <w:color w:val="000000"/>
          <w:sz w:val="16"/>
          <w:szCs w:val="16"/>
        </w:rPr>
      </w:pPr>
    </w:p>
    <w:p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rsidR="006E5DB5" w:rsidRDefault="006E5DB5" w:rsidP="00E13A25">
      <w:pPr>
        <w:tabs>
          <w:tab w:val="right" w:pos="8647"/>
        </w:tabs>
        <w:ind w:right="-82"/>
        <w:rPr>
          <w:rFonts w:ascii="Book Antiqua" w:hAnsi="Book Antiqua" w:cs="Arial"/>
          <w:b/>
          <w:bCs/>
          <w:color w:val="000000"/>
          <w:sz w:val="24"/>
          <w:szCs w:val="24"/>
        </w:rPr>
      </w:pPr>
      <w:r w:rsidRPr="004732BE">
        <w:rPr>
          <w:rFonts w:ascii="Book Antiqua" w:hAnsi="Book Antiqua" w:cs="Arial"/>
          <w:b/>
          <w:color w:val="000000"/>
          <w:sz w:val="24"/>
          <w:szCs w:val="24"/>
        </w:rPr>
        <w:t>(Immigration and Asylum Chamber)</w:t>
      </w:r>
      <w:r w:rsidR="00E13A25">
        <w:rPr>
          <w:rFonts w:ascii="Book Antiqua" w:hAnsi="Book Antiqua" w:cs="Arial"/>
          <w:b/>
          <w:color w:val="000000"/>
          <w:sz w:val="24"/>
          <w:szCs w:val="24"/>
        </w:rPr>
        <w:tab/>
      </w:r>
      <w:r w:rsidRPr="004732BE">
        <w:rPr>
          <w:rFonts w:ascii="Book Antiqua" w:hAnsi="Book Antiqua" w:cs="Arial"/>
          <w:b/>
          <w:bCs/>
          <w:color w:val="000000"/>
          <w:sz w:val="24"/>
          <w:szCs w:val="24"/>
        </w:rPr>
        <w:t xml:space="preserve">Appeal Number: </w:t>
      </w:r>
      <w:bookmarkStart w:id="0" w:name="_GoBack"/>
      <w:r w:rsidR="000C5951">
        <w:rPr>
          <w:rFonts w:ascii="Book Antiqua" w:hAnsi="Book Antiqua" w:cs="Arial"/>
          <w:b/>
          <w:bCs/>
          <w:color w:val="000000"/>
          <w:sz w:val="24"/>
          <w:szCs w:val="24"/>
        </w:rPr>
        <w:t>P</w:t>
      </w:r>
      <w:r>
        <w:rPr>
          <w:rFonts w:ascii="Book Antiqua" w:hAnsi="Book Antiqua" w:cs="Arial"/>
          <w:b/>
          <w:bCs/>
          <w:color w:val="000000"/>
          <w:sz w:val="24"/>
          <w:szCs w:val="24"/>
        </w:rPr>
        <w:t>A/</w:t>
      </w:r>
      <w:r w:rsidR="00D9720E">
        <w:rPr>
          <w:rFonts w:ascii="Book Antiqua" w:hAnsi="Book Antiqua" w:cs="Arial"/>
          <w:b/>
          <w:bCs/>
          <w:color w:val="000000"/>
          <w:sz w:val="24"/>
          <w:szCs w:val="24"/>
        </w:rPr>
        <w:t>06368</w:t>
      </w:r>
      <w:r w:rsidR="000C5951">
        <w:rPr>
          <w:rFonts w:ascii="Book Antiqua" w:hAnsi="Book Antiqua" w:cs="Arial"/>
          <w:b/>
          <w:bCs/>
          <w:color w:val="000000"/>
          <w:sz w:val="24"/>
          <w:szCs w:val="24"/>
        </w:rPr>
        <w:t>/2017</w:t>
      </w:r>
      <w:bookmarkEnd w:id="0"/>
    </w:p>
    <w:p w:rsidR="006E5DB5" w:rsidRDefault="006E5DB5" w:rsidP="00E13A25">
      <w:pPr>
        <w:tabs>
          <w:tab w:val="right" w:pos="9720"/>
        </w:tabs>
        <w:ind w:right="-82"/>
        <w:jc w:val="center"/>
        <w:rPr>
          <w:rFonts w:ascii="Book Antiqua" w:hAnsi="Book Antiqua" w:cs="Arial"/>
          <w:b/>
          <w:bCs/>
          <w:color w:val="000000"/>
          <w:sz w:val="24"/>
          <w:szCs w:val="24"/>
        </w:rPr>
      </w:pPr>
    </w:p>
    <w:p w:rsidR="006E5DB5" w:rsidRPr="00633689" w:rsidRDefault="006E5DB5" w:rsidP="00E13A25">
      <w:pPr>
        <w:tabs>
          <w:tab w:val="right" w:pos="9720"/>
        </w:tabs>
        <w:ind w:right="-82"/>
        <w:jc w:val="center"/>
        <w:rPr>
          <w:rFonts w:ascii="Book Antiqua" w:hAnsi="Book Antiqua" w:cs="Arial"/>
          <w:b/>
          <w:bCs/>
          <w:color w:val="000000"/>
          <w:sz w:val="24"/>
          <w:szCs w:val="24"/>
        </w:rPr>
      </w:pPr>
    </w:p>
    <w:p w:rsidR="006E5DB5" w:rsidRPr="004732BE" w:rsidRDefault="006E5DB5" w:rsidP="00E13A25">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rsidR="006E5DB5" w:rsidRDefault="006E5DB5" w:rsidP="00E13A25">
      <w:pPr>
        <w:jc w:val="center"/>
        <w:rPr>
          <w:rFonts w:ascii="Book Antiqua" w:hAnsi="Book Antiqua" w:cs="Arial"/>
          <w:b/>
          <w:sz w:val="24"/>
          <w:szCs w:val="24"/>
          <w:u w:val="single"/>
        </w:rPr>
      </w:pPr>
    </w:p>
    <w:p w:rsidR="00E13A25" w:rsidRPr="004732BE" w:rsidRDefault="00E13A25" w:rsidP="00E13A25">
      <w:pPr>
        <w:jc w:val="center"/>
        <w:rPr>
          <w:rFonts w:ascii="Book Antiqua" w:hAnsi="Book Antiqua" w:cs="Arial"/>
          <w:b/>
          <w:sz w:val="24"/>
          <w:szCs w:val="24"/>
          <w:u w:val="single"/>
        </w:rPr>
      </w:pPr>
    </w:p>
    <w:tbl>
      <w:tblPr>
        <w:tblW w:w="0" w:type="auto"/>
        <w:tblLook w:val="01E0" w:firstRow="1" w:lastRow="1" w:firstColumn="1" w:lastColumn="1" w:noHBand="0" w:noVBand="0"/>
      </w:tblPr>
      <w:tblGrid>
        <w:gridCol w:w="5201"/>
        <w:gridCol w:w="3439"/>
      </w:tblGrid>
      <w:tr w:rsidR="006E5DB5" w:rsidRPr="004732BE" w:rsidTr="00E33C87">
        <w:tc>
          <w:tcPr>
            <w:tcW w:w="6048"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3780" w:type="dxa"/>
          </w:tcPr>
          <w:p w:rsidR="006E5DB5" w:rsidRPr="00E33C87" w:rsidRDefault="006E5DB5" w:rsidP="00E33C87">
            <w:pPr>
              <w:jc w:val="both"/>
              <w:rPr>
                <w:rFonts w:ascii="Book Antiqua" w:hAnsi="Book Antiqua" w:cs="Arial"/>
                <w:b/>
                <w:color w:val="000000"/>
                <w:sz w:val="24"/>
                <w:szCs w:val="24"/>
                <w:lang w:bidi="ta-IN"/>
              </w:rPr>
            </w:pPr>
            <w:r w:rsidRPr="00E33C87">
              <w:rPr>
                <w:rFonts w:ascii="Book Antiqua" w:hAnsi="Book Antiqua" w:cs="Arial"/>
                <w:b/>
                <w:color w:val="000000"/>
                <w:sz w:val="24"/>
                <w:szCs w:val="24"/>
                <w:lang w:bidi="ta-IN"/>
              </w:rPr>
              <w:t>Determination Promulgated</w:t>
            </w:r>
          </w:p>
        </w:tc>
      </w:tr>
      <w:tr w:rsidR="006E5DB5" w:rsidRPr="004732BE" w:rsidTr="00E33C87">
        <w:tc>
          <w:tcPr>
            <w:tcW w:w="6048"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224349">
              <w:rPr>
                <w:rFonts w:ascii="Book Antiqua" w:hAnsi="Book Antiqua" w:cs="Arial"/>
                <w:b/>
                <w:sz w:val="24"/>
                <w:szCs w:val="24"/>
                <w:lang w:bidi="ta-IN"/>
              </w:rPr>
              <w:t>12 February</w:t>
            </w:r>
            <w:r w:rsidR="00DF453B">
              <w:rPr>
                <w:rFonts w:ascii="Book Antiqua" w:hAnsi="Book Antiqua" w:cs="Arial"/>
                <w:b/>
                <w:sz w:val="24"/>
                <w:szCs w:val="24"/>
                <w:lang w:bidi="ta-IN"/>
              </w:rPr>
              <w:t xml:space="preserve"> 201</w:t>
            </w:r>
            <w:r w:rsidR="00224349">
              <w:rPr>
                <w:rFonts w:ascii="Book Antiqua" w:hAnsi="Book Antiqua" w:cs="Arial"/>
                <w:b/>
                <w:sz w:val="24"/>
                <w:szCs w:val="24"/>
                <w:lang w:bidi="ta-IN"/>
              </w:rPr>
              <w:t>8</w:t>
            </w:r>
          </w:p>
        </w:tc>
        <w:tc>
          <w:tcPr>
            <w:tcW w:w="3780" w:type="dxa"/>
          </w:tcPr>
          <w:p w:rsidR="006E5DB5" w:rsidRPr="00E33C87" w:rsidRDefault="00CE114D" w:rsidP="00E33C87">
            <w:pPr>
              <w:jc w:val="both"/>
              <w:rPr>
                <w:rFonts w:ascii="Book Antiqua" w:hAnsi="Book Antiqua" w:cs="Arial"/>
                <w:b/>
                <w:sz w:val="24"/>
                <w:szCs w:val="24"/>
                <w:lang w:bidi="ta-IN"/>
              </w:rPr>
            </w:pPr>
            <w:r>
              <w:rPr>
                <w:rFonts w:ascii="Book Antiqua" w:hAnsi="Book Antiqua" w:cs="Arial"/>
                <w:b/>
                <w:sz w:val="24"/>
                <w:szCs w:val="24"/>
                <w:lang w:bidi="ta-IN"/>
              </w:rPr>
              <w:t>On 15</w:t>
            </w:r>
            <w:r w:rsidRPr="00CE114D">
              <w:rPr>
                <w:rFonts w:ascii="Book Antiqua" w:hAnsi="Book Antiqua" w:cs="Arial"/>
                <w:b/>
                <w:sz w:val="24"/>
                <w:szCs w:val="24"/>
                <w:lang w:bidi="ta-IN"/>
              </w:rPr>
              <w:t xml:space="preserve"> </w:t>
            </w:r>
            <w:r>
              <w:rPr>
                <w:rFonts w:ascii="Book Antiqua" w:hAnsi="Book Antiqua" w:cs="Arial"/>
                <w:b/>
                <w:sz w:val="24"/>
                <w:szCs w:val="24"/>
                <w:lang w:bidi="ta-IN"/>
              </w:rPr>
              <w:t>May</w:t>
            </w:r>
            <w:r w:rsidRPr="00CE114D">
              <w:rPr>
                <w:rFonts w:ascii="Book Antiqua" w:hAnsi="Book Antiqua" w:cs="Arial"/>
                <w:b/>
                <w:sz w:val="24"/>
                <w:szCs w:val="24"/>
                <w:lang w:bidi="ta-IN"/>
              </w:rPr>
              <w:t xml:space="preserve"> 2018</w:t>
            </w:r>
          </w:p>
        </w:tc>
      </w:tr>
      <w:tr w:rsidR="006E5DB5" w:rsidRPr="004732BE" w:rsidTr="00E33C87">
        <w:tc>
          <w:tcPr>
            <w:tcW w:w="6048" w:type="dxa"/>
          </w:tcPr>
          <w:p w:rsidR="006E5DB5" w:rsidRPr="00E33C87" w:rsidRDefault="006E5DB5" w:rsidP="00E33C87">
            <w:pPr>
              <w:jc w:val="both"/>
              <w:rPr>
                <w:rFonts w:ascii="Book Antiqua" w:hAnsi="Book Antiqua" w:cs="Arial"/>
                <w:b/>
                <w:sz w:val="24"/>
                <w:szCs w:val="24"/>
                <w:lang w:bidi="ta-IN"/>
              </w:rPr>
            </w:pPr>
          </w:p>
        </w:tc>
        <w:tc>
          <w:tcPr>
            <w:tcW w:w="3780" w:type="dxa"/>
          </w:tcPr>
          <w:p w:rsidR="00D9720E" w:rsidRDefault="00D9720E" w:rsidP="00E33C87">
            <w:pPr>
              <w:jc w:val="both"/>
              <w:rPr>
                <w:rFonts w:ascii="Book Antiqua" w:hAnsi="Book Antiqua" w:cs="Arial"/>
                <w:sz w:val="24"/>
                <w:szCs w:val="24"/>
                <w:lang w:bidi="ta-IN"/>
              </w:rPr>
            </w:pPr>
          </w:p>
          <w:p w:rsidR="00D9720E" w:rsidRPr="00E33C87" w:rsidRDefault="00D9720E" w:rsidP="00E33C87">
            <w:pPr>
              <w:jc w:val="both"/>
              <w:rPr>
                <w:rFonts w:ascii="Book Antiqua" w:hAnsi="Book Antiqua" w:cs="Arial"/>
                <w:b/>
                <w:sz w:val="24"/>
                <w:szCs w:val="24"/>
                <w:lang w:bidi="ta-IN"/>
              </w:rPr>
            </w:pPr>
          </w:p>
        </w:tc>
      </w:tr>
    </w:tbl>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rsidR="006E5DB5" w:rsidRDefault="006E5DB5" w:rsidP="004732BE">
      <w:pPr>
        <w:jc w:val="center"/>
        <w:outlineLvl w:val="0"/>
        <w:rPr>
          <w:rFonts w:ascii="Book Antiqua" w:hAnsi="Book Antiqua" w:cs="Arial"/>
          <w:b/>
          <w:sz w:val="24"/>
          <w:szCs w:val="24"/>
        </w:rPr>
      </w:pPr>
    </w:p>
    <w:p w:rsidR="006E5DB5" w:rsidRPr="004732BE" w:rsidRDefault="006E5DB5"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Pr="004732BE">
        <w:rPr>
          <w:rFonts w:ascii="Book Antiqua" w:hAnsi="Book Antiqua" w:cs="Arial"/>
          <w:b/>
          <w:color w:val="000000"/>
          <w:sz w:val="24"/>
          <w:szCs w:val="24"/>
        </w:rPr>
        <w:t xml:space="preserve">MANUELL </w:t>
      </w:r>
    </w:p>
    <w:p w:rsidR="006E5DB5" w:rsidRPr="004732BE" w:rsidRDefault="006E5DB5" w:rsidP="004732BE">
      <w:pPr>
        <w:jc w:val="center"/>
        <w:rPr>
          <w:rFonts w:ascii="Book Antiqua" w:hAnsi="Book Antiqua" w:cs="Arial"/>
          <w:b/>
          <w:color w:val="000000"/>
          <w:sz w:val="24"/>
          <w:szCs w:val="24"/>
        </w:rPr>
      </w:pPr>
    </w:p>
    <w:p w:rsidR="006E5DB5" w:rsidRPr="004732BE" w:rsidRDefault="006E5DB5" w:rsidP="004732BE">
      <w:pPr>
        <w:jc w:val="center"/>
        <w:rPr>
          <w:rFonts w:ascii="Book Antiqua" w:hAnsi="Book Antiqua" w:cs="Arial"/>
          <w:b/>
          <w:sz w:val="24"/>
          <w:szCs w:val="24"/>
        </w:rPr>
      </w:pPr>
    </w:p>
    <w:p w:rsidR="00D9720E"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rsidR="00D9720E" w:rsidRDefault="00D9720E" w:rsidP="004732BE">
      <w:pPr>
        <w:jc w:val="center"/>
        <w:outlineLvl w:val="0"/>
        <w:rPr>
          <w:rFonts w:ascii="Book Antiqua" w:hAnsi="Book Antiqua" w:cs="Arial"/>
          <w:b/>
          <w:sz w:val="24"/>
          <w:szCs w:val="24"/>
        </w:rPr>
      </w:pPr>
    </w:p>
    <w:p w:rsidR="00D9720E" w:rsidRDefault="00D9720E" w:rsidP="004732BE">
      <w:pPr>
        <w:jc w:val="center"/>
        <w:outlineLvl w:val="0"/>
        <w:rPr>
          <w:rFonts w:ascii="Book Antiqua" w:hAnsi="Book Antiqua" w:cs="Arial"/>
          <w:b/>
          <w:sz w:val="24"/>
          <w:szCs w:val="24"/>
        </w:rPr>
      </w:pPr>
      <w:r>
        <w:rPr>
          <w:rFonts w:ascii="Book Antiqua" w:hAnsi="Book Antiqua" w:cs="Arial"/>
          <w:b/>
          <w:sz w:val="24"/>
          <w:szCs w:val="24"/>
        </w:rPr>
        <w:t>MR M S</w:t>
      </w:r>
    </w:p>
    <w:p w:rsidR="00224349" w:rsidRDefault="00D9720E" w:rsidP="004732BE">
      <w:pPr>
        <w:jc w:val="center"/>
        <w:outlineLvl w:val="0"/>
        <w:rPr>
          <w:rFonts w:ascii="Book Antiqua" w:hAnsi="Book Antiqua" w:cs="Arial"/>
          <w:b/>
          <w:sz w:val="24"/>
          <w:szCs w:val="24"/>
        </w:rPr>
      </w:pPr>
      <w:r>
        <w:rPr>
          <w:rFonts w:ascii="Book Antiqua" w:hAnsi="Book Antiqua" w:cs="Arial"/>
          <w:b/>
          <w:sz w:val="24"/>
          <w:szCs w:val="24"/>
        </w:rPr>
        <w:t>(ANONYMITY DIRECTION MADE)</w:t>
      </w:r>
    </w:p>
    <w:p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rsidR="00D9720E" w:rsidRDefault="00D9720E" w:rsidP="00224349">
      <w:pPr>
        <w:jc w:val="center"/>
        <w:rPr>
          <w:rFonts w:ascii="Book Antiqua" w:hAnsi="Book Antiqua" w:cs="Arial"/>
          <w:b/>
          <w:sz w:val="24"/>
          <w:szCs w:val="24"/>
        </w:rPr>
      </w:pPr>
      <w:r>
        <w:rPr>
          <w:rFonts w:ascii="Book Antiqua" w:hAnsi="Book Antiqua" w:cs="Arial"/>
          <w:b/>
          <w:sz w:val="24"/>
          <w:szCs w:val="24"/>
        </w:rPr>
        <w:t>a</w:t>
      </w:r>
      <w:r w:rsidR="006E5DB5">
        <w:rPr>
          <w:rFonts w:ascii="Book Antiqua" w:hAnsi="Book Antiqua" w:cs="Arial"/>
          <w:b/>
          <w:sz w:val="24"/>
          <w:szCs w:val="24"/>
        </w:rPr>
        <w:t>n</w:t>
      </w:r>
      <w:r w:rsidR="006E5DB5" w:rsidRPr="004732BE">
        <w:rPr>
          <w:rFonts w:ascii="Book Antiqua" w:hAnsi="Book Antiqua" w:cs="Arial"/>
          <w:b/>
          <w:sz w:val="24"/>
          <w:szCs w:val="24"/>
        </w:rPr>
        <w:t>d</w:t>
      </w:r>
    </w:p>
    <w:p w:rsidR="006E5DB5" w:rsidRDefault="002C3F34" w:rsidP="00224349">
      <w:pPr>
        <w:jc w:val="center"/>
        <w:rPr>
          <w:rFonts w:ascii="Book Antiqua" w:hAnsi="Book Antiqua" w:cs="Arial"/>
          <w:b/>
          <w:sz w:val="24"/>
          <w:szCs w:val="24"/>
        </w:rPr>
      </w:pPr>
      <w:r>
        <w:rPr>
          <w:rFonts w:ascii="Book Antiqua" w:hAnsi="Book Antiqua" w:cs="Arial"/>
          <w:b/>
          <w:sz w:val="24"/>
          <w:szCs w:val="24"/>
        </w:rPr>
        <w:tab/>
      </w:r>
    </w:p>
    <w:bookmarkStart w:id="1" w:name="Text7"/>
    <w:p w:rsidR="00D9720E" w:rsidRDefault="00D9720E" w:rsidP="00D9720E">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p>
    <w:p w:rsidR="00224349" w:rsidRPr="004732BE" w:rsidRDefault="00224349" w:rsidP="00224349">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rsidR="006E5DB5" w:rsidRDefault="006E5DB5" w:rsidP="004732BE">
      <w:pPr>
        <w:rPr>
          <w:rFonts w:ascii="Book Antiqua" w:hAnsi="Book Antiqua" w:cs="Arial"/>
          <w:sz w:val="24"/>
          <w:szCs w:val="24"/>
          <w:u w:val="single"/>
        </w:rPr>
      </w:pPr>
    </w:p>
    <w:p w:rsidR="00E13A25" w:rsidRPr="004732BE" w:rsidRDefault="00E13A25" w:rsidP="004732BE">
      <w:pPr>
        <w:rPr>
          <w:rFonts w:ascii="Book Antiqua" w:hAnsi="Book Antiqua" w:cs="Arial"/>
          <w:sz w:val="24"/>
          <w:szCs w:val="24"/>
          <w:u w:val="single"/>
        </w:rPr>
      </w:pPr>
    </w:p>
    <w:p w:rsidR="00D9720E" w:rsidRDefault="006E5DB5" w:rsidP="00D9720E">
      <w:pPr>
        <w:outlineLvl w:val="0"/>
        <w:rPr>
          <w:rFonts w:ascii="Book Antiqua" w:hAnsi="Book Antiqua" w:cs="Arial"/>
          <w:b/>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rsidR="006E5DB5" w:rsidRDefault="006E5DB5" w:rsidP="00D9720E">
      <w:pPr>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sidR="002875EC">
        <w:rPr>
          <w:rFonts w:ascii="Book Antiqua" w:hAnsi="Book Antiqua" w:cs="Arial"/>
          <w:sz w:val="24"/>
          <w:szCs w:val="24"/>
        </w:rPr>
        <w:t xml:space="preserve">      </w:t>
      </w:r>
      <w:r w:rsidR="00D9720E">
        <w:rPr>
          <w:rFonts w:ascii="Book Antiqua" w:hAnsi="Book Antiqua" w:cs="Arial"/>
          <w:sz w:val="24"/>
          <w:szCs w:val="24"/>
        </w:rPr>
        <w:t>In person</w:t>
      </w:r>
      <w:r w:rsidR="00224349">
        <w:rPr>
          <w:rFonts w:ascii="Book Antiqua" w:hAnsi="Book Antiqua" w:cs="Arial"/>
          <w:sz w:val="24"/>
          <w:szCs w:val="24"/>
        </w:rPr>
        <w:t xml:space="preserve"> </w:t>
      </w:r>
      <w:r>
        <w:rPr>
          <w:rFonts w:ascii="Book Antiqua" w:hAnsi="Book Antiqua" w:cs="Arial"/>
          <w:sz w:val="24"/>
          <w:szCs w:val="24"/>
        </w:rPr>
        <w:tab/>
        <w:t xml:space="preserve"> </w:t>
      </w:r>
      <w:r>
        <w:rPr>
          <w:rFonts w:ascii="Book Antiqua" w:hAnsi="Book Antiqua" w:cs="Arial"/>
          <w:sz w:val="24"/>
          <w:szCs w:val="24"/>
        </w:rPr>
        <w:tab/>
      </w:r>
    </w:p>
    <w:p w:rsidR="00224349"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sidR="00D9720E">
        <w:rPr>
          <w:rFonts w:ascii="Book Antiqua" w:hAnsi="Book Antiqua" w:cs="Arial"/>
          <w:sz w:val="24"/>
          <w:szCs w:val="24"/>
        </w:rPr>
        <w:t xml:space="preserve">Mr L </w:t>
      </w:r>
      <w:proofErr w:type="spellStart"/>
      <w:r w:rsidR="00D9720E">
        <w:rPr>
          <w:rFonts w:ascii="Book Antiqua" w:hAnsi="Book Antiqua" w:cs="Arial"/>
          <w:sz w:val="24"/>
          <w:szCs w:val="24"/>
        </w:rPr>
        <w:t>Tarlow</w:t>
      </w:r>
      <w:proofErr w:type="spellEnd"/>
      <w:r w:rsidR="00D9720E">
        <w:rPr>
          <w:rFonts w:ascii="Book Antiqua" w:hAnsi="Book Antiqua" w:cs="Arial"/>
          <w:sz w:val="24"/>
          <w:szCs w:val="24"/>
        </w:rPr>
        <w:t>, Home Office Presenting Officer</w:t>
      </w:r>
    </w:p>
    <w:p w:rsidR="006E5DB5" w:rsidRDefault="00D9720E" w:rsidP="00E13A25">
      <w:pPr>
        <w:tabs>
          <w:tab w:val="left" w:pos="2520"/>
        </w:tabs>
        <w:outlineLvl w:val="0"/>
        <w:rPr>
          <w:rFonts w:ascii="Book Antiqua" w:hAnsi="Book Antiqua" w:cs="Arial"/>
          <w:sz w:val="24"/>
          <w:szCs w:val="24"/>
        </w:rPr>
      </w:pPr>
      <w:r>
        <w:rPr>
          <w:rFonts w:ascii="Book Antiqua" w:hAnsi="Book Antiqua" w:cs="Arial"/>
          <w:sz w:val="24"/>
          <w:szCs w:val="24"/>
        </w:rPr>
        <w:tab/>
      </w:r>
      <w:r w:rsidR="00224349">
        <w:rPr>
          <w:rFonts w:ascii="Book Antiqua" w:hAnsi="Book Antiqua" w:cs="Arial"/>
          <w:sz w:val="24"/>
          <w:szCs w:val="24"/>
        </w:rPr>
        <w:t xml:space="preserve"> </w:t>
      </w:r>
    </w:p>
    <w:p w:rsidR="006E5DB5" w:rsidRPr="004732BE"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rsidR="006E5DB5" w:rsidRPr="004732BE" w:rsidRDefault="006E5DB5" w:rsidP="004732BE">
      <w:pPr>
        <w:tabs>
          <w:tab w:val="left" w:pos="2520"/>
        </w:tabs>
        <w:jc w:val="both"/>
        <w:rPr>
          <w:rFonts w:ascii="Book Antiqua" w:hAnsi="Book Antiqua" w:cs="Arial"/>
          <w:sz w:val="24"/>
          <w:szCs w:val="24"/>
        </w:rPr>
      </w:pPr>
    </w:p>
    <w:p w:rsidR="006E5DB5" w:rsidRDefault="006E5DB5">
      <w:pPr>
        <w:ind w:left="1440" w:hanging="720"/>
        <w:jc w:val="both"/>
        <w:rPr>
          <w:rFonts w:ascii="Book Antiqua" w:hAnsi="Book Antiqua"/>
          <w:i/>
          <w:sz w:val="24"/>
        </w:rPr>
      </w:pPr>
      <w:r>
        <w:rPr>
          <w:rFonts w:ascii="Book Antiqua" w:hAnsi="Book Antiqua"/>
          <w:i/>
          <w:sz w:val="24"/>
        </w:rPr>
        <w:t>Introduction</w:t>
      </w:r>
    </w:p>
    <w:p w:rsidR="006E5DB5" w:rsidRPr="00F9740D" w:rsidRDefault="006E5DB5">
      <w:pPr>
        <w:ind w:left="1440" w:hanging="720"/>
        <w:jc w:val="both"/>
        <w:rPr>
          <w:rFonts w:ascii="Book Antiqua" w:hAnsi="Book Antiqua"/>
          <w:i/>
          <w:sz w:val="24"/>
        </w:rPr>
      </w:pPr>
    </w:p>
    <w:p w:rsidR="006E5DB5" w:rsidRDefault="006E5DB5">
      <w:pPr>
        <w:ind w:left="1440" w:hanging="720"/>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sidR="00C62776">
        <w:rPr>
          <w:rFonts w:ascii="Book Antiqua" w:hAnsi="Book Antiqua"/>
          <w:sz w:val="24"/>
        </w:rPr>
        <w:t xml:space="preserve">The </w:t>
      </w:r>
      <w:r w:rsidR="00D9720E">
        <w:rPr>
          <w:rFonts w:ascii="Book Antiqua" w:hAnsi="Book Antiqua"/>
          <w:sz w:val="24"/>
        </w:rPr>
        <w:t xml:space="preserve">Appellant </w:t>
      </w:r>
      <w:r w:rsidRPr="004955DC">
        <w:rPr>
          <w:rFonts w:ascii="Book Antiqua" w:hAnsi="Book Antiqua"/>
          <w:sz w:val="24"/>
        </w:rPr>
        <w:t>appeal</w:t>
      </w:r>
      <w:r>
        <w:rPr>
          <w:rFonts w:ascii="Book Antiqua" w:hAnsi="Book Antiqua"/>
          <w:sz w:val="24"/>
        </w:rPr>
        <w:t xml:space="preserve">ed with permission granted by </w:t>
      </w:r>
      <w:r w:rsidR="00224349">
        <w:rPr>
          <w:rFonts w:ascii="Book Antiqua" w:hAnsi="Book Antiqua"/>
          <w:sz w:val="24"/>
        </w:rPr>
        <w:t>Fi</w:t>
      </w:r>
      <w:r w:rsidR="00D9720E">
        <w:rPr>
          <w:rFonts w:ascii="Book Antiqua" w:hAnsi="Book Antiqua"/>
          <w:sz w:val="24"/>
        </w:rPr>
        <w:t>rst-tier Tribunal Judge Osborne</w:t>
      </w:r>
      <w:r w:rsidR="002C3F34">
        <w:rPr>
          <w:rFonts w:ascii="Book Antiqua" w:hAnsi="Book Antiqua"/>
          <w:sz w:val="24"/>
        </w:rPr>
        <w:t xml:space="preserve"> </w:t>
      </w:r>
      <w:r>
        <w:rPr>
          <w:rFonts w:ascii="Book Antiqua" w:hAnsi="Book Antiqua"/>
          <w:sz w:val="24"/>
        </w:rPr>
        <w:t xml:space="preserve">on </w:t>
      </w:r>
      <w:r w:rsidR="00D9720E">
        <w:rPr>
          <w:rFonts w:ascii="Book Antiqua" w:hAnsi="Book Antiqua"/>
          <w:sz w:val="24"/>
        </w:rPr>
        <w:t>13</w:t>
      </w:r>
      <w:r w:rsidR="00224349">
        <w:rPr>
          <w:rFonts w:ascii="Book Antiqua" w:hAnsi="Book Antiqua"/>
          <w:sz w:val="24"/>
        </w:rPr>
        <w:t xml:space="preserve"> November</w:t>
      </w:r>
      <w:r>
        <w:rPr>
          <w:rFonts w:ascii="Book Antiqua" w:hAnsi="Book Antiqua"/>
          <w:sz w:val="24"/>
        </w:rPr>
        <w:t xml:space="preserve"> 201</w:t>
      </w:r>
      <w:r w:rsidR="005C65C6">
        <w:rPr>
          <w:rFonts w:ascii="Book Antiqua" w:hAnsi="Book Antiqua"/>
          <w:sz w:val="24"/>
        </w:rPr>
        <w:t>7</w:t>
      </w:r>
      <w:r w:rsidRPr="004955DC">
        <w:rPr>
          <w:rFonts w:ascii="Book Antiqua" w:hAnsi="Book Antiqua"/>
          <w:sz w:val="24"/>
        </w:rPr>
        <w:t xml:space="preserve"> against the </w:t>
      </w:r>
      <w:r>
        <w:rPr>
          <w:rFonts w:ascii="Book Antiqua" w:hAnsi="Book Antiqua"/>
          <w:sz w:val="24"/>
        </w:rPr>
        <w:lastRenderedPageBreak/>
        <w:t xml:space="preserve">determination of </w:t>
      </w:r>
      <w:r w:rsidR="002C3F34">
        <w:rPr>
          <w:rFonts w:ascii="Book Antiqua" w:hAnsi="Book Antiqua"/>
          <w:sz w:val="24"/>
        </w:rPr>
        <w:t xml:space="preserve">First-tier Tribunal Judge </w:t>
      </w:r>
      <w:r w:rsidR="00D9720E">
        <w:rPr>
          <w:rFonts w:ascii="Book Antiqua" w:hAnsi="Book Antiqua"/>
          <w:sz w:val="24"/>
        </w:rPr>
        <w:t>Lingam</w:t>
      </w:r>
      <w:r w:rsidR="002C3F34">
        <w:rPr>
          <w:rFonts w:ascii="Book Antiqua" w:hAnsi="Book Antiqua"/>
          <w:sz w:val="24"/>
        </w:rPr>
        <w:t xml:space="preserve"> </w:t>
      </w:r>
      <w:r>
        <w:rPr>
          <w:rFonts w:ascii="Book Antiqua" w:hAnsi="Book Antiqua"/>
          <w:sz w:val="24"/>
        </w:rPr>
        <w:t xml:space="preserve">who had </w:t>
      </w:r>
      <w:r w:rsidR="00D9720E">
        <w:rPr>
          <w:rFonts w:ascii="Book Antiqua" w:hAnsi="Book Antiqua"/>
          <w:sz w:val="24"/>
        </w:rPr>
        <w:t>dismissed</w:t>
      </w:r>
      <w:r w:rsidR="002C3F34">
        <w:rPr>
          <w:rFonts w:ascii="Book Antiqua" w:hAnsi="Book Antiqua"/>
          <w:sz w:val="24"/>
        </w:rPr>
        <w:t xml:space="preserve"> </w:t>
      </w:r>
      <w:r w:rsidR="002C3F34">
        <w:rPr>
          <w:rFonts w:ascii="Book Antiqua" w:hAnsi="Book Antiqua" w:cs="Arial"/>
          <w:sz w:val="24"/>
          <w:szCs w:val="24"/>
        </w:rPr>
        <w:t xml:space="preserve">the </w:t>
      </w:r>
      <w:r w:rsidR="00E74EF1">
        <w:rPr>
          <w:rFonts w:ascii="Book Antiqua" w:hAnsi="Book Antiqua" w:cs="Arial"/>
          <w:sz w:val="24"/>
          <w:szCs w:val="24"/>
        </w:rPr>
        <w:t>appeal of the</w:t>
      </w:r>
      <w:r w:rsidR="00C62776">
        <w:rPr>
          <w:rFonts w:ascii="Book Antiqua" w:hAnsi="Book Antiqua" w:cs="Arial"/>
          <w:sz w:val="24"/>
          <w:szCs w:val="24"/>
        </w:rPr>
        <w:t xml:space="preserve"> </w:t>
      </w:r>
      <w:r w:rsidR="002C3F34">
        <w:rPr>
          <w:rFonts w:ascii="Book Antiqua" w:hAnsi="Book Antiqua" w:cs="Arial"/>
          <w:sz w:val="24"/>
          <w:szCs w:val="24"/>
        </w:rPr>
        <w:t>Appellant</w:t>
      </w:r>
      <w:r w:rsidR="00E74EF1">
        <w:rPr>
          <w:rFonts w:ascii="Book Antiqua" w:hAnsi="Book Antiqua" w:cs="Arial"/>
          <w:sz w:val="24"/>
          <w:szCs w:val="24"/>
        </w:rPr>
        <w:t xml:space="preserve"> </w:t>
      </w:r>
      <w:r w:rsidR="000C5951">
        <w:rPr>
          <w:rFonts w:ascii="Book Antiqua" w:hAnsi="Book Antiqua"/>
          <w:sz w:val="24"/>
        </w:rPr>
        <w:t>against the refusal of his international protection claim</w:t>
      </w:r>
      <w:r w:rsidR="00081BEE">
        <w:rPr>
          <w:rFonts w:ascii="Book Antiqua" w:hAnsi="Book Antiqua"/>
          <w:sz w:val="24"/>
        </w:rPr>
        <w:t>.</w:t>
      </w:r>
      <w:r>
        <w:rPr>
          <w:rFonts w:ascii="Book Antiqua" w:hAnsi="Book Antiqua"/>
          <w:sz w:val="24"/>
        </w:rPr>
        <w:t xml:space="preserve">  The decision and reasons was </w:t>
      </w:r>
      <w:r w:rsidRPr="004955DC">
        <w:rPr>
          <w:rFonts w:ascii="Book Antiqua" w:hAnsi="Book Antiqua" w:cs="Arial"/>
          <w:sz w:val="24"/>
          <w:szCs w:val="24"/>
        </w:rPr>
        <w:t>promulgated</w:t>
      </w:r>
      <w:r w:rsidRPr="004955DC">
        <w:rPr>
          <w:rFonts w:ascii="Book Antiqua" w:hAnsi="Book Antiqua"/>
          <w:sz w:val="24"/>
        </w:rPr>
        <w:t xml:space="preserve"> on </w:t>
      </w:r>
      <w:r w:rsidR="00D9720E">
        <w:rPr>
          <w:rFonts w:ascii="Book Antiqua" w:hAnsi="Book Antiqua"/>
          <w:sz w:val="24"/>
        </w:rPr>
        <w:t>17</w:t>
      </w:r>
      <w:r w:rsidR="002E1C7B">
        <w:rPr>
          <w:rFonts w:ascii="Book Antiqua" w:hAnsi="Book Antiqua"/>
          <w:sz w:val="24"/>
        </w:rPr>
        <w:t xml:space="preserve"> </w:t>
      </w:r>
      <w:r w:rsidR="00D9720E">
        <w:rPr>
          <w:rFonts w:ascii="Book Antiqua" w:hAnsi="Book Antiqua"/>
          <w:sz w:val="24"/>
        </w:rPr>
        <w:t>August</w:t>
      </w:r>
      <w:r>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B24DEA">
        <w:rPr>
          <w:rFonts w:ascii="Book Antiqua" w:hAnsi="Book Antiqua"/>
          <w:sz w:val="24"/>
        </w:rPr>
        <w:t>7</w:t>
      </w:r>
      <w:r>
        <w:rPr>
          <w:rFonts w:ascii="Book Antiqua" w:hAnsi="Book Antiqua"/>
          <w:sz w:val="24"/>
        </w:rPr>
        <w:t xml:space="preserve">. </w:t>
      </w:r>
    </w:p>
    <w:p w:rsidR="002C3F34" w:rsidRDefault="002C3F34">
      <w:pPr>
        <w:ind w:left="1440" w:hanging="720"/>
        <w:jc w:val="both"/>
        <w:rPr>
          <w:rFonts w:ascii="Book Antiqua" w:hAnsi="Book Antiqua"/>
          <w:sz w:val="24"/>
        </w:rPr>
      </w:pPr>
    </w:p>
    <w:p w:rsidR="001373C3" w:rsidRDefault="006E5DB5">
      <w:pPr>
        <w:ind w:left="1440" w:hanging="720"/>
        <w:jc w:val="both"/>
        <w:rPr>
          <w:rFonts w:ascii="Book Antiqua" w:hAnsi="Book Antiqua"/>
          <w:sz w:val="24"/>
        </w:rPr>
      </w:pPr>
      <w:r>
        <w:rPr>
          <w:rFonts w:ascii="Book Antiqua" w:hAnsi="Book Antiqua"/>
          <w:sz w:val="24"/>
        </w:rPr>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D9720E">
        <w:rPr>
          <w:rFonts w:ascii="Book Antiqua" w:hAnsi="Book Antiqua" w:cs="Arial"/>
          <w:sz w:val="24"/>
          <w:szCs w:val="24"/>
        </w:rPr>
        <w:t>had claimed to be</w:t>
      </w:r>
      <w:r w:rsidR="005C65C6">
        <w:rPr>
          <w:rFonts w:ascii="Book Antiqua" w:hAnsi="Book Antiqua" w:cs="Arial"/>
          <w:sz w:val="24"/>
          <w:szCs w:val="24"/>
        </w:rPr>
        <w:t xml:space="preserve">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D9720E">
        <w:rPr>
          <w:rFonts w:ascii="Book Antiqua" w:hAnsi="Book Antiqua"/>
          <w:sz w:val="24"/>
        </w:rPr>
        <w:t>Iran</w:t>
      </w:r>
      <w:r w:rsidR="00B24DEA">
        <w:rPr>
          <w:rFonts w:ascii="Book Antiqua" w:hAnsi="Book Antiqua"/>
          <w:sz w:val="24"/>
        </w:rPr>
        <w:t xml:space="preserve">, </w:t>
      </w:r>
      <w:r w:rsidR="001373C3">
        <w:rPr>
          <w:rFonts w:ascii="Book Antiqua" w:hAnsi="Book Antiqua"/>
          <w:sz w:val="24"/>
        </w:rPr>
        <w:t xml:space="preserve">of Kurdish ethnicity, </w:t>
      </w:r>
      <w:r w:rsidR="00B24DEA">
        <w:rPr>
          <w:rFonts w:ascii="Book Antiqua" w:hAnsi="Book Antiqua"/>
          <w:sz w:val="24"/>
        </w:rPr>
        <w:t>bo</w:t>
      </w:r>
      <w:r w:rsidR="00D9720E">
        <w:rPr>
          <w:rFonts w:ascii="Book Antiqua" w:hAnsi="Book Antiqua"/>
          <w:sz w:val="24"/>
        </w:rPr>
        <w:t xml:space="preserve">rn on </w:t>
      </w:r>
      <w:proofErr w:type="gramStart"/>
      <w:r w:rsidR="00E13A25">
        <w:rPr>
          <w:rFonts w:ascii="Book Antiqua" w:hAnsi="Book Antiqua"/>
          <w:sz w:val="24"/>
        </w:rPr>
        <w:t>[ ]</w:t>
      </w:r>
      <w:proofErr w:type="gramEnd"/>
      <w:r w:rsidR="001373C3">
        <w:rPr>
          <w:rFonts w:ascii="Book Antiqua" w:hAnsi="Book Antiqua"/>
          <w:sz w:val="24"/>
        </w:rPr>
        <w:t xml:space="preserve"> 1999, and thus now 19</w:t>
      </w:r>
      <w:r w:rsidR="00D9720E">
        <w:rPr>
          <w:rFonts w:ascii="Book Antiqua" w:hAnsi="Book Antiqua"/>
          <w:sz w:val="24"/>
        </w:rPr>
        <w:t xml:space="preserve"> years of age and an adult in law</w:t>
      </w:r>
      <w:r w:rsidR="002C3F34">
        <w:rPr>
          <w:rFonts w:ascii="Book Antiqua" w:hAnsi="Book Antiqua"/>
          <w:sz w:val="24"/>
        </w:rPr>
        <w:t xml:space="preserve">. </w:t>
      </w:r>
      <w:r w:rsidR="00904DA5">
        <w:rPr>
          <w:rFonts w:ascii="Book Antiqua" w:hAnsi="Book Antiqua"/>
          <w:sz w:val="24"/>
        </w:rPr>
        <w:t xml:space="preserve"> </w:t>
      </w:r>
      <w:r w:rsidR="006212FB">
        <w:rPr>
          <w:rFonts w:ascii="Book Antiqua" w:hAnsi="Book Antiqua"/>
          <w:sz w:val="24"/>
        </w:rPr>
        <w:t>He had entered the United King</w:t>
      </w:r>
      <w:r w:rsidR="001373C3">
        <w:rPr>
          <w:rFonts w:ascii="Book Antiqua" w:hAnsi="Book Antiqua"/>
          <w:sz w:val="24"/>
        </w:rPr>
        <w:t xml:space="preserve">dom illegally in 2013.  His age </w:t>
      </w:r>
      <w:r w:rsidR="002875EC">
        <w:rPr>
          <w:rFonts w:ascii="Book Antiqua" w:hAnsi="Book Antiqua"/>
          <w:sz w:val="24"/>
        </w:rPr>
        <w:t>and his identity were</w:t>
      </w:r>
      <w:r w:rsidR="001373C3">
        <w:rPr>
          <w:rFonts w:ascii="Book Antiqua" w:hAnsi="Book Antiqua"/>
          <w:sz w:val="24"/>
        </w:rPr>
        <w:t xml:space="preserve"> not in dispute and so he was granted discretionary leave to remain until 6 November 2016, although his asylum claim was refused.  He did not appeal that refusal, but revived his </w:t>
      </w:r>
      <w:r w:rsidR="002875EC">
        <w:rPr>
          <w:rFonts w:ascii="Book Antiqua" w:hAnsi="Book Antiqua"/>
          <w:sz w:val="24"/>
        </w:rPr>
        <w:t xml:space="preserve">protection </w:t>
      </w:r>
      <w:r w:rsidR="001373C3">
        <w:rPr>
          <w:rFonts w:ascii="Book Antiqua" w:hAnsi="Book Antiqua"/>
          <w:sz w:val="24"/>
        </w:rPr>
        <w:t xml:space="preserve">claim at the expiry of his discretionary leave to remain.  In the meantime, </w:t>
      </w:r>
      <w:r w:rsidR="002875EC">
        <w:rPr>
          <w:rFonts w:ascii="Book Antiqua" w:hAnsi="Book Antiqua"/>
          <w:sz w:val="24"/>
        </w:rPr>
        <w:t xml:space="preserve">in late 2015, </w:t>
      </w:r>
      <w:r w:rsidR="001373C3">
        <w:rPr>
          <w:rFonts w:ascii="Book Antiqua" w:hAnsi="Book Antiqua"/>
          <w:sz w:val="24"/>
        </w:rPr>
        <w:t>the Home Office had commissioned an expert’s report as to the Appellant’s language, which had questioned his claimed Iranian origin.  At the hearing before Judge Lingam on 1 August 2017, an application for an adjournment had been made</w:t>
      </w:r>
      <w:r w:rsidR="002875EC">
        <w:rPr>
          <w:rFonts w:ascii="Book Antiqua" w:hAnsi="Book Antiqua"/>
          <w:sz w:val="24"/>
        </w:rPr>
        <w:t xml:space="preserve"> by counsel</w:t>
      </w:r>
      <w:r w:rsidR="001373C3">
        <w:rPr>
          <w:rFonts w:ascii="Book Antiqua" w:hAnsi="Book Antiqua"/>
          <w:sz w:val="24"/>
        </w:rPr>
        <w:t>, requesting time to obtain an expert’s report as to the Appellant’s origins, based on language analysis. Judge Lingam refused the application, ruling that it was made too late and that no reasonable time frame for its provision had been put forward.  The judge went on to dismiss the appeal, finding that the Appellant was not at risk on return to Iran.</w:t>
      </w:r>
    </w:p>
    <w:p w:rsidR="006E5DB5" w:rsidRDefault="001373C3">
      <w:pPr>
        <w:ind w:left="1440" w:hanging="720"/>
        <w:jc w:val="both"/>
        <w:rPr>
          <w:rFonts w:ascii="Book Antiqua" w:hAnsi="Book Antiqua"/>
          <w:sz w:val="24"/>
        </w:rPr>
      </w:pPr>
      <w:r>
        <w:rPr>
          <w:rFonts w:ascii="Book Antiqua" w:hAnsi="Book Antiqua"/>
          <w:sz w:val="24"/>
        </w:rPr>
        <w:t xml:space="preserve">  </w:t>
      </w:r>
    </w:p>
    <w:p w:rsidR="002E1C7B" w:rsidRDefault="006E5DB5" w:rsidP="002E1C7B">
      <w:pPr>
        <w:ind w:left="1440" w:hanging="720"/>
        <w:jc w:val="both"/>
        <w:rPr>
          <w:rFonts w:ascii="Book Antiqua" w:hAnsi="Book Antiqua"/>
          <w:sz w:val="24"/>
        </w:rPr>
      </w:pPr>
      <w:r>
        <w:rPr>
          <w:rFonts w:ascii="Book Antiqua" w:hAnsi="Book Antiqua"/>
          <w:sz w:val="24"/>
        </w:rPr>
        <w:t>3</w:t>
      </w:r>
      <w:r w:rsidRPr="004955DC">
        <w:rPr>
          <w:rFonts w:ascii="Book Antiqua" w:hAnsi="Book Antiqua"/>
          <w:sz w:val="24"/>
        </w:rPr>
        <w:t>.</w:t>
      </w:r>
      <w:r w:rsidRPr="004955DC">
        <w:rPr>
          <w:rFonts w:ascii="Book Antiqua" w:hAnsi="Book Antiqua"/>
          <w:sz w:val="24"/>
        </w:rPr>
        <w:tab/>
      </w:r>
      <w:r>
        <w:rPr>
          <w:rFonts w:ascii="Book Antiqua" w:hAnsi="Book Antiqua"/>
          <w:sz w:val="24"/>
        </w:rPr>
        <w:t xml:space="preserve">Permission to appeal was granted </w:t>
      </w:r>
      <w:r w:rsidR="00904851">
        <w:rPr>
          <w:rFonts w:ascii="Book Antiqua" w:hAnsi="Book Antiqua"/>
          <w:sz w:val="24"/>
        </w:rPr>
        <w:t xml:space="preserve">because it was </w:t>
      </w:r>
      <w:r w:rsidR="00656608">
        <w:rPr>
          <w:rFonts w:ascii="Book Antiqua" w:hAnsi="Book Antiqua"/>
          <w:sz w:val="24"/>
        </w:rPr>
        <w:t xml:space="preserve">held </w:t>
      </w:r>
      <w:r w:rsidR="00904851">
        <w:rPr>
          <w:rFonts w:ascii="Book Antiqua" w:hAnsi="Book Antiqua"/>
          <w:sz w:val="24"/>
        </w:rPr>
        <w:t xml:space="preserve">arguable that </w:t>
      </w:r>
      <w:r w:rsidR="00AC4F90">
        <w:rPr>
          <w:rFonts w:ascii="Book Antiqua" w:hAnsi="Book Antiqua"/>
          <w:sz w:val="24"/>
        </w:rPr>
        <w:t xml:space="preserve">the judge had </w:t>
      </w:r>
      <w:r w:rsidR="001373C3">
        <w:rPr>
          <w:rFonts w:ascii="Book Antiqua" w:hAnsi="Book Antiqua"/>
          <w:sz w:val="24"/>
        </w:rPr>
        <w:t>erred when refusing to grant the adjournment application and that procedural fairness had not been afforded to the Appellant.</w:t>
      </w:r>
    </w:p>
    <w:p w:rsidR="00AC4F90" w:rsidRDefault="00AC4F90" w:rsidP="00326D3C">
      <w:pPr>
        <w:ind w:left="1440" w:hanging="720"/>
        <w:jc w:val="both"/>
        <w:rPr>
          <w:rFonts w:ascii="Book Antiqua" w:hAnsi="Book Antiqua"/>
          <w:sz w:val="24"/>
        </w:rPr>
      </w:pPr>
    </w:p>
    <w:p w:rsidR="00C760BF" w:rsidRDefault="001373C3" w:rsidP="00326D3C">
      <w:pPr>
        <w:ind w:left="1440" w:hanging="720"/>
        <w:jc w:val="both"/>
        <w:rPr>
          <w:rFonts w:ascii="Book Antiqua" w:hAnsi="Book Antiqua" w:cs="Arial"/>
          <w:iCs/>
          <w:sz w:val="24"/>
          <w:szCs w:val="24"/>
        </w:rPr>
      </w:pPr>
      <w:r>
        <w:rPr>
          <w:rFonts w:ascii="Book Antiqua" w:hAnsi="Book Antiqua" w:cs="Arial"/>
          <w:iCs/>
          <w:sz w:val="24"/>
          <w:szCs w:val="24"/>
        </w:rPr>
        <w:t>4</w:t>
      </w:r>
      <w:r w:rsidR="006E5DB5">
        <w:rPr>
          <w:rFonts w:ascii="Book Antiqua" w:hAnsi="Book Antiqua" w:cs="Arial"/>
          <w:iCs/>
          <w:sz w:val="24"/>
          <w:szCs w:val="24"/>
        </w:rPr>
        <w:t>.</w:t>
      </w:r>
      <w:r w:rsidR="006E5DB5">
        <w:rPr>
          <w:rFonts w:ascii="Book Antiqua" w:hAnsi="Book Antiqua" w:cs="Arial"/>
          <w:iCs/>
          <w:sz w:val="24"/>
          <w:szCs w:val="24"/>
        </w:rPr>
        <w:tab/>
        <w:t xml:space="preserve">Standard directions were made by the tribunal.  </w:t>
      </w:r>
      <w:r>
        <w:rPr>
          <w:rFonts w:ascii="Book Antiqua" w:hAnsi="Book Antiqua" w:cs="Arial"/>
          <w:iCs/>
          <w:sz w:val="24"/>
          <w:szCs w:val="24"/>
        </w:rPr>
        <w:t xml:space="preserve"> A rule 24 notice opposing the appeal had been served and filed on behalf of the Respondent.</w:t>
      </w:r>
      <w:r w:rsidR="006E5DB5">
        <w:rPr>
          <w:rFonts w:ascii="Book Antiqua" w:hAnsi="Book Antiqua" w:cs="Arial"/>
          <w:iCs/>
          <w:sz w:val="24"/>
          <w:szCs w:val="24"/>
        </w:rPr>
        <w:t xml:space="preserve"> </w:t>
      </w:r>
    </w:p>
    <w:p w:rsidR="001373C3" w:rsidRDefault="001373C3" w:rsidP="00326D3C">
      <w:pPr>
        <w:ind w:left="1440" w:hanging="720"/>
        <w:jc w:val="both"/>
        <w:rPr>
          <w:rFonts w:ascii="Book Antiqua" w:hAnsi="Book Antiqua" w:cs="Arial"/>
          <w:iCs/>
          <w:sz w:val="24"/>
          <w:szCs w:val="24"/>
        </w:rPr>
      </w:pPr>
    </w:p>
    <w:p w:rsidR="001373C3" w:rsidRDefault="001373C3" w:rsidP="00326D3C">
      <w:pPr>
        <w:ind w:left="1440" w:hanging="720"/>
        <w:jc w:val="both"/>
        <w:rPr>
          <w:rFonts w:ascii="Book Antiqua" w:hAnsi="Book Antiqua"/>
          <w:sz w:val="24"/>
        </w:rPr>
      </w:pPr>
      <w:r>
        <w:rPr>
          <w:rFonts w:ascii="Book Antiqua" w:hAnsi="Book Antiqua" w:cs="Arial"/>
          <w:iCs/>
          <w:sz w:val="24"/>
          <w:szCs w:val="24"/>
        </w:rPr>
        <w:t>5.</w:t>
      </w:r>
      <w:r>
        <w:rPr>
          <w:rFonts w:ascii="Book Antiqua" w:hAnsi="Book Antiqua" w:cs="Arial"/>
          <w:iCs/>
          <w:sz w:val="24"/>
          <w:szCs w:val="24"/>
        </w:rPr>
        <w:tab/>
        <w:t>The Appellant appeared in person at the hearing, as noted above.  He speaks fluent English and declined the offer of an interpreter.  He explained that his solicitors were no longer acting for him.  He had decided not to seek alternative representation</w:t>
      </w:r>
      <w:r w:rsidR="00D07414">
        <w:rPr>
          <w:rFonts w:ascii="Book Antiqua" w:hAnsi="Book Antiqua" w:cs="Arial"/>
          <w:iCs/>
          <w:sz w:val="24"/>
          <w:szCs w:val="24"/>
        </w:rPr>
        <w:t>.  He wished for his appeal to proceed.  After checking the facts with the Appellant, the tribunal agreed to proceed, providing such assistance as was proper.  It seemed to the tribunal unlikely that the Appellant would have been able to obtain another representative even if he had wished to do.</w:t>
      </w:r>
    </w:p>
    <w:p w:rsidR="00A661EB" w:rsidRDefault="00A661EB" w:rsidP="00326D3C">
      <w:pPr>
        <w:ind w:left="1440" w:hanging="720"/>
        <w:jc w:val="both"/>
        <w:rPr>
          <w:rFonts w:ascii="Book Antiqua" w:hAnsi="Book Antiqua"/>
          <w:sz w:val="24"/>
        </w:rPr>
      </w:pPr>
    </w:p>
    <w:p w:rsidR="00C760BF" w:rsidRDefault="00C760BF" w:rsidP="00326D3C">
      <w:pPr>
        <w:ind w:left="1440" w:hanging="720"/>
        <w:jc w:val="both"/>
        <w:rPr>
          <w:rFonts w:ascii="Book Antiqua" w:hAnsi="Book Antiqua"/>
          <w:sz w:val="24"/>
        </w:rPr>
      </w:pPr>
    </w:p>
    <w:p w:rsidR="006E5DB5" w:rsidRDefault="006E5DB5" w:rsidP="00326D3C">
      <w:pPr>
        <w:ind w:left="1440" w:hanging="720"/>
        <w:jc w:val="both"/>
        <w:rPr>
          <w:rFonts w:ascii="Book Antiqua" w:hAnsi="Book Antiqua" w:cs="Arial"/>
          <w:i/>
          <w:sz w:val="24"/>
          <w:szCs w:val="24"/>
        </w:rPr>
      </w:pPr>
      <w:r>
        <w:rPr>
          <w:rFonts w:ascii="Book Antiqua" w:hAnsi="Book Antiqua" w:cs="Arial"/>
          <w:i/>
          <w:sz w:val="24"/>
          <w:szCs w:val="24"/>
        </w:rPr>
        <w:lastRenderedPageBreak/>
        <w:t xml:space="preserve">Submissions </w:t>
      </w:r>
    </w:p>
    <w:p w:rsidR="006E5DB5" w:rsidRDefault="006E5DB5" w:rsidP="00326D3C">
      <w:pPr>
        <w:ind w:left="1440" w:hanging="720"/>
        <w:jc w:val="both"/>
        <w:rPr>
          <w:rFonts w:ascii="Book Antiqua" w:hAnsi="Book Antiqua" w:cs="Arial"/>
          <w:i/>
          <w:sz w:val="24"/>
          <w:szCs w:val="24"/>
        </w:rPr>
      </w:pPr>
    </w:p>
    <w:p w:rsidR="006E5DB5" w:rsidRPr="002A479C" w:rsidRDefault="002E1C7B" w:rsidP="00326D3C">
      <w:pPr>
        <w:ind w:left="1440" w:hanging="720"/>
        <w:jc w:val="both"/>
        <w:rPr>
          <w:rFonts w:ascii="Book Antiqua" w:hAnsi="Book Antiqua" w:cs="Arial"/>
          <w:sz w:val="24"/>
          <w:szCs w:val="24"/>
        </w:rPr>
      </w:pPr>
      <w:r>
        <w:rPr>
          <w:rFonts w:ascii="Book Antiqua" w:hAnsi="Book Antiqua" w:cs="Arial"/>
          <w:sz w:val="24"/>
          <w:szCs w:val="24"/>
        </w:rPr>
        <w:t>6</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904DA5">
        <w:rPr>
          <w:rFonts w:ascii="Book Antiqua" w:hAnsi="Book Antiqua"/>
          <w:sz w:val="24"/>
        </w:rPr>
        <w:t>r</w:t>
      </w:r>
      <w:r w:rsidR="007113B1">
        <w:rPr>
          <w:rFonts w:ascii="Book Antiqua" w:hAnsi="Book Antiqua"/>
          <w:sz w:val="24"/>
        </w:rPr>
        <w:t xml:space="preserve"> </w:t>
      </w:r>
      <w:proofErr w:type="spellStart"/>
      <w:r>
        <w:rPr>
          <w:rFonts w:ascii="Book Antiqua" w:hAnsi="Book Antiqua" w:cs="Arial"/>
          <w:sz w:val="24"/>
          <w:szCs w:val="24"/>
        </w:rPr>
        <w:t>Tarlow</w:t>
      </w:r>
      <w:proofErr w:type="spellEnd"/>
      <w:r>
        <w:rPr>
          <w:rFonts w:ascii="Book Antiqua" w:hAnsi="Book Antiqua" w:cs="Arial"/>
          <w:sz w:val="24"/>
          <w:szCs w:val="24"/>
        </w:rPr>
        <w:t xml:space="preserve"> for the Secretary of State for the Home Department</w:t>
      </w:r>
      <w:r w:rsidR="006E5DB5">
        <w:rPr>
          <w:rFonts w:ascii="Book Antiqua" w:hAnsi="Book Antiqua" w:cs="Arial"/>
          <w:sz w:val="24"/>
          <w:szCs w:val="24"/>
        </w:rPr>
        <w:t xml:space="preserve"> </w:t>
      </w:r>
      <w:r w:rsidR="002875EC">
        <w:rPr>
          <w:rFonts w:ascii="Book Antiqua" w:hAnsi="Book Antiqua" w:cs="Arial"/>
          <w:sz w:val="24"/>
          <w:szCs w:val="24"/>
        </w:rPr>
        <w:t xml:space="preserve">opposed the appeal.  He </w:t>
      </w:r>
      <w:r w:rsidR="006E5DB5">
        <w:rPr>
          <w:rFonts w:ascii="Book Antiqua" w:hAnsi="Book Antiqua" w:cs="Arial"/>
          <w:sz w:val="24"/>
          <w:szCs w:val="24"/>
        </w:rPr>
        <w:t xml:space="preserve">relied on the </w:t>
      </w:r>
      <w:r w:rsidR="00B138FC">
        <w:rPr>
          <w:rFonts w:ascii="Book Antiqua" w:hAnsi="Book Antiqua" w:cs="Arial"/>
          <w:sz w:val="24"/>
          <w:szCs w:val="24"/>
        </w:rPr>
        <w:t>rule 24 notice, a copy of which was given to the Appellant.  (The Appellant was given time to read the notice and appeared to have no difficulty in doing so.)</w:t>
      </w:r>
      <w:r w:rsidR="0070048C">
        <w:rPr>
          <w:rFonts w:ascii="Book Antiqua" w:hAnsi="Book Antiqua" w:cs="Arial"/>
          <w:sz w:val="24"/>
          <w:szCs w:val="24"/>
        </w:rPr>
        <w:t xml:space="preserve">  In summary,</w:t>
      </w:r>
      <w:r w:rsidR="006E5DB5">
        <w:rPr>
          <w:rFonts w:ascii="Book Antiqua" w:hAnsi="Book Antiqua" w:cs="Arial"/>
          <w:sz w:val="24"/>
          <w:szCs w:val="24"/>
        </w:rPr>
        <w:t xml:space="preserve"> </w:t>
      </w:r>
      <w:r w:rsidR="00B138FC">
        <w:rPr>
          <w:rFonts w:ascii="Book Antiqua" w:hAnsi="Book Antiqua" w:cs="Arial"/>
          <w:sz w:val="24"/>
          <w:szCs w:val="24"/>
        </w:rPr>
        <w:t xml:space="preserve">Mr </w:t>
      </w:r>
      <w:proofErr w:type="spellStart"/>
      <w:r w:rsidR="00B138FC">
        <w:rPr>
          <w:rFonts w:ascii="Book Antiqua" w:hAnsi="Book Antiqua" w:cs="Arial"/>
          <w:sz w:val="24"/>
          <w:szCs w:val="24"/>
        </w:rPr>
        <w:t>Tarlow</w:t>
      </w:r>
      <w:proofErr w:type="spellEnd"/>
      <w:r w:rsidR="006E5DB5">
        <w:rPr>
          <w:rFonts w:ascii="Book Antiqua" w:hAnsi="Book Antiqua" w:cs="Arial"/>
          <w:sz w:val="24"/>
          <w:szCs w:val="24"/>
        </w:rPr>
        <w:t xml:space="preserve"> </w:t>
      </w:r>
      <w:r w:rsidR="007573EE">
        <w:rPr>
          <w:rFonts w:ascii="Book Antiqua" w:hAnsi="Book Antiqua" w:cs="Arial"/>
          <w:sz w:val="24"/>
          <w:szCs w:val="24"/>
        </w:rPr>
        <w:t>submitted</w:t>
      </w:r>
      <w:r w:rsidR="002A479C">
        <w:rPr>
          <w:rFonts w:ascii="Book Antiqua" w:hAnsi="Book Antiqua" w:cs="Arial"/>
          <w:sz w:val="24"/>
          <w:szCs w:val="24"/>
        </w:rPr>
        <w:t xml:space="preserve"> that the judge </w:t>
      </w:r>
      <w:r w:rsidR="00AC4F90">
        <w:rPr>
          <w:rFonts w:ascii="Book Antiqua" w:hAnsi="Book Antiqua" w:cs="Arial"/>
          <w:sz w:val="24"/>
          <w:szCs w:val="24"/>
        </w:rPr>
        <w:t>had</w:t>
      </w:r>
      <w:r w:rsidR="00A661EB">
        <w:rPr>
          <w:rFonts w:ascii="Book Antiqua" w:hAnsi="Book Antiqua" w:cs="Arial"/>
          <w:sz w:val="24"/>
          <w:szCs w:val="24"/>
        </w:rPr>
        <w:t xml:space="preserve"> </w:t>
      </w:r>
      <w:r w:rsidR="00D07414">
        <w:rPr>
          <w:rFonts w:ascii="Book Antiqua" w:hAnsi="Book Antiqua" w:cs="Arial"/>
          <w:sz w:val="24"/>
          <w:szCs w:val="24"/>
        </w:rPr>
        <w:t xml:space="preserve">considered the </w:t>
      </w:r>
      <w:r w:rsidR="00B138FC">
        <w:rPr>
          <w:rFonts w:ascii="Book Antiqua" w:hAnsi="Book Antiqua" w:cs="Arial"/>
          <w:sz w:val="24"/>
          <w:szCs w:val="24"/>
        </w:rPr>
        <w:t xml:space="preserve">principles set out by the Upper Tribunal in </w:t>
      </w:r>
      <w:proofErr w:type="spellStart"/>
      <w:r w:rsidR="00D07414" w:rsidRPr="00D07414">
        <w:rPr>
          <w:rFonts w:ascii="Book Antiqua" w:hAnsi="Book Antiqua" w:cs="Arial"/>
          <w:sz w:val="24"/>
          <w:szCs w:val="24"/>
          <w:u w:val="single"/>
        </w:rPr>
        <w:t>Nwaigwe</w:t>
      </w:r>
      <w:proofErr w:type="spellEnd"/>
      <w:r w:rsidR="00D07414" w:rsidRPr="00D07414">
        <w:rPr>
          <w:rFonts w:ascii="Book Antiqua" w:hAnsi="Book Antiqua" w:cs="Arial"/>
          <w:sz w:val="24"/>
          <w:szCs w:val="24"/>
          <w:u w:val="single"/>
        </w:rPr>
        <w:t xml:space="preserve"> (adjournment: fairness)</w:t>
      </w:r>
      <w:r w:rsidR="00D07414">
        <w:rPr>
          <w:rFonts w:ascii="Book Antiqua" w:hAnsi="Book Antiqua" w:cs="Arial"/>
          <w:sz w:val="24"/>
          <w:szCs w:val="24"/>
        </w:rPr>
        <w:t xml:space="preserve"> [2014] UKUT 418 (IAC) with appropriate care</w:t>
      </w:r>
      <w:r w:rsidR="00B138FC">
        <w:rPr>
          <w:rFonts w:ascii="Book Antiqua" w:hAnsi="Book Antiqua" w:cs="Arial"/>
          <w:sz w:val="24"/>
          <w:szCs w:val="24"/>
        </w:rPr>
        <w:t>, and had applied them</w:t>
      </w:r>
      <w:r w:rsidR="00D07414">
        <w:rPr>
          <w:rFonts w:ascii="Book Antiqua" w:hAnsi="Book Antiqua" w:cs="Arial"/>
          <w:sz w:val="24"/>
          <w:szCs w:val="24"/>
        </w:rPr>
        <w:t xml:space="preserve">.  The Appellant had been represented throughout and had had ample opportunity through those representatives to obtain any expert’s report which was considered to assist his case.  There had been no prejudice.  Moreover, the judge had treated the Respondent’s expert’s report with great care.  The decision and reasons was safe and should stand. </w:t>
      </w:r>
    </w:p>
    <w:p w:rsidR="006E5DB5" w:rsidRDefault="006E5DB5" w:rsidP="00326D3C">
      <w:pPr>
        <w:ind w:left="1440" w:hanging="720"/>
        <w:jc w:val="both"/>
        <w:rPr>
          <w:rFonts w:ascii="Book Antiqua" w:hAnsi="Book Antiqua" w:cs="Arial"/>
          <w:sz w:val="24"/>
          <w:szCs w:val="24"/>
        </w:rPr>
      </w:pPr>
    </w:p>
    <w:p w:rsidR="006E5DB5" w:rsidRDefault="00241EA5" w:rsidP="00326D3C">
      <w:pPr>
        <w:ind w:left="1440" w:hanging="720"/>
        <w:jc w:val="both"/>
        <w:rPr>
          <w:rFonts w:ascii="Book Antiqua" w:hAnsi="Book Antiqua" w:cs="Arial"/>
          <w:sz w:val="24"/>
          <w:szCs w:val="24"/>
        </w:rPr>
      </w:pPr>
      <w:r>
        <w:rPr>
          <w:rFonts w:ascii="Book Antiqua" w:hAnsi="Book Antiqua" w:cs="Arial"/>
          <w:sz w:val="24"/>
          <w:szCs w:val="24"/>
        </w:rPr>
        <w:t>7</w:t>
      </w:r>
      <w:r w:rsidR="006E5DB5">
        <w:rPr>
          <w:rFonts w:ascii="Book Antiqua" w:hAnsi="Book Antiqua" w:cs="Arial"/>
          <w:sz w:val="24"/>
          <w:szCs w:val="24"/>
        </w:rPr>
        <w:t>.</w:t>
      </w:r>
      <w:r w:rsidR="006E5DB5">
        <w:rPr>
          <w:rFonts w:ascii="Book Antiqua" w:hAnsi="Book Antiqua" w:cs="Arial"/>
          <w:sz w:val="24"/>
          <w:szCs w:val="24"/>
        </w:rPr>
        <w:tab/>
      </w:r>
      <w:r w:rsidR="00D07414">
        <w:rPr>
          <w:rFonts w:ascii="Book Antiqua" w:hAnsi="Book Antiqua" w:cs="Arial"/>
          <w:sz w:val="24"/>
          <w:szCs w:val="24"/>
        </w:rPr>
        <w:t xml:space="preserve">The Appellant had listened to Mr </w:t>
      </w:r>
      <w:proofErr w:type="spellStart"/>
      <w:r w:rsidR="00D07414">
        <w:rPr>
          <w:rFonts w:ascii="Book Antiqua" w:hAnsi="Book Antiqua" w:cs="Arial"/>
          <w:sz w:val="24"/>
          <w:szCs w:val="24"/>
        </w:rPr>
        <w:t>Tarlow’s</w:t>
      </w:r>
      <w:proofErr w:type="spellEnd"/>
      <w:r w:rsidR="00D07414">
        <w:rPr>
          <w:rFonts w:ascii="Book Antiqua" w:hAnsi="Book Antiqua" w:cs="Arial"/>
          <w:sz w:val="24"/>
          <w:szCs w:val="24"/>
        </w:rPr>
        <w:t xml:space="preserve"> submissions and was content to leave the matter to the tribunal.</w:t>
      </w:r>
    </w:p>
    <w:p w:rsidR="001130BC" w:rsidRDefault="001130BC" w:rsidP="00326D3C">
      <w:pPr>
        <w:ind w:left="1440" w:hanging="720"/>
        <w:jc w:val="both"/>
        <w:rPr>
          <w:rFonts w:ascii="Book Antiqua" w:hAnsi="Book Antiqua" w:cs="Arial"/>
          <w:sz w:val="24"/>
          <w:szCs w:val="24"/>
        </w:rPr>
      </w:pPr>
    </w:p>
    <w:p w:rsidR="00DA6F0D" w:rsidRDefault="00DA6F0D">
      <w:pPr>
        <w:ind w:left="1440" w:hanging="720"/>
        <w:jc w:val="both"/>
        <w:rPr>
          <w:rFonts w:ascii="Book Antiqua" w:hAnsi="Book Antiqua" w:cs="Arial"/>
          <w:i/>
          <w:sz w:val="24"/>
          <w:szCs w:val="24"/>
        </w:rPr>
      </w:pPr>
    </w:p>
    <w:p w:rsidR="006E5DB5" w:rsidRDefault="006E5DB5">
      <w:pPr>
        <w:ind w:left="1440" w:hanging="720"/>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rsidR="006E5DB5" w:rsidRDefault="006E5DB5">
      <w:pPr>
        <w:ind w:left="1440" w:hanging="720"/>
        <w:jc w:val="both"/>
        <w:rPr>
          <w:rFonts w:ascii="Book Antiqua" w:hAnsi="Book Antiqua" w:cs="Arial"/>
          <w:sz w:val="24"/>
          <w:szCs w:val="24"/>
        </w:rPr>
      </w:pPr>
    </w:p>
    <w:p w:rsidR="00D07414" w:rsidRDefault="005307EB" w:rsidP="00D07414">
      <w:pPr>
        <w:ind w:left="1440" w:hanging="720"/>
        <w:jc w:val="both"/>
        <w:rPr>
          <w:rFonts w:ascii="Book Antiqua" w:hAnsi="Book Antiqua" w:cs="Arial"/>
          <w:sz w:val="24"/>
          <w:szCs w:val="24"/>
        </w:rPr>
      </w:pPr>
      <w:r>
        <w:rPr>
          <w:rFonts w:ascii="Book Antiqua" w:hAnsi="Book Antiqua" w:cs="Arial"/>
          <w:sz w:val="24"/>
          <w:szCs w:val="24"/>
        </w:rPr>
        <w:t>8</w:t>
      </w:r>
      <w:r w:rsidR="006E5DB5">
        <w:rPr>
          <w:rFonts w:ascii="Book Antiqua" w:hAnsi="Book Antiqua" w:cs="Arial"/>
          <w:sz w:val="24"/>
          <w:szCs w:val="24"/>
        </w:rPr>
        <w:t>.</w:t>
      </w:r>
      <w:r w:rsidR="006E5DB5">
        <w:rPr>
          <w:rFonts w:ascii="Book Antiqua" w:hAnsi="Book Antiqua" w:cs="Arial"/>
          <w:sz w:val="24"/>
          <w:szCs w:val="24"/>
        </w:rPr>
        <w:tab/>
      </w:r>
      <w:r w:rsidR="00D07414">
        <w:rPr>
          <w:rFonts w:ascii="Book Antiqua" w:hAnsi="Book Antiqua" w:cs="Arial"/>
          <w:sz w:val="24"/>
          <w:szCs w:val="24"/>
        </w:rPr>
        <w:t>Procedural fairness is always a most important if not pre-eminent matter.  It seems to the tribunal in the present appeal, however, that the</w:t>
      </w:r>
      <w:r w:rsidR="00DA6F0D">
        <w:rPr>
          <w:rFonts w:ascii="Book Antiqua" w:hAnsi="Book Antiqua" w:cs="Arial"/>
          <w:sz w:val="24"/>
          <w:szCs w:val="24"/>
        </w:rPr>
        <w:t xml:space="preserve"> gr</w:t>
      </w:r>
      <w:r w:rsidR="00A95D86">
        <w:rPr>
          <w:rFonts w:ascii="Book Antiqua" w:hAnsi="Book Antiqua" w:cs="Arial"/>
          <w:sz w:val="24"/>
          <w:szCs w:val="24"/>
        </w:rPr>
        <w:t>ant of permission to appeal was</w:t>
      </w:r>
      <w:r w:rsidR="00241EA5">
        <w:rPr>
          <w:rFonts w:ascii="Book Antiqua" w:hAnsi="Book Antiqua" w:cs="Arial"/>
          <w:sz w:val="24"/>
          <w:szCs w:val="24"/>
        </w:rPr>
        <w:t xml:space="preserve"> </w:t>
      </w:r>
      <w:r w:rsidR="00DA6F0D">
        <w:rPr>
          <w:rFonts w:ascii="Book Antiqua" w:hAnsi="Book Antiqua" w:cs="Arial"/>
          <w:sz w:val="24"/>
          <w:szCs w:val="24"/>
        </w:rPr>
        <w:t xml:space="preserve">generous, </w:t>
      </w:r>
      <w:r w:rsidR="00D07414">
        <w:rPr>
          <w:rFonts w:ascii="Book Antiqua" w:hAnsi="Book Antiqua" w:cs="Arial"/>
          <w:sz w:val="24"/>
          <w:szCs w:val="24"/>
        </w:rPr>
        <w:t xml:space="preserve">if not misconceived.  </w:t>
      </w:r>
    </w:p>
    <w:p w:rsidR="00D07414" w:rsidRDefault="00D07414" w:rsidP="00D07414">
      <w:pPr>
        <w:ind w:left="1440" w:hanging="720"/>
        <w:jc w:val="both"/>
        <w:rPr>
          <w:rFonts w:ascii="Book Antiqua" w:hAnsi="Book Antiqua" w:cs="Arial"/>
          <w:sz w:val="24"/>
          <w:szCs w:val="24"/>
        </w:rPr>
      </w:pPr>
    </w:p>
    <w:p w:rsidR="00561F54" w:rsidRDefault="00D07414" w:rsidP="00D07414">
      <w:pPr>
        <w:ind w:left="1440" w:hanging="720"/>
        <w:jc w:val="both"/>
        <w:rPr>
          <w:rFonts w:ascii="Book Antiqua" w:hAnsi="Book Antiqua" w:cs="Arial"/>
          <w:sz w:val="24"/>
          <w:szCs w:val="24"/>
        </w:rPr>
      </w:pPr>
      <w:r>
        <w:rPr>
          <w:rFonts w:ascii="Book Antiqua" w:hAnsi="Book Antiqua" w:cs="Arial"/>
          <w:sz w:val="24"/>
          <w:szCs w:val="24"/>
        </w:rPr>
        <w:t>9.</w:t>
      </w:r>
      <w:r>
        <w:rPr>
          <w:rFonts w:ascii="Book Antiqua" w:hAnsi="Book Antiqua" w:cs="Arial"/>
          <w:sz w:val="24"/>
          <w:szCs w:val="24"/>
        </w:rPr>
        <w:tab/>
        <w:t xml:space="preserve">In the first place, it is beyond doubt that the Appellant was represented by experienced solicitors until the present Upper Tribunal hearing.  As a minor he was legally aided and so there was the opportunity </w:t>
      </w:r>
      <w:r w:rsidR="00B138FC">
        <w:rPr>
          <w:rFonts w:ascii="Book Antiqua" w:hAnsi="Book Antiqua" w:cs="Arial"/>
          <w:sz w:val="24"/>
          <w:szCs w:val="24"/>
        </w:rPr>
        <w:t xml:space="preserve">for his representatives </w:t>
      </w:r>
      <w:r>
        <w:rPr>
          <w:rFonts w:ascii="Book Antiqua" w:hAnsi="Book Antiqua" w:cs="Arial"/>
          <w:sz w:val="24"/>
          <w:szCs w:val="24"/>
        </w:rPr>
        <w:t xml:space="preserve">to seek an alternative linguistic analysis report from late 2015 onwards.  The issue of whether </w:t>
      </w:r>
      <w:r w:rsidR="00B138FC">
        <w:rPr>
          <w:rFonts w:ascii="Book Antiqua" w:hAnsi="Book Antiqua" w:cs="Arial"/>
          <w:sz w:val="24"/>
          <w:szCs w:val="24"/>
        </w:rPr>
        <w:t xml:space="preserve">Kurdish dialect speaking </w:t>
      </w:r>
      <w:r>
        <w:rPr>
          <w:rFonts w:ascii="Book Antiqua" w:hAnsi="Book Antiqua" w:cs="Arial"/>
          <w:sz w:val="24"/>
          <w:szCs w:val="24"/>
        </w:rPr>
        <w:t>asylum claimant</w:t>
      </w:r>
      <w:r w:rsidR="00B138FC">
        <w:rPr>
          <w:rFonts w:ascii="Book Antiqua" w:hAnsi="Book Antiqua" w:cs="Arial"/>
          <w:sz w:val="24"/>
          <w:szCs w:val="24"/>
        </w:rPr>
        <w:t>s</w:t>
      </w:r>
      <w:r>
        <w:rPr>
          <w:rFonts w:ascii="Book Antiqua" w:hAnsi="Book Antiqua" w:cs="Arial"/>
          <w:sz w:val="24"/>
          <w:szCs w:val="24"/>
        </w:rPr>
        <w:t xml:space="preserve"> are Iranian or Iraqi is a frequent </w:t>
      </w:r>
      <w:r w:rsidR="00561F54">
        <w:rPr>
          <w:rFonts w:ascii="Book Antiqua" w:hAnsi="Book Antiqua" w:cs="Arial"/>
          <w:sz w:val="24"/>
          <w:szCs w:val="24"/>
        </w:rPr>
        <w:t>issue</w:t>
      </w:r>
      <w:r w:rsidR="00B138FC">
        <w:rPr>
          <w:rFonts w:ascii="Book Antiqua" w:hAnsi="Book Antiqua" w:cs="Arial"/>
          <w:sz w:val="24"/>
          <w:szCs w:val="24"/>
        </w:rPr>
        <w:t xml:space="preserve"> and is one of longstanding</w:t>
      </w:r>
      <w:r w:rsidR="00561F54">
        <w:rPr>
          <w:rFonts w:ascii="Book Antiqua" w:hAnsi="Book Antiqua" w:cs="Arial"/>
          <w:sz w:val="24"/>
          <w:szCs w:val="24"/>
        </w:rPr>
        <w:t xml:space="preserve">.  The Home Office refusal placed all or almost all of the Appellant’s claims in issue.  The Home Office expert report was fully reasoned and so an assessment must have been </w:t>
      </w:r>
      <w:r w:rsidR="00B138FC">
        <w:rPr>
          <w:rFonts w:ascii="Book Antiqua" w:hAnsi="Book Antiqua" w:cs="Arial"/>
          <w:sz w:val="24"/>
          <w:szCs w:val="24"/>
        </w:rPr>
        <w:t>made as to whether or not that report</w:t>
      </w:r>
      <w:r w:rsidR="00561F54">
        <w:rPr>
          <w:rFonts w:ascii="Book Antiqua" w:hAnsi="Book Antiqua" w:cs="Arial"/>
          <w:sz w:val="24"/>
          <w:szCs w:val="24"/>
        </w:rPr>
        <w:t xml:space="preserve"> could be successfully challenged, either by way of submissions generally, or by a counter report.  </w:t>
      </w:r>
    </w:p>
    <w:p w:rsidR="00561F54" w:rsidRDefault="00561F54" w:rsidP="00D07414">
      <w:pPr>
        <w:ind w:left="1440" w:hanging="720"/>
        <w:jc w:val="both"/>
        <w:rPr>
          <w:rFonts w:ascii="Book Antiqua" w:hAnsi="Book Antiqua" w:cs="Arial"/>
          <w:sz w:val="24"/>
          <w:szCs w:val="24"/>
        </w:rPr>
      </w:pPr>
    </w:p>
    <w:p w:rsidR="00561F54" w:rsidRDefault="00561F54" w:rsidP="00D07414">
      <w:pPr>
        <w:ind w:left="1440" w:hanging="720"/>
        <w:jc w:val="both"/>
        <w:rPr>
          <w:rFonts w:ascii="Book Antiqua" w:hAnsi="Book Antiqua" w:cs="Arial"/>
          <w:sz w:val="24"/>
          <w:szCs w:val="24"/>
        </w:rPr>
      </w:pPr>
      <w:r>
        <w:rPr>
          <w:rFonts w:ascii="Book Antiqua" w:hAnsi="Book Antiqua" w:cs="Arial"/>
          <w:sz w:val="24"/>
          <w:szCs w:val="24"/>
        </w:rPr>
        <w:t>10.</w:t>
      </w:r>
      <w:r>
        <w:rPr>
          <w:rFonts w:ascii="Book Antiqua" w:hAnsi="Book Antiqua" w:cs="Arial"/>
          <w:sz w:val="24"/>
          <w:szCs w:val="24"/>
        </w:rPr>
        <w:tab/>
        <w:t>At the time of counsel’s adjournment application, no rival expert had been identified to provide a counter report</w:t>
      </w:r>
      <w:r w:rsidR="00B138FC">
        <w:rPr>
          <w:rFonts w:ascii="Book Antiqua" w:hAnsi="Book Antiqua" w:cs="Arial"/>
          <w:sz w:val="24"/>
          <w:szCs w:val="24"/>
        </w:rPr>
        <w:t>, let alone a recognised expert who had agreed to act</w:t>
      </w:r>
      <w:r>
        <w:rPr>
          <w:rFonts w:ascii="Book Antiqua" w:hAnsi="Book Antiqua" w:cs="Arial"/>
          <w:sz w:val="24"/>
          <w:szCs w:val="24"/>
        </w:rPr>
        <w:t xml:space="preserve">.  The reply filed by the Appellant’s solicitors for the PHR several weeks earlier had made no </w:t>
      </w:r>
      <w:r>
        <w:rPr>
          <w:rFonts w:ascii="Book Antiqua" w:hAnsi="Book Antiqua" w:cs="Arial"/>
          <w:sz w:val="24"/>
          <w:szCs w:val="24"/>
        </w:rPr>
        <w:lastRenderedPageBreak/>
        <w:t>adjournment request</w:t>
      </w:r>
      <w:r w:rsidR="00B138FC">
        <w:rPr>
          <w:rFonts w:ascii="Book Antiqua" w:hAnsi="Book Antiqua" w:cs="Arial"/>
          <w:sz w:val="24"/>
          <w:szCs w:val="24"/>
        </w:rPr>
        <w:t>, and stated that the appeal was ready to proceed</w:t>
      </w:r>
      <w:r>
        <w:rPr>
          <w:rFonts w:ascii="Book Antiqua" w:hAnsi="Book Antiqua" w:cs="Arial"/>
          <w:sz w:val="24"/>
          <w:szCs w:val="24"/>
        </w:rPr>
        <w:t xml:space="preserve">.  There was no timetable, nor any evidence whatsoever to suggest that a different view of the Appellant’s language might be advanced on any intellectually respectable basis, e.g., an email from the proposed expert indicating potential flaws in the 2015 report.  At </w:t>
      </w:r>
      <w:r w:rsidR="00B138FC">
        <w:rPr>
          <w:rFonts w:ascii="Book Antiqua" w:hAnsi="Book Antiqua" w:cs="Arial"/>
          <w:sz w:val="24"/>
          <w:szCs w:val="24"/>
        </w:rPr>
        <w:t>best the adjournment application</w:t>
      </w:r>
      <w:r>
        <w:rPr>
          <w:rFonts w:ascii="Book Antiqua" w:hAnsi="Book Antiqua" w:cs="Arial"/>
          <w:sz w:val="24"/>
          <w:szCs w:val="24"/>
        </w:rPr>
        <w:t xml:space="preserve"> was </w:t>
      </w:r>
      <w:r w:rsidR="00B138FC">
        <w:rPr>
          <w:rFonts w:ascii="Book Antiqua" w:hAnsi="Book Antiqua" w:cs="Arial"/>
          <w:sz w:val="24"/>
          <w:szCs w:val="24"/>
        </w:rPr>
        <w:t xml:space="preserve">a </w:t>
      </w:r>
      <w:r>
        <w:rPr>
          <w:rFonts w:ascii="Book Antiqua" w:hAnsi="Book Antiqua" w:cs="Arial"/>
          <w:sz w:val="24"/>
          <w:szCs w:val="24"/>
        </w:rPr>
        <w:t xml:space="preserve">fishing expedition or an attempt to play for time, raised by counsel at the last possible minute. </w:t>
      </w:r>
      <w:r w:rsidR="00B138FC">
        <w:rPr>
          <w:rFonts w:ascii="Book Antiqua" w:hAnsi="Book Antiqua" w:cs="Arial"/>
          <w:sz w:val="24"/>
          <w:szCs w:val="24"/>
        </w:rPr>
        <w:t xml:space="preserve">Even the permission to appeal application identifies no </w:t>
      </w:r>
      <w:r w:rsidR="006731F1">
        <w:rPr>
          <w:rFonts w:ascii="Book Antiqua" w:hAnsi="Book Antiqua" w:cs="Arial"/>
          <w:sz w:val="24"/>
          <w:szCs w:val="24"/>
        </w:rPr>
        <w:t xml:space="preserve">suitable </w:t>
      </w:r>
      <w:r w:rsidR="00B138FC">
        <w:rPr>
          <w:rFonts w:ascii="Book Antiqua" w:hAnsi="Book Antiqua" w:cs="Arial"/>
          <w:sz w:val="24"/>
          <w:szCs w:val="24"/>
        </w:rPr>
        <w:t>expert</w:t>
      </w:r>
      <w:r w:rsidR="006731F1">
        <w:rPr>
          <w:rFonts w:ascii="Book Antiqua" w:hAnsi="Book Antiqua" w:cs="Arial"/>
          <w:sz w:val="24"/>
          <w:szCs w:val="24"/>
        </w:rPr>
        <w:t xml:space="preserve"> nor indeed any flaw in the 2015 report which could easily have been countered.</w:t>
      </w:r>
      <w:r w:rsidR="00B138FC">
        <w:rPr>
          <w:rFonts w:ascii="Book Antiqua" w:hAnsi="Book Antiqua" w:cs="Arial"/>
          <w:sz w:val="24"/>
          <w:szCs w:val="24"/>
        </w:rPr>
        <w:t xml:space="preserve"> </w:t>
      </w:r>
      <w:r>
        <w:rPr>
          <w:rFonts w:ascii="Book Antiqua" w:hAnsi="Book Antiqua" w:cs="Arial"/>
          <w:sz w:val="24"/>
          <w:szCs w:val="24"/>
        </w:rPr>
        <w:t xml:space="preserve"> The overriding objective </w:t>
      </w:r>
      <w:r w:rsidR="006731F1">
        <w:rPr>
          <w:rFonts w:ascii="Book Antiqua" w:hAnsi="Book Antiqua" w:cs="Arial"/>
          <w:sz w:val="24"/>
          <w:szCs w:val="24"/>
        </w:rPr>
        <w:t xml:space="preserve">of the 2014 First-tier Tribunal Rules </w:t>
      </w:r>
      <w:r>
        <w:rPr>
          <w:rFonts w:ascii="Book Antiqua" w:hAnsi="Book Antiqua" w:cs="Arial"/>
          <w:sz w:val="24"/>
          <w:szCs w:val="24"/>
        </w:rPr>
        <w:t>had been ignored.  As an application it had no substance and the experienced judge was right to refuse it.  There was no procedural unfairness and the application (unsupported as it was) verged on an abuse.</w:t>
      </w:r>
    </w:p>
    <w:p w:rsidR="00561F54" w:rsidRDefault="00561F54" w:rsidP="00D07414">
      <w:pPr>
        <w:ind w:left="1440" w:hanging="720"/>
        <w:jc w:val="both"/>
        <w:rPr>
          <w:rFonts w:ascii="Book Antiqua" w:hAnsi="Book Antiqua" w:cs="Arial"/>
          <w:sz w:val="24"/>
          <w:szCs w:val="24"/>
        </w:rPr>
      </w:pPr>
    </w:p>
    <w:p w:rsidR="002875EC" w:rsidRDefault="00561F54" w:rsidP="00D07414">
      <w:pPr>
        <w:ind w:left="1440" w:hanging="720"/>
        <w:jc w:val="both"/>
        <w:rPr>
          <w:rFonts w:ascii="Book Antiqua" w:hAnsi="Book Antiqua" w:cs="Arial"/>
          <w:sz w:val="24"/>
          <w:szCs w:val="24"/>
        </w:rPr>
      </w:pPr>
      <w:r>
        <w:rPr>
          <w:rFonts w:ascii="Book Antiqua" w:hAnsi="Book Antiqua" w:cs="Arial"/>
          <w:sz w:val="24"/>
          <w:szCs w:val="24"/>
        </w:rPr>
        <w:t>11.</w:t>
      </w:r>
      <w:r>
        <w:rPr>
          <w:rFonts w:ascii="Book Antiqua" w:hAnsi="Book Antiqua" w:cs="Arial"/>
          <w:sz w:val="24"/>
          <w:szCs w:val="24"/>
        </w:rPr>
        <w:tab/>
        <w:t xml:space="preserve">If for any reason the tribunal were mistaken to form that view, the question remains as to whether a rival report could have made any difference to the outcome of the appeal.  Judge Lingam found, contrary the Home Office submission, that the Appellant was Iranian as he claimed.  Thus his case was considered on the basis on which he had advanced it, and included consideration of the consequences of illegal exit from Iran.  The judge gave </w:t>
      </w:r>
      <w:r w:rsidR="006731F1">
        <w:rPr>
          <w:rFonts w:ascii="Book Antiqua" w:hAnsi="Book Antiqua" w:cs="Arial"/>
          <w:sz w:val="24"/>
          <w:szCs w:val="24"/>
        </w:rPr>
        <w:t>multi-faceted</w:t>
      </w:r>
      <w:r>
        <w:rPr>
          <w:rFonts w:ascii="Book Antiqua" w:hAnsi="Book Antiqua" w:cs="Arial"/>
          <w:sz w:val="24"/>
          <w:szCs w:val="24"/>
        </w:rPr>
        <w:t xml:space="preserve"> reasons for finding that the Appellant’s claim was not credib</w:t>
      </w:r>
      <w:r w:rsidR="002875EC">
        <w:rPr>
          <w:rFonts w:ascii="Book Antiqua" w:hAnsi="Book Antiqua" w:cs="Arial"/>
          <w:sz w:val="24"/>
          <w:szCs w:val="24"/>
        </w:rPr>
        <w:t>le to the lower standard, which were not dependent on the linguistic analysis report: see [47] onwards of the decision and reasons.</w:t>
      </w:r>
      <w:r w:rsidR="006731F1">
        <w:rPr>
          <w:rFonts w:ascii="Book Antiqua" w:hAnsi="Book Antiqua" w:cs="Arial"/>
          <w:sz w:val="24"/>
          <w:szCs w:val="24"/>
        </w:rPr>
        <w:t xml:space="preserve">  Those reasons</w:t>
      </w:r>
      <w:r w:rsidR="002875EC">
        <w:rPr>
          <w:rFonts w:ascii="Book Antiqua" w:hAnsi="Book Antiqua" w:cs="Arial"/>
          <w:sz w:val="24"/>
          <w:szCs w:val="24"/>
        </w:rPr>
        <w:t xml:space="preserve"> are too n</w:t>
      </w:r>
      <w:r w:rsidR="006731F1">
        <w:rPr>
          <w:rFonts w:ascii="Book Antiqua" w:hAnsi="Book Antiqua" w:cs="Arial"/>
          <w:sz w:val="24"/>
          <w:szCs w:val="24"/>
        </w:rPr>
        <w:t>umerous to summarise here, but contrary to the submissions made in the permission to appeal application, they we</w:t>
      </w:r>
      <w:r w:rsidR="002875EC">
        <w:rPr>
          <w:rFonts w:ascii="Book Antiqua" w:hAnsi="Book Antiqua" w:cs="Arial"/>
          <w:sz w:val="24"/>
          <w:szCs w:val="24"/>
        </w:rPr>
        <w:t xml:space="preserve">re reached against </w:t>
      </w:r>
      <w:r w:rsidR="006731F1">
        <w:rPr>
          <w:rFonts w:ascii="Book Antiqua" w:hAnsi="Book Antiqua" w:cs="Arial"/>
          <w:sz w:val="24"/>
          <w:szCs w:val="24"/>
        </w:rPr>
        <w:t xml:space="preserve">a careful study of </w:t>
      </w:r>
      <w:r w:rsidR="002875EC">
        <w:rPr>
          <w:rFonts w:ascii="Book Antiqua" w:hAnsi="Book Antiqua" w:cs="Arial"/>
          <w:sz w:val="24"/>
          <w:szCs w:val="24"/>
        </w:rPr>
        <w:t xml:space="preserve">the </w:t>
      </w:r>
      <w:r w:rsidR="006731F1">
        <w:rPr>
          <w:rFonts w:ascii="Book Antiqua" w:hAnsi="Book Antiqua" w:cs="Arial"/>
          <w:sz w:val="24"/>
          <w:szCs w:val="24"/>
        </w:rPr>
        <w:t xml:space="preserve">current </w:t>
      </w:r>
      <w:r w:rsidR="002875EC">
        <w:rPr>
          <w:rFonts w:ascii="Book Antiqua" w:hAnsi="Book Antiqua" w:cs="Arial"/>
          <w:sz w:val="24"/>
          <w:szCs w:val="24"/>
        </w:rPr>
        <w:t>country background evidence and are proper and sustainable.  In the light of [67] of the decision and reasons, even a rival linguistic analysis report from the Appellant’s side is most unlikely to have improved the prospects of a successful appea</w:t>
      </w:r>
      <w:r w:rsidR="006731F1">
        <w:rPr>
          <w:rFonts w:ascii="Book Antiqua" w:hAnsi="Book Antiqua" w:cs="Arial"/>
          <w:sz w:val="24"/>
          <w:szCs w:val="24"/>
        </w:rPr>
        <w:t>l and there is no such report against which any such claim can be measured.  It is all speculation.</w:t>
      </w:r>
    </w:p>
    <w:p w:rsidR="001D1A92" w:rsidRDefault="001D1A92">
      <w:pPr>
        <w:ind w:left="1440" w:hanging="720"/>
        <w:jc w:val="both"/>
        <w:rPr>
          <w:rFonts w:ascii="Book Antiqua" w:hAnsi="Book Antiqua" w:cs="Arial"/>
          <w:sz w:val="24"/>
          <w:szCs w:val="24"/>
        </w:rPr>
      </w:pPr>
    </w:p>
    <w:p w:rsidR="00722B4C" w:rsidRDefault="002875EC">
      <w:pPr>
        <w:ind w:left="1440" w:hanging="720"/>
        <w:jc w:val="both"/>
        <w:rPr>
          <w:rFonts w:ascii="Book Antiqua" w:hAnsi="Book Antiqua" w:cs="Arial"/>
          <w:sz w:val="24"/>
          <w:szCs w:val="24"/>
        </w:rPr>
      </w:pPr>
      <w:r>
        <w:rPr>
          <w:rFonts w:ascii="Book Antiqua" w:hAnsi="Book Antiqua" w:cs="Arial"/>
          <w:sz w:val="24"/>
          <w:szCs w:val="24"/>
        </w:rPr>
        <w:t>12</w:t>
      </w:r>
      <w:r w:rsidR="00D00FD7">
        <w:rPr>
          <w:rFonts w:ascii="Book Antiqua" w:hAnsi="Book Antiqua" w:cs="Arial"/>
          <w:sz w:val="24"/>
          <w:szCs w:val="24"/>
        </w:rPr>
        <w:t>.</w:t>
      </w:r>
      <w:r w:rsidR="00D00FD7">
        <w:rPr>
          <w:rFonts w:ascii="Book Antiqua" w:hAnsi="Book Antiqua" w:cs="Arial"/>
          <w:sz w:val="24"/>
          <w:szCs w:val="24"/>
        </w:rPr>
        <w:tab/>
      </w:r>
      <w:r w:rsidR="00264D12">
        <w:rPr>
          <w:rFonts w:ascii="Book Antiqua" w:hAnsi="Book Antiqua" w:cs="Arial"/>
          <w:sz w:val="24"/>
          <w:szCs w:val="24"/>
        </w:rPr>
        <w:t xml:space="preserve">The </w:t>
      </w:r>
      <w:r w:rsidR="00167ACA">
        <w:rPr>
          <w:rFonts w:ascii="Book Antiqua" w:hAnsi="Book Antiqua" w:cs="Arial"/>
          <w:sz w:val="24"/>
          <w:szCs w:val="24"/>
        </w:rPr>
        <w:t>submissions</w:t>
      </w:r>
      <w:r w:rsidR="00264D12">
        <w:rPr>
          <w:rFonts w:ascii="Book Antiqua" w:hAnsi="Book Antiqua" w:cs="Arial"/>
          <w:sz w:val="24"/>
          <w:szCs w:val="24"/>
        </w:rPr>
        <w:t xml:space="preserve"> advanced for the Appellant</w:t>
      </w:r>
      <w:r>
        <w:rPr>
          <w:rFonts w:ascii="Book Antiqua" w:hAnsi="Book Antiqua" w:cs="Arial"/>
          <w:sz w:val="24"/>
          <w:szCs w:val="24"/>
        </w:rPr>
        <w:t xml:space="preserve"> in </w:t>
      </w:r>
      <w:r w:rsidR="00167ACA">
        <w:rPr>
          <w:rFonts w:ascii="Book Antiqua" w:hAnsi="Book Antiqua" w:cs="Arial"/>
          <w:sz w:val="24"/>
          <w:szCs w:val="24"/>
        </w:rPr>
        <w:t>the onwards grounds</w:t>
      </w:r>
      <w:r>
        <w:rPr>
          <w:rFonts w:ascii="Book Antiqua" w:hAnsi="Book Antiqua" w:cs="Arial"/>
          <w:sz w:val="24"/>
          <w:szCs w:val="24"/>
        </w:rPr>
        <w:t xml:space="preserve"> of appeal</w:t>
      </w:r>
      <w:r w:rsidR="00167ACA">
        <w:rPr>
          <w:rFonts w:ascii="Book Antiqua" w:hAnsi="Book Antiqua" w:cs="Arial"/>
          <w:sz w:val="24"/>
          <w:szCs w:val="24"/>
        </w:rPr>
        <w:t xml:space="preserve"> amount</w:t>
      </w:r>
      <w:r>
        <w:rPr>
          <w:rFonts w:ascii="Book Antiqua" w:hAnsi="Book Antiqua" w:cs="Arial"/>
          <w:sz w:val="24"/>
          <w:szCs w:val="24"/>
        </w:rPr>
        <w:t xml:space="preserve">ed </w:t>
      </w:r>
      <w:r w:rsidR="00167ACA">
        <w:rPr>
          <w:rFonts w:ascii="Book Antiqua" w:hAnsi="Book Antiqua" w:cs="Arial"/>
          <w:sz w:val="24"/>
          <w:szCs w:val="24"/>
        </w:rPr>
        <w:t xml:space="preserve">to </w:t>
      </w:r>
      <w:r>
        <w:rPr>
          <w:rFonts w:ascii="Book Antiqua" w:hAnsi="Book Antiqua" w:cs="Arial"/>
          <w:sz w:val="24"/>
          <w:szCs w:val="24"/>
        </w:rPr>
        <w:t>no</w:t>
      </w:r>
      <w:r w:rsidR="00167ACA">
        <w:rPr>
          <w:rFonts w:ascii="Book Antiqua" w:hAnsi="Book Antiqua" w:cs="Arial"/>
          <w:sz w:val="24"/>
          <w:szCs w:val="24"/>
        </w:rPr>
        <w:t xml:space="preserve"> more than disagreement with the</w:t>
      </w:r>
      <w:r>
        <w:rPr>
          <w:rFonts w:ascii="Book Antiqua" w:hAnsi="Book Antiqua" w:cs="Arial"/>
          <w:sz w:val="24"/>
          <w:szCs w:val="24"/>
        </w:rPr>
        <w:t xml:space="preserve"> proper exercise of the experienced</w:t>
      </w:r>
      <w:r w:rsidR="00167ACA">
        <w:rPr>
          <w:rFonts w:ascii="Book Antiqua" w:hAnsi="Book Antiqua" w:cs="Arial"/>
          <w:sz w:val="24"/>
          <w:szCs w:val="24"/>
        </w:rPr>
        <w:t xml:space="preserve"> judge’s </w:t>
      </w:r>
      <w:r>
        <w:rPr>
          <w:rFonts w:ascii="Book Antiqua" w:hAnsi="Book Antiqua" w:cs="Arial"/>
          <w:sz w:val="24"/>
          <w:szCs w:val="24"/>
        </w:rPr>
        <w:t xml:space="preserve">discretion and ultimate </w:t>
      </w:r>
      <w:r w:rsidR="00167ACA">
        <w:rPr>
          <w:rFonts w:ascii="Book Antiqua" w:hAnsi="Book Antiqua" w:cs="Arial"/>
          <w:sz w:val="24"/>
          <w:szCs w:val="24"/>
        </w:rPr>
        <w:t xml:space="preserve">decision. </w:t>
      </w:r>
      <w:r w:rsidR="004274FB">
        <w:rPr>
          <w:rFonts w:ascii="Book Antiqua" w:hAnsi="Book Antiqua" w:cs="Arial"/>
          <w:sz w:val="24"/>
          <w:szCs w:val="24"/>
        </w:rPr>
        <w:t xml:space="preserve">The tribunal finds that </w:t>
      </w:r>
      <w:r w:rsidR="00E44078">
        <w:rPr>
          <w:rFonts w:ascii="Book Antiqua" w:hAnsi="Book Antiqua" w:cs="Arial"/>
          <w:sz w:val="24"/>
          <w:szCs w:val="24"/>
        </w:rPr>
        <w:t>th</w:t>
      </w:r>
      <w:r w:rsidR="00E44A65">
        <w:rPr>
          <w:rFonts w:ascii="Book Antiqua" w:hAnsi="Book Antiqua" w:cs="Arial"/>
          <w:sz w:val="24"/>
          <w:szCs w:val="24"/>
        </w:rPr>
        <w:t>e onwards</w:t>
      </w:r>
      <w:r w:rsidR="00E44078">
        <w:rPr>
          <w:rFonts w:ascii="Book Antiqua" w:hAnsi="Book Antiqua" w:cs="Arial"/>
          <w:sz w:val="24"/>
          <w:szCs w:val="24"/>
        </w:rPr>
        <w:t xml:space="preserve"> appeal</w:t>
      </w:r>
      <w:r w:rsidR="001E7637">
        <w:rPr>
          <w:rFonts w:ascii="Book Antiqua" w:hAnsi="Book Antiqua" w:cs="Arial"/>
          <w:sz w:val="24"/>
          <w:szCs w:val="24"/>
        </w:rPr>
        <w:t xml:space="preserve"> has</w:t>
      </w:r>
      <w:r w:rsidR="00E44078">
        <w:rPr>
          <w:rFonts w:ascii="Book Antiqua" w:hAnsi="Book Antiqua" w:cs="Arial"/>
          <w:sz w:val="24"/>
          <w:szCs w:val="24"/>
        </w:rPr>
        <w:t xml:space="preserve"> no substance and </w:t>
      </w:r>
      <w:r w:rsidR="005D153E">
        <w:rPr>
          <w:rFonts w:ascii="Book Antiqua" w:hAnsi="Book Antiqua" w:cs="Arial"/>
          <w:sz w:val="24"/>
          <w:szCs w:val="24"/>
        </w:rPr>
        <w:t xml:space="preserve">that </w:t>
      </w:r>
      <w:r w:rsidR="004274FB">
        <w:rPr>
          <w:rFonts w:ascii="Book Antiqua" w:hAnsi="Book Antiqua" w:cs="Arial"/>
          <w:sz w:val="24"/>
          <w:szCs w:val="24"/>
        </w:rPr>
        <w:t>there was no material 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 xml:space="preserve">. </w:t>
      </w:r>
    </w:p>
    <w:p w:rsidR="008E6319" w:rsidRDefault="008E6319">
      <w:pPr>
        <w:ind w:left="1440" w:hanging="720"/>
        <w:jc w:val="both"/>
        <w:rPr>
          <w:rFonts w:ascii="Book Antiqua" w:hAnsi="Book Antiqua" w:cs="Arial"/>
          <w:sz w:val="24"/>
          <w:szCs w:val="24"/>
        </w:rPr>
      </w:pPr>
    </w:p>
    <w:p w:rsidR="00E13A25" w:rsidRDefault="00E13A25">
      <w:pPr>
        <w:ind w:left="1440" w:hanging="720"/>
        <w:jc w:val="both"/>
        <w:rPr>
          <w:rFonts w:ascii="Book Antiqua" w:hAnsi="Book Antiqua" w:cs="Arial"/>
          <w:sz w:val="24"/>
          <w:szCs w:val="24"/>
        </w:rPr>
      </w:pPr>
    </w:p>
    <w:p w:rsidR="00E13A25" w:rsidRDefault="00E13A25">
      <w:pPr>
        <w:ind w:left="1440" w:hanging="720"/>
        <w:jc w:val="both"/>
        <w:rPr>
          <w:rFonts w:ascii="Book Antiqua" w:hAnsi="Book Antiqua" w:cs="Arial"/>
          <w:sz w:val="24"/>
          <w:szCs w:val="24"/>
        </w:rPr>
      </w:pPr>
    </w:p>
    <w:p w:rsidR="00E13A25" w:rsidRDefault="00E13A25">
      <w:pPr>
        <w:ind w:left="1440" w:hanging="720"/>
        <w:jc w:val="both"/>
        <w:rPr>
          <w:rFonts w:ascii="Book Antiqua" w:hAnsi="Book Antiqua" w:cs="Arial"/>
          <w:sz w:val="24"/>
          <w:szCs w:val="24"/>
        </w:rPr>
      </w:pPr>
    </w:p>
    <w:p w:rsidR="006E5DB5" w:rsidRDefault="006E5DB5">
      <w:pPr>
        <w:ind w:left="1440" w:hanging="720"/>
        <w:jc w:val="both"/>
        <w:rPr>
          <w:rFonts w:ascii="Book Antiqua" w:hAnsi="Book Antiqua"/>
          <w:b/>
          <w:sz w:val="24"/>
          <w:u w:val="single"/>
        </w:rPr>
      </w:pPr>
      <w:r w:rsidRPr="004955DC">
        <w:rPr>
          <w:rFonts w:ascii="Book Antiqua" w:hAnsi="Book Antiqua"/>
          <w:b/>
          <w:sz w:val="24"/>
          <w:u w:val="single"/>
        </w:rPr>
        <w:t>DECISION</w:t>
      </w:r>
    </w:p>
    <w:p w:rsidR="00E44A65" w:rsidRDefault="00E44A65">
      <w:pPr>
        <w:ind w:left="1440" w:hanging="720"/>
        <w:jc w:val="both"/>
        <w:rPr>
          <w:rFonts w:ascii="Book Antiqua" w:hAnsi="Book Antiqua"/>
          <w:b/>
          <w:sz w:val="24"/>
          <w:u w:val="single"/>
        </w:rPr>
      </w:pPr>
    </w:p>
    <w:p w:rsidR="00E44A65" w:rsidRPr="00E44A65" w:rsidRDefault="00E44A65">
      <w:pPr>
        <w:ind w:left="1440" w:hanging="720"/>
        <w:jc w:val="both"/>
        <w:rPr>
          <w:rFonts w:ascii="Book Antiqua" w:hAnsi="Book Antiqua"/>
          <w:sz w:val="24"/>
        </w:rPr>
      </w:pPr>
      <w:r>
        <w:rPr>
          <w:rFonts w:ascii="Book Antiqua" w:hAnsi="Book Antiqua"/>
          <w:sz w:val="24"/>
        </w:rPr>
        <w:t>The appeal is dismissed</w:t>
      </w:r>
    </w:p>
    <w:p w:rsidR="006E5DB5" w:rsidRPr="004955DC" w:rsidRDefault="006E5DB5">
      <w:pPr>
        <w:ind w:left="1440" w:hanging="720"/>
        <w:jc w:val="both"/>
        <w:rPr>
          <w:rFonts w:ascii="Book Antiqua" w:hAnsi="Book Antiqua"/>
          <w:b/>
          <w:sz w:val="24"/>
          <w:u w:val="single"/>
        </w:rPr>
      </w:pPr>
    </w:p>
    <w:p w:rsidR="006E5DB5" w:rsidRDefault="006E5DB5" w:rsidP="00D00FD7">
      <w:pPr>
        <w:ind w:left="720"/>
        <w:jc w:val="both"/>
        <w:rPr>
          <w:rFonts w:ascii="Book Antiqua" w:hAnsi="Book Antiqua"/>
          <w:color w:val="000000"/>
          <w:sz w:val="24"/>
          <w:szCs w:val="24"/>
        </w:rPr>
      </w:pPr>
      <w:r w:rsidRPr="002C718C">
        <w:rPr>
          <w:rFonts w:ascii="Book Antiqua" w:hAnsi="Book Antiqua" w:cs="Arial"/>
          <w:color w:val="000000"/>
          <w:sz w:val="24"/>
          <w:szCs w:val="24"/>
        </w:rPr>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Pr>
          <w:rFonts w:ascii="Book Antiqua" w:hAnsi="Book Antiqua" w:cs="Arial"/>
          <w:color w:val="000000"/>
          <w:sz w:val="24"/>
          <w:szCs w:val="24"/>
        </w:rPr>
        <w:t xml:space="preserve"> material 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rsidR="006E5DB5" w:rsidRDefault="006E5DB5" w:rsidP="00EA0D43">
      <w:pPr>
        <w:jc w:val="both"/>
        <w:rPr>
          <w:rFonts w:ascii="Book Antiqua" w:hAnsi="Book Antiqua"/>
          <w:color w:val="000000"/>
          <w:sz w:val="24"/>
          <w:szCs w:val="24"/>
        </w:rPr>
      </w:pPr>
      <w:r>
        <w:rPr>
          <w:rFonts w:ascii="Book Antiqua" w:hAnsi="Book Antiqua"/>
          <w:color w:val="000000"/>
          <w:sz w:val="24"/>
          <w:szCs w:val="24"/>
        </w:rPr>
        <w:tab/>
      </w:r>
    </w:p>
    <w:p w:rsidR="00E13A25" w:rsidRPr="002C718C" w:rsidRDefault="00E13A25" w:rsidP="00EA0D43">
      <w:pPr>
        <w:jc w:val="both"/>
        <w:rPr>
          <w:rFonts w:ascii="Book Antiqua" w:hAnsi="Book Antiqua" w:cs="Arial"/>
          <w:sz w:val="24"/>
          <w:szCs w:val="24"/>
        </w:rPr>
      </w:pPr>
    </w:p>
    <w:p w:rsidR="006E5DB5" w:rsidRPr="003802B9" w:rsidRDefault="006E5DB5" w:rsidP="002C718C">
      <w:pPr>
        <w:ind w:firstLine="720"/>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1B1F69">
        <w:rPr>
          <w:rFonts w:ascii="Book Antiqua" w:hAnsi="Book Antiqua" w:cs="Arial"/>
          <w:sz w:val="24"/>
          <w:szCs w:val="24"/>
        </w:rPr>
        <w:t>12</w:t>
      </w:r>
      <w:r w:rsidR="00D00FD7">
        <w:rPr>
          <w:rFonts w:ascii="Book Antiqua" w:hAnsi="Book Antiqua" w:cs="Arial"/>
          <w:sz w:val="24"/>
          <w:szCs w:val="24"/>
        </w:rPr>
        <w:t xml:space="preserve"> February 2018</w:t>
      </w:r>
    </w:p>
    <w:p w:rsidR="006E5DB5" w:rsidRDefault="006E5DB5" w:rsidP="002C718C">
      <w:pPr>
        <w:ind w:left="1440" w:hanging="720"/>
        <w:jc w:val="both"/>
        <w:rPr>
          <w:rFonts w:ascii="Book Antiqua" w:hAnsi="Book Antiqua" w:cs="Arial"/>
          <w:b/>
          <w:sz w:val="24"/>
          <w:szCs w:val="24"/>
        </w:rPr>
      </w:pPr>
    </w:p>
    <w:p w:rsidR="006E5DB5" w:rsidRDefault="006E5DB5" w:rsidP="00FF3109">
      <w:pPr>
        <w:ind w:left="1440" w:hanging="720"/>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w:t>
      </w:r>
      <w:proofErr w:type="spellStart"/>
      <w:r w:rsidRPr="002C718C">
        <w:rPr>
          <w:rFonts w:ascii="Book Antiqua" w:hAnsi="Book Antiqua" w:cs="Arial"/>
          <w:b/>
          <w:sz w:val="24"/>
          <w:szCs w:val="24"/>
        </w:rPr>
        <w:t>Manuell</w:t>
      </w:r>
      <w:proofErr w:type="spellEnd"/>
      <w:r w:rsidRPr="002C718C">
        <w:rPr>
          <w:rFonts w:ascii="Book Antiqua" w:hAnsi="Book Antiqua" w:cs="Arial"/>
          <w:b/>
          <w:sz w:val="24"/>
          <w:szCs w:val="24"/>
        </w:rPr>
        <w:t xml:space="preserve"> </w:t>
      </w:r>
    </w:p>
    <w:p w:rsidR="006E5DB5" w:rsidRDefault="006E5DB5" w:rsidP="00FF3109">
      <w:pPr>
        <w:ind w:left="1440" w:hanging="720"/>
        <w:jc w:val="both"/>
        <w:rPr>
          <w:rFonts w:ascii="Book Antiqua" w:hAnsi="Book Antiqua" w:cs="Arial"/>
          <w:b/>
          <w:sz w:val="24"/>
          <w:szCs w:val="24"/>
        </w:rPr>
      </w:pPr>
    </w:p>
    <w:p w:rsidR="006E5DB5" w:rsidRPr="00D11C5B" w:rsidRDefault="006E5DB5" w:rsidP="00FF3109">
      <w:pPr>
        <w:ind w:left="1440" w:hanging="720"/>
        <w:jc w:val="both"/>
        <w:rPr>
          <w:rFonts w:ascii="Book Antiqua" w:hAnsi="Book Antiqua" w:cs="Arial"/>
          <w:sz w:val="24"/>
          <w:szCs w:val="24"/>
        </w:rPr>
      </w:pPr>
    </w:p>
    <w:sectPr w:rsidR="006E5DB5" w:rsidRPr="00D11C5B" w:rsidSect="00C907B6">
      <w:headerReference w:type="default" r:id="rId9"/>
      <w:footerReference w:type="even" r:id="rId10"/>
      <w:footerReference w:type="default" r:id="rId11"/>
      <w:footerReference w:type="first" r:id="rId12"/>
      <w:endnotePr>
        <w:numFmt w:val="decimal"/>
        <w:numStart w:val="0"/>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77D" w:rsidRDefault="0099077D">
      <w:r>
        <w:separator/>
      </w:r>
    </w:p>
  </w:endnote>
  <w:endnote w:type="continuationSeparator" w:id="0">
    <w:p w:rsidR="0099077D" w:rsidRDefault="0099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Default="00DF453B"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453B" w:rsidRDefault="00DF453B"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54F" w:rsidRDefault="000B054F">
    <w:pPr>
      <w:pStyle w:val="Footer"/>
      <w:jc w:val="center"/>
    </w:pPr>
    <w:r>
      <w:fldChar w:fldCharType="begin"/>
    </w:r>
    <w:r>
      <w:instrText xml:space="preserve"> PAGE   \* MERGEFORMAT </w:instrText>
    </w:r>
    <w:r>
      <w:fldChar w:fldCharType="separate"/>
    </w:r>
    <w:r w:rsidR="00BC550D">
      <w:rPr>
        <w:noProof/>
      </w:rPr>
      <w:t>5</w:t>
    </w:r>
    <w:r>
      <w:rPr>
        <w:noProof/>
      </w:rPr>
      <w:fldChar w:fldCharType="end"/>
    </w:r>
  </w:p>
  <w:p w:rsidR="00DF453B" w:rsidRDefault="00DF453B" w:rsidP="00C907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Pr="00E13A25" w:rsidRDefault="00DF453B" w:rsidP="0002533F">
    <w:pPr>
      <w:pStyle w:val="Footer"/>
      <w:jc w:val="center"/>
      <w:rPr>
        <w:rFonts w:ascii="Book Antiqua" w:hAnsi="Book Antiqua"/>
        <w:b/>
        <w:sz w:val="24"/>
        <w:szCs w:val="24"/>
      </w:rPr>
    </w:pPr>
    <w:r w:rsidRPr="00E13A25">
      <w:rPr>
        <w:rFonts w:ascii="Book Antiqua" w:hAnsi="Book Antiqua"/>
        <w:b/>
        <w:sz w:val="24"/>
        <w:szCs w:val="24"/>
      </w:rPr>
      <w:t>© CROWN COPYRIGHT 201</w:t>
    </w:r>
    <w:r w:rsidR="000C5951" w:rsidRPr="00E13A25">
      <w:rPr>
        <w:rFonts w:ascii="Book Antiqua" w:hAnsi="Book Antiqua"/>
        <w:b/>
        <w:sz w:val="24"/>
        <w:szCs w:val="24"/>
      </w:rPr>
      <w:t>8</w:t>
    </w:r>
    <w:r w:rsidRPr="00E13A25">
      <w:rPr>
        <w:rFonts w:ascii="Book Antiqua" w:hAnsi="Book Antiqua"/>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77D" w:rsidRDefault="0099077D">
      <w:r>
        <w:separator/>
      </w:r>
    </w:p>
  </w:footnote>
  <w:footnote w:type="continuationSeparator" w:id="0">
    <w:p w:rsidR="0099077D" w:rsidRDefault="00990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Default="00DF453B" w:rsidP="00E13A25">
    <w:pPr>
      <w:tabs>
        <w:tab w:val="right" w:pos="9720"/>
      </w:tabs>
      <w:ind w:right="-82"/>
      <w:jc w:val="right"/>
      <w:rPr>
        <w:rFonts w:ascii="Book Antiqua" w:hAnsi="Book Antiqua" w:cs="Arial"/>
        <w:b/>
        <w:bCs/>
        <w:color w:val="000000"/>
        <w:sz w:val="24"/>
        <w:szCs w:val="24"/>
      </w:rPr>
    </w:pPr>
    <w:r w:rsidRPr="00E13A25">
      <w:rPr>
        <w:rFonts w:ascii="Book Antiqua" w:hAnsi="Book Antiqua" w:cs="Arial"/>
        <w:bCs/>
        <w:color w:val="000000"/>
      </w:rPr>
      <w:t xml:space="preserve">Appeal Number: </w:t>
    </w:r>
    <w:r w:rsidR="00D9720E" w:rsidRPr="00E13A25">
      <w:rPr>
        <w:rFonts w:ascii="Book Antiqua" w:hAnsi="Book Antiqua" w:cs="Arial"/>
        <w:bCs/>
        <w:color w:val="000000"/>
      </w:rPr>
      <w:t>PA/06368</w:t>
    </w:r>
    <w:r w:rsidR="000C5951" w:rsidRPr="00E13A25">
      <w:rPr>
        <w:rFonts w:ascii="Book Antiqua" w:hAnsi="Book Antiqua" w:cs="Arial"/>
        <w:bCs/>
        <w:color w:val="000000"/>
      </w:rPr>
      <w:t>/2017</w:t>
    </w:r>
    <w:r>
      <w:rPr>
        <w:rFonts w:ascii="Book Antiqua" w:hAnsi="Book Antiqua" w:cs="Arial"/>
        <w:b/>
        <w:bCs/>
        <w:color w:val="000000"/>
        <w:sz w:val="24"/>
        <w:szCs w:val="24"/>
      </w:rPr>
      <w:t xml:space="preserve">                                                                                                              </w:t>
    </w:r>
  </w:p>
  <w:p w:rsidR="00DF453B" w:rsidRDefault="00DF453B" w:rsidP="00ED5E5B">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p>
  <w:p w:rsidR="00DF453B" w:rsidRPr="00DD3A41" w:rsidRDefault="00DF453B" w:rsidP="00DD3A41">
    <w:pPr>
      <w:pStyle w:val="Header"/>
      <w:rPr>
        <w:szCs w:val="22"/>
      </w:rPr>
    </w:pPr>
    <w:r>
      <w:rPr>
        <w:rFonts w:ascii="Book Antiqua" w:hAnsi="Book Antiqua" w:cs="Arial"/>
        <w:b/>
        <w:bCs/>
        <w:color w:val="00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6145"/>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17C"/>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53B60"/>
    <w:rsid w:val="00055A8C"/>
    <w:rsid w:val="0006265C"/>
    <w:rsid w:val="00062BCD"/>
    <w:rsid w:val="00067F72"/>
    <w:rsid w:val="00081BEE"/>
    <w:rsid w:val="00083A3A"/>
    <w:rsid w:val="0009100D"/>
    <w:rsid w:val="00092801"/>
    <w:rsid w:val="00092BC5"/>
    <w:rsid w:val="000932BE"/>
    <w:rsid w:val="000A2463"/>
    <w:rsid w:val="000B00D6"/>
    <w:rsid w:val="000B054F"/>
    <w:rsid w:val="000B0A97"/>
    <w:rsid w:val="000B1632"/>
    <w:rsid w:val="000B1857"/>
    <w:rsid w:val="000B2BF0"/>
    <w:rsid w:val="000B5ADD"/>
    <w:rsid w:val="000B7492"/>
    <w:rsid w:val="000C01A2"/>
    <w:rsid w:val="000C042F"/>
    <w:rsid w:val="000C49C9"/>
    <w:rsid w:val="000C5951"/>
    <w:rsid w:val="000C7C87"/>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6237"/>
    <w:rsid w:val="00100F13"/>
    <w:rsid w:val="00101C6A"/>
    <w:rsid w:val="001020BA"/>
    <w:rsid w:val="00103EC3"/>
    <w:rsid w:val="001054A3"/>
    <w:rsid w:val="00110B62"/>
    <w:rsid w:val="001130BC"/>
    <w:rsid w:val="00113496"/>
    <w:rsid w:val="00115FE7"/>
    <w:rsid w:val="00120BEB"/>
    <w:rsid w:val="00121A2F"/>
    <w:rsid w:val="001224CF"/>
    <w:rsid w:val="00122C36"/>
    <w:rsid w:val="00124DEC"/>
    <w:rsid w:val="00126B5B"/>
    <w:rsid w:val="00130BFE"/>
    <w:rsid w:val="001318F4"/>
    <w:rsid w:val="00133674"/>
    <w:rsid w:val="00133AA6"/>
    <w:rsid w:val="00133E2D"/>
    <w:rsid w:val="00133E97"/>
    <w:rsid w:val="001373C3"/>
    <w:rsid w:val="0014188D"/>
    <w:rsid w:val="00142EA4"/>
    <w:rsid w:val="00150247"/>
    <w:rsid w:val="001541D2"/>
    <w:rsid w:val="00155428"/>
    <w:rsid w:val="00162438"/>
    <w:rsid w:val="00165B36"/>
    <w:rsid w:val="00167ACA"/>
    <w:rsid w:val="00170A8E"/>
    <w:rsid w:val="00175554"/>
    <w:rsid w:val="001755DE"/>
    <w:rsid w:val="00175DD5"/>
    <w:rsid w:val="00176550"/>
    <w:rsid w:val="00177709"/>
    <w:rsid w:val="00191040"/>
    <w:rsid w:val="0019233F"/>
    <w:rsid w:val="00192C45"/>
    <w:rsid w:val="00193AC4"/>
    <w:rsid w:val="00195383"/>
    <w:rsid w:val="00195769"/>
    <w:rsid w:val="00196430"/>
    <w:rsid w:val="001A1500"/>
    <w:rsid w:val="001A35F4"/>
    <w:rsid w:val="001A6C6A"/>
    <w:rsid w:val="001B1399"/>
    <w:rsid w:val="001B1F69"/>
    <w:rsid w:val="001B21ED"/>
    <w:rsid w:val="001B3C8E"/>
    <w:rsid w:val="001B577D"/>
    <w:rsid w:val="001B5CC3"/>
    <w:rsid w:val="001B5F78"/>
    <w:rsid w:val="001B6576"/>
    <w:rsid w:val="001B7DAA"/>
    <w:rsid w:val="001C0E7A"/>
    <w:rsid w:val="001C114D"/>
    <w:rsid w:val="001C390A"/>
    <w:rsid w:val="001C4C70"/>
    <w:rsid w:val="001C53A6"/>
    <w:rsid w:val="001D1A92"/>
    <w:rsid w:val="001D5417"/>
    <w:rsid w:val="001D7ADD"/>
    <w:rsid w:val="001E2646"/>
    <w:rsid w:val="001E2E6C"/>
    <w:rsid w:val="001E4420"/>
    <w:rsid w:val="001E4738"/>
    <w:rsid w:val="001E47E9"/>
    <w:rsid w:val="001E56FD"/>
    <w:rsid w:val="001E6895"/>
    <w:rsid w:val="001E7637"/>
    <w:rsid w:val="001F0A30"/>
    <w:rsid w:val="001F1CFB"/>
    <w:rsid w:val="001F636D"/>
    <w:rsid w:val="001F69E0"/>
    <w:rsid w:val="00201DEE"/>
    <w:rsid w:val="00204417"/>
    <w:rsid w:val="00211938"/>
    <w:rsid w:val="00214FA1"/>
    <w:rsid w:val="00215F99"/>
    <w:rsid w:val="0022324C"/>
    <w:rsid w:val="00224349"/>
    <w:rsid w:val="002276A4"/>
    <w:rsid w:val="00227990"/>
    <w:rsid w:val="00233383"/>
    <w:rsid w:val="00235887"/>
    <w:rsid w:val="002370CF"/>
    <w:rsid w:val="00241EA5"/>
    <w:rsid w:val="00242DD5"/>
    <w:rsid w:val="00246542"/>
    <w:rsid w:val="00247EC4"/>
    <w:rsid w:val="00250376"/>
    <w:rsid w:val="0025190E"/>
    <w:rsid w:val="002543B5"/>
    <w:rsid w:val="00257FF6"/>
    <w:rsid w:val="00260FB8"/>
    <w:rsid w:val="002637ED"/>
    <w:rsid w:val="00263C46"/>
    <w:rsid w:val="00264D12"/>
    <w:rsid w:val="00265F7F"/>
    <w:rsid w:val="0026744A"/>
    <w:rsid w:val="002766E8"/>
    <w:rsid w:val="00276FC5"/>
    <w:rsid w:val="00280AD8"/>
    <w:rsid w:val="00281962"/>
    <w:rsid w:val="00282CA1"/>
    <w:rsid w:val="00284560"/>
    <w:rsid w:val="002875EC"/>
    <w:rsid w:val="00292D10"/>
    <w:rsid w:val="00293B4B"/>
    <w:rsid w:val="00295942"/>
    <w:rsid w:val="002976CD"/>
    <w:rsid w:val="002A03EC"/>
    <w:rsid w:val="002A1227"/>
    <w:rsid w:val="002A127D"/>
    <w:rsid w:val="002A2153"/>
    <w:rsid w:val="002A2E15"/>
    <w:rsid w:val="002A479C"/>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1C7B"/>
    <w:rsid w:val="002E2269"/>
    <w:rsid w:val="002E649C"/>
    <w:rsid w:val="002F03A8"/>
    <w:rsid w:val="002F3955"/>
    <w:rsid w:val="002F5596"/>
    <w:rsid w:val="002F74A9"/>
    <w:rsid w:val="00300891"/>
    <w:rsid w:val="00301F35"/>
    <w:rsid w:val="00305CC8"/>
    <w:rsid w:val="00307D61"/>
    <w:rsid w:val="00310B06"/>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615E3"/>
    <w:rsid w:val="00363BD3"/>
    <w:rsid w:val="003650C8"/>
    <w:rsid w:val="00366941"/>
    <w:rsid w:val="00372B7E"/>
    <w:rsid w:val="003747E9"/>
    <w:rsid w:val="003777B8"/>
    <w:rsid w:val="003802B9"/>
    <w:rsid w:val="00381ECE"/>
    <w:rsid w:val="003857BB"/>
    <w:rsid w:val="003857D6"/>
    <w:rsid w:val="003964D2"/>
    <w:rsid w:val="003A4290"/>
    <w:rsid w:val="003A6E6D"/>
    <w:rsid w:val="003A774C"/>
    <w:rsid w:val="003B150F"/>
    <w:rsid w:val="003B3ECE"/>
    <w:rsid w:val="003C0095"/>
    <w:rsid w:val="003C1310"/>
    <w:rsid w:val="003D2363"/>
    <w:rsid w:val="003D3D16"/>
    <w:rsid w:val="003D5727"/>
    <w:rsid w:val="003D5A2A"/>
    <w:rsid w:val="003D7F3A"/>
    <w:rsid w:val="003E3E57"/>
    <w:rsid w:val="003E6665"/>
    <w:rsid w:val="003E745C"/>
    <w:rsid w:val="003F4009"/>
    <w:rsid w:val="003F6D59"/>
    <w:rsid w:val="0040052F"/>
    <w:rsid w:val="004005C7"/>
    <w:rsid w:val="00404024"/>
    <w:rsid w:val="00405A2D"/>
    <w:rsid w:val="004068D6"/>
    <w:rsid w:val="00410B35"/>
    <w:rsid w:val="004125D9"/>
    <w:rsid w:val="00412C0E"/>
    <w:rsid w:val="004168A9"/>
    <w:rsid w:val="0042001D"/>
    <w:rsid w:val="00421E63"/>
    <w:rsid w:val="0042634D"/>
    <w:rsid w:val="004271E0"/>
    <w:rsid w:val="004274FB"/>
    <w:rsid w:val="00427FA3"/>
    <w:rsid w:val="00431758"/>
    <w:rsid w:val="00431E7B"/>
    <w:rsid w:val="00431E87"/>
    <w:rsid w:val="00433F99"/>
    <w:rsid w:val="004353AC"/>
    <w:rsid w:val="00440434"/>
    <w:rsid w:val="00441C99"/>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4940"/>
    <w:rsid w:val="004955DC"/>
    <w:rsid w:val="004A0029"/>
    <w:rsid w:val="004A5237"/>
    <w:rsid w:val="004B2734"/>
    <w:rsid w:val="004B4F34"/>
    <w:rsid w:val="004D128D"/>
    <w:rsid w:val="004D28F2"/>
    <w:rsid w:val="004D4FB9"/>
    <w:rsid w:val="004E23F0"/>
    <w:rsid w:val="004E2F7E"/>
    <w:rsid w:val="004E3416"/>
    <w:rsid w:val="004E5BA8"/>
    <w:rsid w:val="004E6FDD"/>
    <w:rsid w:val="004F44C1"/>
    <w:rsid w:val="0050070B"/>
    <w:rsid w:val="00501018"/>
    <w:rsid w:val="0050124D"/>
    <w:rsid w:val="005043DD"/>
    <w:rsid w:val="00505DAD"/>
    <w:rsid w:val="00511344"/>
    <w:rsid w:val="00520164"/>
    <w:rsid w:val="005214D5"/>
    <w:rsid w:val="00522757"/>
    <w:rsid w:val="00523DC1"/>
    <w:rsid w:val="00525F5C"/>
    <w:rsid w:val="00530466"/>
    <w:rsid w:val="005307EB"/>
    <w:rsid w:val="00532C8F"/>
    <w:rsid w:val="00533054"/>
    <w:rsid w:val="00535248"/>
    <w:rsid w:val="00536B23"/>
    <w:rsid w:val="00540878"/>
    <w:rsid w:val="005453CB"/>
    <w:rsid w:val="005453D4"/>
    <w:rsid w:val="005455FC"/>
    <w:rsid w:val="00546FC8"/>
    <w:rsid w:val="00547424"/>
    <w:rsid w:val="00547AA5"/>
    <w:rsid w:val="00550E46"/>
    <w:rsid w:val="00561F54"/>
    <w:rsid w:val="0056252E"/>
    <w:rsid w:val="00565729"/>
    <w:rsid w:val="00570798"/>
    <w:rsid w:val="00571157"/>
    <w:rsid w:val="005726D2"/>
    <w:rsid w:val="005728B0"/>
    <w:rsid w:val="005763CC"/>
    <w:rsid w:val="00576B57"/>
    <w:rsid w:val="005774B7"/>
    <w:rsid w:val="0057782C"/>
    <w:rsid w:val="00582D69"/>
    <w:rsid w:val="005836C2"/>
    <w:rsid w:val="00586558"/>
    <w:rsid w:val="0058691F"/>
    <w:rsid w:val="005965EF"/>
    <w:rsid w:val="0059737B"/>
    <w:rsid w:val="005B437A"/>
    <w:rsid w:val="005C65C6"/>
    <w:rsid w:val="005C7BDD"/>
    <w:rsid w:val="005D12CB"/>
    <w:rsid w:val="005D153E"/>
    <w:rsid w:val="005D53A7"/>
    <w:rsid w:val="005D5B87"/>
    <w:rsid w:val="005D7016"/>
    <w:rsid w:val="005E3447"/>
    <w:rsid w:val="005E7388"/>
    <w:rsid w:val="005E75AB"/>
    <w:rsid w:val="005F12EB"/>
    <w:rsid w:val="005F18EF"/>
    <w:rsid w:val="005F40E3"/>
    <w:rsid w:val="005F432A"/>
    <w:rsid w:val="006057FC"/>
    <w:rsid w:val="006076D6"/>
    <w:rsid w:val="00611227"/>
    <w:rsid w:val="0061376D"/>
    <w:rsid w:val="0061456C"/>
    <w:rsid w:val="00614EBE"/>
    <w:rsid w:val="006212FB"/>
    <w:rsid w:val="00621E93"/>
    <w:rsid w:val="00623296"/>
    <w:rsid w:val="0062468E"/>
    <w:rsid w:val="00633689"/>
    <w:rsid w:val="00634B89"/>
    <w:rsid w:val="00634CAE"/>
    <w:rsid w:val="0063636E"/>
    <w:rsid w:val="006368BB"/>
    <w:rsid w:val="0064111E"/>
    <w:rsid w:val="00643195"/>
    <w:rsid w:val="00644A3A"/>
    <w:rsid w:val="006528EF"/>
    <w:rsid w:val="00655A2F"/>
    <w:rsid w:val="00656608"/>
    <w:rsid w:val="006666B4"/>
    <w:rsid w:val="00670052"/>
    <w:rsid w:val="0067125A"/>
    <w:rsid w:val="006731F1"/>
    <w:rsid w:val="00677C52"/>
    <w:rsid w:val="006803EB"/>
    <w:rsid w:val="006817C2"/>
    <w:rsid w:val="00681B9B"/>
    <w:rsid w:val="00681EC1"/>
    <w:rsid w:val="00691D95"/>
    <w:rsid w:val="0069249B"/>
    <w:rsid w:val="00695025"/>
    <w:rsid w:val="006953C5"/>
    <w:rsid w:val="006974AE"/>
    <w:rsid w:val="006A155F"/>
    <w:rsid w:val="006A1F2E"/>
    <w:rsid w:val="006A208E"/>
    <w:rsid w:val="006A54A8"/>
    <w:rsid w:val="006A62E8"/>
    <w:rsid w:val="006B132A"/>
    <w:rsid w:val="006B180B"/>
    <w:rsid w:val="006B1C18"/>
    <w:rsid w:val="006B5C23"/>
    <w:rsid w:val="006C1577"/>
    <w:rsid w:val="006C2BD4"/>
    <w:rsid w:val="006D42CF"/>
    <w:rsid w:val="006D7A96"/>
    <w:rsid w:val="006D7B45"/>
    <w:rsid w:val="006E1F28"/>
    <w:rsid w:val="006E5DB5"/>
    <w:rsid w:val="006E632D"/>
    <w:rsid w:val="006F0EDE"/>
    <w:rsid w:val="006F21E4"/>
    <w:rsid w:val="006F4EE6"/>
    <w:rsid w:val="0070048C"/>
    <w:rsid w:val="0070558A"/>
    <w:rsid w:val="007113B1"/>
    <w:rsid w:val="007165AF"/>
    <w:rsid w:val="00722B4C"/>
    <w:rsid w:val="00723EC3"/>
    <w:rsid w:val="0072583C"/>
    <w:rsid w:val="007279B5"/>
    <w:rsid w:val="00730C51"/>
    <w:rsid w:val="00732097"/>
    <w:rsid w:val="007332EC"/>
    <w:rsid w:val="00733877"/>
    <w:rsid w:val="007366D0"/>
    <w:rsid w:val="00746183"/>
    <w:rsid w:val="007466EE"/>
    <w:rsid w:val="007472B2"/>
    <w:rsid w:val="007519CA"/>
    <w:rsid w:val="00752961"/>
    <w:rsid w:val="007531A9"/>
    <w:rsid w:val="007573EE"/>
    <w:rsid w:val="0076593B"/>
    <w:rsid w:val="00776332"/>
    <w:rsid w:val="00776C65"/>
    <w:rsid w:val="00782257"/>
    <w:rsid w:val="00782D2A"/>
    <w:rsid w:val="00785DB6"/>
    <w:rsid w:val="007876DA"/>
    <w:rsid w:val="00787CF5"/>
    <w:rsid w:val="0079095C"/>
    <w:rsid w:val="00793394"/>
    <w:rsid w:val="0079696F"/>
    <w:rsid w:val="00797761"/>
    <w:rsid w:val="007A1308"/>
    <w:rsid w:val="007A13C0"/>
    <w:rsid w:val="007A2AB7"/>
    <w:rsid w:val="007A531E"/>
    <w:rsid w:val="007B00CB"/>
    <w:rsid w:val="007B2E7A"/>
    <w:rsid w:val="007B30B3"/>
    <w:rsid w:val="007B6551"/>
    <w:rsid w:val="007C5D86"/>
    <w:rsid w:val="007C6C2B"/>
    <w:rsid w:val="007D00DF"/>
    <w:rsid w:val="007D2A80"/>
    <w:rsid w:val="007D6C7F"/>
    <w:rsid w:val="007D70A9"/>
    <w:rsid w:val="007D79A0"/>
    <w:rsid w:val="007E0F2C"/>
    <w:rsid w:val="007F1ED6"/>
    <w:rsid w:val="007F338B"/>
    <w:rsid w:val="007F6678"/>
    <w:rsid w:val="007F7910"/>
    <w:rsid w:val="007F7ACF"/>
    <w:rsid w:val="00800E67"/>
    <w:rsid w:val="00801662"/>
    <w:rsid w:val="00802517"/>
    <w:rsid w:val="00812C37"/>
    <w:rsid w:val="0081393C"/>
    <w:rsid w:val="00824E5D"/>
    <w:rsid w:val="00825A57"/>
    <w:rsid w:val="008307D3"/>
    <w:rsid w:val="008309BA"/>
    <w:rsid w:val="00831399"/>
    <w:rsid w:val="0083286A"/>
    <w:rsid w:val="008334C7"/>
    <w:rsid w:val="00837BDE"/>
    <w:rsid w:val="00840E56"/>
    <w:rsid w:val="00841CB5"/>
    <w:rsid w:val="008428E7"/>
    <w:rsid w:val="00843094"/>
    <w:rsid w:val="0084642B"/>
    <w:rsid w:val="00850A03"/>
    <w:rsid w:val="00850A9A"/>
    <w:rsid w:val="00852A12"/>
    <w:rsid w:val="00863D7A"/>
    <w:rsid w:val="00870122"/>
    <w:rsid w:val="00872290"/>
    <w:rsid w:val="00874791"/>
    <w:rsid w:val="00876BB2"/>
    <w:rsid w:val="008772F4"/>
    <w:rsid w:val="008817E1"/>
    <w:rsid w:val="00886FBD"/>
    <w:rsid w:val="00887645"/>
    <w:rsid w:val="00890171"/>
    <w:rsid w:val="00892A29"/>
    <w:rsid w:val="0089449E"/>
    <w:rsid w:val="00895AAA"/>
    <w:rsid w:val="008966AE"/>
    <w:rsid w:val="00896A02"/>
    <w:rsid w:val="00897740"/>
    <w:rsid w:val="008A2A1B"/>
    <w:rsid w:val="008A3ABE"/>
    <w:rsid w:val="008A4205"/>
    <w:rsid w:val="008A4A29"/>
    <w:rsid w:val="008A6B30"/>
    <w:rsid w:val="008B2ED3"/>
    <w:rsid w:val="008B3589"/>
    <w:rsid w:val="008B3AC1"/>
    <w:rsid w:val="008B41DD"/>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8F6D36"/>
    <w:rsid w:val="00904851"/>
    <w:rsid w:val="00904DA5"/>
    <w:rsid w:val="00911D7C"/>
    <w:rsid w:val="00915DA0"/>
    <w:rsid w:val="00915F60"/>
    <w:rsid w:val="00916762"/>
    <w:rsid w:val="009173EB"/>
    <w:rsid w:val="00924ED4"/>
    <w:rsid w:val="00925F4A"/>
    <w:rsid w:val="00930A14"/>
    <w:rsid w:val="0093165E"/>
    <w:rsid w:val="009360C3"/>
    <w:rsid w:val="0094542E"/>
    <w:rsid w:val="00946E72"/>
    <w:rsid w:val="009517AC"/>
    <w:rsid w:val="00952694"/>
    <w:rsid w:val="0095409D"/>
    <w:rsid w:val="009571E3"/>
    <w:rsid w:val="00957CE4"/>
    <w:rsid w:val="0096085B"/>
    <w:rsid w:val="009657E3"/>
    <w:rsid w:val="0096772C"/>
    <w:rsid w:val="00974B5B"/>
    <w:rsid w:val="00981746"/>
    <w:rsid w:val="00984821"/>
    <w:rsid w:val="00984CCA"/>
    <w:rsid w:val="009851D1"/>
    <w:rsid w:val="009871A8"/>
    <w:rsid w:val="0099077D"/>
    <w:rsid w:val="00993C0B"/>
    <w:rsid w:val="009940E2"/>
    <w:rsid w:val="009A11A1"/>
    <w:rsid w:val="009A26D2"/>
    <w:rsid w:val="009B23FE"/>
    <w:rsid w:val="009B24BD"/>
    <w:rsid w:val="009B4C39"/>
    <w:rsid w:val="009C00EE"/>
    <w:rsid w:val="009C18E7"/>
    <w:rsid w:val="009C727F"/>
    <w:rsid w:val="009D1ED5"/>
    <w:rsid w:val="009D4055"/>
    <w:rsid w:val="009D53E6"/>
    <w:rsid w:val="009D78F8"/>
    <w:rsid w:val="009E008E"/>
    <w:rsid w:val="009E3801"/>
    <w:rsid w:val="009E51F0"/>
    <w:rsid w:val="00A0072F"/>
    <w:rsid w:val="00A03DBE"/>
    <w:rsid w:val="00A0564B"/>
    <w:rsid w:val="00A0672C"/>
    <w:rsid w:val="00A07134"/>
    <w:rsid w:val="00A13304"/>
    <w:rsid w:val="00A149A7"/>
    <w:rsid w:val="00A15609"/>
    <w:rsid w:val="00A16ABD"/>
    <w:rsid w:val="00A23836"/>
    <w:rsid w:val="00A27765"/>
    <w:rsid w:val="00A304D6"/>
    <w:rsid w:val="00A30B96"/>
    <w:rsid w:val="00A32F27"/>
    <w:rsid w:val="00A34B0A"/>
    <w:rsid w:val="00A3551A"/>
    <w:rsid w:val="00A35F68"/>
    <w:rsid w:val="00A46DFB"/>
    <w:rsid w:val="00A47F6D"/>
    <w:rsid w:val="00A5182C"/>
    <w:rsid w:val="00A533A3"/>
    <w:rsid w:val="00A55A3A"/>
    <w:rsid w:val="00A56ACC"/>
    <w:rsid w:val="00A661EB"/>
    <w:rsid w:val="00A666C9"/>
    <w:rsid w:val="00A711F4"/>
    <w:rsid w:val="00A71980"/>
    <w:rsid w:val="00A71982"/>
    <w:rsid w:val="00A73EFB"/>
    <w:rsid w:val="00A81B4B"/>
    <w:rsid w:val="00A81E00"/>
    <w:rsid w:val="00A84008"/>
    <w:rsid w:val="00A87B65"/>
    <w:rsid w:val="00A95D86"/>
    <w:rsid w:val="00AA00B4"/>
    <w:rsid w:val="00AA1393"/>
    <w:rsid w:val="00AA23F9"/>
    <w:rsid w:val="00AA2C9D"/>
    <w:rsid w:val="00AA5656"/>
    <w:rsid w:val="00AA60D5"/>
    <w:rsid w:val="00AB22FE"/>
    <w:rsid w:val="00AB39CF"/>
    <w:rsid w:val="00AB5903"/>
    <w:rsid w:val="00AB7E8C"/>
    <w:rsid w:val="00AC02F7"/>
    <w:rsid w:val="00AC113F"/>
    <w:rsid w:val="00AC3928"/>
    <w:rsid w:val="00AC40E1"/>
    <w:rsid w:val="00AC4F90"/>
    <w:rsid w:val="00AC64CC"/>
    <w:rsid w:val="00AC7E4F"/>
    <w:rsid w:val="00AD2BD8"/>
    <w:rsid w:val="00AD626D"/>
    <w:rsid w:val="00AE2B91"/>
    <w:rsid w:val="00AE48F6"/>
    <w:rsid w:val="00AF0CBA"/>
    <w:rsid w:val="00AF3F17"/>
    <w:rsid w:val="00AF6626"/>
    <w:rsid w:val="00AF7850"/>
    <w:rsid w:val="00B03E44"/>
    <w:rsid w:val="00B1063F"/>
    <w:rsid w:val="00B10C3C"/>
    <w:rsid w:val="00B11DB0"/>
    <w:rsid w:val="00B12BD0"/>
    <w:rsid w:val="00B138FC"/>
    <w:rsid w:val="00B16F08"/>
    <w:rsid w:val="00B1735F"/>
    <w:rsid w:val="00B17FB8"/>
    <w:rsid w:val="00B20543"/>
    <w:rsid w:val="00B24DEA"/>
    <w:rsid w:val="00B2733E"/>
    <w:rsid w:val="00B313C8"/>
    <w:rsid w:val="00B338F3"/>
    <w:rsid w:val="00B3620F"/>
    <w:rsid w:val="00B4060E"/>
    <w:rsid w:val="00B41DAB"/>
    <w:rsid w:val="00B440D0"/>
    <w:rsid w:val="00B44479"/>
    <w:rsid w:val="00B45BD8"/>
    <w:rsid w:val="00B45E2C"/>
    <w:rsid w:val="00B46751"/>
    <w:rsid w:val="00B55411"/>
    <w:rsid w:val="00B619EF"/>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59F4"/>
    <w:rsid w:val="00BA615D"/>
    <w:rsid w:val="00BA6519"/>
    <w:rsid w:val="00BA7129"/>
    <w:rsid w:val="00BB11BF"/>
    <w:rsid w:val="00BB13E0"/>
    <w:rsid w:val="00BB28FF"/>
    <w:rsid w:val="00BB2A5F"/>
    <w:rsid w:val="00BB75A0"/>
    <w:rsid w:val="00BC14DD"/>
    <w:rsid w:val="00BC550D"/>
    <w:rsid w:val="00BC6D28"/>
    <w:rsid w:val="00BD0914"/>
    <w:rsid w:val="00BD4461"/>
    <w:rsid w:val="00BE3732"/>
    <w:rsid w:val="00BE4A25"/>
    <w:rsid w:val="00BF0598"/>
    <w:rsid w:val="00BF07B3"/>
    <w:rsid w:val="00BF0AE8"/>
    <w:rsid w:val="00BF2D41"/>
    <w:rsid w:val="00BF3BC9"/>
    <w:rsid w:val="00BF77EA"/>
    <w:rsid w:val="00BF7DB6"/>
    <w:rsid w:val="00C019B6"/>
    <w:rsid w:val="00C02F07"/>
    <w:rsid w:val="00C074EF"/>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62776"/>
    <w:rsid w:val="00C64E7D"/>
    <w:rsid w:val="00C662B6"/>
    <w:rsid w:val="00C665E3"/>
    <w:rsid w:val="00C66653"/>
    <w:rsid w:val="00C702F0"/>
    <w:rsid w:val="00C756E2"/>
    <w:rsid w:val="00C760BF"/>
    <w:rsid w:val="00C81282"/>
    <w:rsid w:val="00C8187F"/>
    <w:rsid w:val="00C83E61"/>
    <w:rsid w:val="00C86816"/>
    <w:rsid w:val="00C907B6"/>
    <w:rsid w:val="00CA06EA"/>
    <w:rsid w:val="00CA17D2"/>
    <w:rsid w:val="00CA37EF"/>
    <w:rsid w:val="00CA38BF"/>
    <w:rsid w:val="00CA7B67"/>
    <w:rsid w:val="00CB0BE7"/>
    <w:rsid w:val="00CB4216"/>
    <w:rsid w:val="00CB6DA9"/>
    <w:rsid w:val="00CB7459"/>
    <w:rsid w:val="00CB79ED"/>
    <w:rsid w:val="00CC2F76"/>
    <w:rsid w:val="00CC51FD"/>
    <w:rsid w:val="00CD5D82"/>
    <w:rsid w:val="00CD5FF5"/>
    <w:rsid w:val="00CD61BE"/>
    <w:rsid w:val="00CD6B95"/>
    <w:rsid w:val="00CD6BF7"/>
    <w:rsid w:val="00CE114D"/>
    <w:rsid w:val="00CE606A"/>
    <w:rsid w:val="00CE6235"/>
    <w:rsid w:val="00CF351A"/>
    <w:rsid w:val="00CF4128"/>
    <w:rsid w:val="00CF538B"/>
    <w:rsid w:val="00CF6559"/>
    <w:rsid w:val="00CF6B67"/>
    <w:rsid w:val="00CF7087"/>
    <w:rsid w:val="00CF77D2"/>
    <w:rsid w:val="00D0096E"/>
    <w:rsid w:val="00D00FD7"/>
    <w:rsid w:val="00D051C3"/>
    <w:rsid w:val="00D060D3"/>
    <w:rsid w:val="00D06500"/>
    <w:rsid w:val="00D07414"/>
    <w:rsid w:val="00D108C9"/>
    <w:rsid w:val="00D11135"/>
    <w:rsid w:val="00D11C5B"/>
    <w:rsid w:val="00D121A6"/>
    <w:rsid w:val="00D14FA3"/>
    <w:rsid w:val="00D15E40"/>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67154"/>
    <w:rsid w:val="00D67189"/>
    <w:rsid w:val="00D745F0"/>
    <w:rsid w:val="00D76097"/>
    <w:rsid w:val="00D800E2"/>
    <w:rsid w:val="00D8105E"/>
    <w:rsid w:val="00D81B15"/>
    <w:rsid w:val="00D81F56"/>
    <w:rsid w:val="00D82F75"/>
    <w:rsid w:val="00D861C6"/>
    <w:rsid w:val="00D8660C"/>
    <w:rsid w:val="00D8743A"/>
    <w:rsid w:val="00D94C38"/>
    <w:rsid w:val="00D9720E"/>
    <w:rsid w:val="00D97771"/>
    <w:rsid w:val="00DA39F6"/>
    <w:rsid w:val="00DA4AD5"/>
    <w:rsid w:val="00DA6F0D"/>
    <w:rsid w:val="00DB42B4"/>
    <w:rsid w:val="00DB6DF7"/>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109B8"/>
    <w:rsid w:val="00E13A25"/>
    <w:rsid w:val="00E14AF1"/>
    <w:rsid w:val="00E17B63"/>
    <w:rsid w:val="00E17DFD"/>
    <w:rsid w:val="00E2773A"/>
    <w:rsid w:val="00E27B8A"/>
    <w:rsid w:val="00E31C03"/>
    <w:rsid w:val="00E33C87"/>
    <w:rsid w:val="00E366F6"/>
    <w:rsid w:val="00E374C6"/>
    <w:rsid w:val="00E37B2A"/>
    <w:rsid w:val="00E41559"/>
    <w:rsid w:val="00E44078"/>
    <w:rsid w:val="00E44A65"/>
    <w:rsid w:val="00E467A8"/>
    <w:rsid w:val="00E50A8D"/>
    <w:rsid w:val="00E516C7"/>
    <w:rsid w:val="00E52C22"/>
    <w:rsid w:val="00E57C93"/>
    <w:rsid w:val="00E614C4"/>
    <w:rsid w:val="00E65F6E"/>
    <w:rsid w:val="00E679B1"/>
    <w:rsid w:val="00E67C9D"/>
    <w:rsid w:val="00E74EF1"/>
    <w:rsid w:val="00E76739"/>
    <w:rsid w:val="00E85CC2"/>
    <w:rsid w:val="00E909D8"/>
    <w:rsid w:val="00E9551F"/>
    <w:rsid w:val="00EA0D43"/>
    <w:rsid w:val="00EA2735"/>
    <w:rsid w:val="00EA52AA"/>
    <w:rsid w:val="00EA5965"/>
    <w:rsid w:val="00EA6FEA"/>
    <w:rsid w:val="00EA705E"/>
    <w:rsid w:val="00EB03E0"/>
    <w:rsid w:val="00EB0F0C"/>
    <w:rsid w:val="00EB6EC9"/>
    <w:rsid w:val="00EB7AA1"/>
    <w:rsid w:val="00EC1968"/>
    <w:rsid w:val="00EC5EDD"/>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3523"/>
    <w:rsid w:val="00F0712F"/>
    <w:rsid w:val="00F07DED"/>
    <w:rsid w:val="00F10DD8"/>
    <w:rsid w:val="00F11A90"/>
    <w:rsid w:val="00F13B83"/>
    <w:rsid w:val="00F16B99"/>
    <w:rsid w:val="00F225F7"/>
    <w:rsid w:val="00F30765"/>
    <w:rsid w:val="00F31521"/>
    <w:rsid w:val="00F32F4E"/>
    <w:rsid w:val="00F349C2"/>
    <w:rsid w:val="00F362A2"/>
    <w:rsid w:val="00F36EFE"/>
    <w:rsid w:val="00F42F6B"/>
    <w:rsid w:val="00F453E8"/>
    <w:rsid w:val="00F45F61"/>
    <w:rsid w:val="00F517FE"/>
    <w:rsid w:val="00F53C1B"/>
    <w:rsid w:val="00F54D96"/>
    <w:rsid w:val="00F57661"/>
    <w:rsid w:val="00F71425"/>
    <w:rsid w:val="00F76D70"/>
    <w:rsid w:val="00F84CB6"/>
    <w:rsid w:val="00F86ABC"/>
    <w:rsid w:val="00F87041"/>
    <w:rsid w:val="00F91E97"/>
    <w:rsid w:val="00F9577C"/>
    <w:rsid w:val="00F9740D"/>
    <w:rsid w:val="00FB0A58"/>
    <w:rsid w:val="00FB1253"/>
    <w:rsid w:val="00FB16E1"/>
    <w:rsid w:val="00FB309C"/>
    <w:rsid w:val="00FB4D64"/>
    <w:rsid w:val="00FB63E3"/>
    <w:rsid w:val="00FB65D6"/>
    <w:rsid w:val="00FD0013"/>
    <w:rsid w:val="00FD55BF"/>
    <w:rsid w:val="00FD6C75"/>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1"/>
    </o:shapelayout>
  </w:shapeDefaults>
  <w:decimalSymbol w:val="."/>
  <w:listSeparator w:val=","/>
  <w14:docId w14:val="61D70E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EAF8-EB25-4C8B-9709-9EF78E36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1262</Words>
  <Characters>6512</Characters>
  <Application>Microsoft Office Word</Application>
  <DocSecurity>0</DocSecurity>
  <Lines>54</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2018-06-04T16:20:00Z</dcterms:created>
  <dcterms:modified xsi:type="dcterms:W3CDTF">2018-06-04T16:20:00Z</dcterms:modified>
</cp:coreProperties>
</file>