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Default="00E07B32" w:rsidP="00503887">
      <w:pPr>
        <w:jc w:val="center"/>
        <w:rPr>
          <w:rFonts w:ascii="Book Antiqua" w:hAnsi="Book Antiqua" w:cs="Arial"/>
          <w:color w:val="000000"/>
          <w:sz w:val="16"/>
          <w:szCs w:val="16"/>
        </w:rPr>
      </w:pPr>
      <w:r w:rsidRPr="004356CB">
        <w:rPr>
          <w:rFonts w:ascii="Book Antiqua" w:hAnsi="Book Antiqua"/>
          <w:noProof/>
          <w:sz w:val="16"/>
          <w:szCs w:val="16"/>
          <w:lang w:val="en-US" w:eastAsia="en-US"/>
        </w:rPr>
        <w:drawing>
          <wp:inline distT="0" distB="0" distL="0" distR="0">
            <wp:extent cx="147066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0660" cy="1104900"/>
                    </a:xfrm>
                    <a:prstGeom prst="rect">
                      <a:avLst/>
                    </a:prstGeom>
                    <a:noFill/>
                    <a:ln>
                      <a:noFill/>
                    </a:ln>
                  </pic:spPr>
                </pic:pic>
              </a:graphicData>
            </a:graphic>
          </wp:inline>
        </w:drawing>
      </w:r>
    </w:p>
    <w:p w:rsidR="004356CB" w:rsidRPr="004356CB" w:rsidRDefault="004356CB" w:rsidP="00503887">
      <w:pPr>
        <w:jc w:val="cente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AB2694" w:rsidRDefault="00D219F1" w:rsidP="001C2DA1">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bookmarkStart w:id="0" w:name="_Hlk526325974"/>
      <w:r w:rsidR="00CF4F17">
        <w:rPr>
          <w:rFonts w:ascii="Book Antiqua" w:hAnsi="Book Antiqua" w:cs="Arial"/>
          <w:color w:val="000000"/>
        </w:rPr>
        <w:t>Appeal Number:</w:t>
      </w:r>
      <w:r w:rsidR="001C2DA1">
        <w:rPr>
          <w:rFonts w:ascii="Book Antiqua" w:hAnsi="Book Antiqua" w:cs="Arial"/>
          <w:color w:val="000000"/>
        </w:rPr>
        <w:t xml:space="preserve"> </w:t>
      </w:r>
      <w:bookmarkStart w:id="1" w:name="_GoBack"/>
      <w:r w:rsidR="004E4CDF">
        <w:rPr>
          <w:rFonts w:ascii="Book Antiqua" w:hAnsi="Book Antiqua" w:cs="Arial"/>
          <w:color w:val="000000"/>
        </w:rPr>
        <w:t>PA/06536/</w:t>
      </w:r>
      <w:r w:rsidR="00C3121D">
        <w:rPr>
          <w:rFonts w:ascii="Book Antiqua" w:hAnsi="Book Antiqua" w:cs="Arial"/>
          <w:color w:val="000000"/>
        </w:rPr>
        <w:t>20</w:t>
      </w:r>
      <w:r w:rsidR="004E4CDF">
        <w:rPr>
          <w:rFonts w:ascii="Book Antiqua" w:hAnsi="Book Antiqua" w:cs="Arial"/>
          <w:color w:val="000000"/>
        </w:rPr>
        <w:t>18</w:t>
      </w:r>
      <w:bookmarkEnd w:id="0"/>
      <w:bookmarkEnd w:id="1"/>
    </w:p>
    <w:p w:rsidR="001A3921" w:rsidRDefault="001A3921" w:rsidP="004356CB">
      <w:pPr>
        <w:tabs>
          <w:tab w:val="right" w:pos="9720"/>
        </w:tabs>
        <w:ind w:right="-82"/>
        <w:jc w:val="center"/>
        <w:rPr>
          <w:rFonts w:ascii="Book Antiqua" w:hAnsi="Book Antiqua" w:cs="Arial"/>
          <w:color w:val="000000"/>
        </w:rPr>
      </w:pPr>
    </w:p>
    <w:p w:rsidR="00D219F1" w:rsidRPr="00BB0BED" w:rsidRDefault="00D219F1" w:rsidP="004356CB">
      <w:pPr>
        <w:tabs>
          <w:tab w:val="right" w:pos="9720"/>
        </w:tabs>
        <w:ind w:right="-82"/>
        <w:jc w:val="center"/>
        <w:rPr>
          <w:rFonts w:ascii="Book Antiqua" w:hAnsi="Book Antiqua" w:cs="Arial"/>
          <w:color w:val="000000"/>
        </w:rPr>
      </w:pPr>
    </w:p>
    <w:p w:rsidR="00D219F1" w:rsidRPr="00BB0BED" w:rsidRDefault="00D219F1" w:rsidP="004356CB">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4356CB">
      <w:pPr>
        <w:jc w:val="center"/>
        <w:rPr>
          <w:rFonts w:ascii="Book Antiqua" w:hAnsi="Book Antiqua" w:cs="Arial"/>
          <w:b/>
        </w:rPr>
      </w:pPr>
    </w:p>
    <w:p w:rsidR="004356CB" w:rsidRPr="0019206C" w:rsidRDefault="004356CB" w:rsidP="004356CB">
      <w:pPr>
        <w:jc w:val="center"/>
        <w:rPr>
          <w:rFonts w:ascii="Book Antiqua" w:hAnsi="Book Antiqua" w:cs="Arial"/>
          <w:b/>
        </w:rPr>
      </w:pPr>
    </w:p>
    <w:tbl>
      <w:tblPr>
        <w:tblW w:w="5000" w:type="pct"/>
        <w:tblLook w:val="01E0" w:firstRow="1" w:lastRow="1" w:firstColumn="1" w:lastColumn="1" w:noHBand="0" w:noVBand="0"/>
      </w:tblPr>
      <w:tblGrid>
        <w:gridCol w:w="4819"/>
        <w:gridCol w:w="4819"/>
      </w:tblGrid>
      <w:tr w:rsidR="00233B48" w:rsidRPr="00C03009" w:rsidTr="004356CB">
        <w:tc>
          <w:tcPr>
            <w:tcW w:w="2500" w:type="pct"/>
          </w:tcPr>
          <w:p w:rsidR="00233B48" w:rsidRPr="00C03009" w:rsidRDefault="004356CB" w:rsidP="00233B48">
            <w:pPr>
              <w:jc w:val="both"/>
              <w:rPr>
                <w:rFonts w:ascii="Book Antiqua" w:hAnsi="Book Antiqua" w:cs="Arial"/>
                <w:b/>
              </w:rPr>
            </w:pPr>
            <w:r>
              <w:rPr>
                <w:rFonts w:ascii="Book Antiqua" w:hAnsi="Book Antiqua" w:cs="Arial"/>
                <w:b/>
              </w:rPr>
              <w:t>Heard at: Royal Courts of Justice</w:t>
            </w:r>
          </w:p>
        </w:tc>
        <w:tc>
          <w:tcPr>
            <w:tcW w:w="2500" w:type="pct"/>
          </w:tcPr>
          <w:p w:rsidR="00233B48" w:rsidRPr="00647587" w:rsidRDefault="004356CB" w:rsidP="004356CB">
            <w:pPr>
              <w:jc w:val="right"/>
              <w:rPr>
                <w:rFonts w:ascii="Book Antiqua" w:hAnsi="Book Antiqua" w:cs="Arial"/>
                <w:b/>
                <w:color w:val="000000"/>
              </w:rPr>
            </w:pPr>
            <w:r>
              <w:rPr>
                <w:rFonts w:ascii="Book Antiqua" w:hAnsi="Book Antiqua" w:cs="Arial"/>
                <w:b/>
                <w:color w:val="000000"/>
              </w:rPr>
              <w:t xml:space="preserve">Decision and Reason </w:t>
            </w:r>
            <w:r w:rsidRPr="00647587">
              <w:rPr>
                <w:rFonts w:ascii="Book Antiqua" w:hAnsi="Book Antiqua" w:cs="Arial"/>
                <w:b/>
                <w:color w:val="000000"/>
              </w:rPr>
              <w:t>Promulgated</w:t>
            </w:r>
          </w:p>
        </w:tc>
      </w:tr>
      <w:tr w:rsidR="00233B48" w:rsidRPr="00C03009" w:rsidTr="004356CB">
        <w:tc>
          <w:tcPr>
            <w:tcW w:w="2500" w:type="pct"/>
          </w:tcPr>
          <w:p w:rsidR="00233B48" w:rsidRPr="00C03009" w:rsidRDefault="004356CB" w:rsidP="00233B48">
            <w:pPr>
              <w:jc w:val="both"/>
              <w:rPr>
                <w:rFonts w:ascii="Book Antiqua" w:hAnsi="Book Antiqua" w:cs="Arial"/>
                <w:b/>
              </w:rPr>
            </w:pPr>
            <w:r>
              <w:rPr>
                <w:rFonts w:ascii="Book Antiqua" w:hAnsi="Book Antiqua" w:cs="Arial"/>
                <w:b/>
              </w:rPr>
              <w:t>On: 10</w:t>
            </w:r>
            <w:r w:rsidRPr="004E4CDF">
              <w:rPr>
                <w:rFonts w:ascii="Book Antiqua" w:hAnsi="Book Antiqua" w:cs="Arial"/>
                <w:b/>
                <w:vertAlign w:val="superscript"/>
              </w:rPr>
              <w:t>th</w:t>
            </w:r>
            <w:r>
              <w:rPr>
                <w:rFonts w:ascii="Book Antiqua" w:hAnsi="Book Antiqua" w:cs="Arial"/>
                <w:b/>
              </w:rPr>
              <w:t xml:space="preserve"> September 2018</w:t>
            </w:r>
          </w:p>
        </w:tc>
        <w:tc>
          <w:tcPr>
            <w:tcW w:w="2500" w:type="pct"/>
          </w:tcPr>
          <w:p w:rsidR="00233B48" w:rsidRPr="00C03009" w:rsidRDefault="004356CB" w:rsidP="004356CB">
            <w:pPr>
              <w:jc w:val="right"/>
              <w:rPr>
                <w:rFonts w:ascii="Book Antiqua" w:hAnsi="Book Antiqua" w:cs="Arial"/>
                <w:b/>
              </w:rPr>
            </w:pPr>
            <w:r>
              <w:rPr>
                <w:rFonts w:ascii="Book Antiqua" w:hAnsi="Book Antiqua" w:cs="Arial"/>
                <w:b/>
                <w:color w:val="000000"/>
              </w:rPr>
              <w:t>On: 13</w:t>
            </w:r>
            <w:r w:rsidRPr="00233B48">
              <w:rPr>
                <w:rFonts w:ascii="Book Antiqua" w:hAnsi="Book Antiqua" w:cs="Arial"/>
                <w:b/>
                <w:color w:val="000000"/>
                <w:vertAlign w:val="superscript"/>
              </w:rPr>
              <w:t>th</w:t>
            </w:r>
            <w:r>
              <w:rPr>
                <w:rFonts w:ascii="Book Antiqua" w:hAnsi="Book Antiqua" w:cs="Arial"/>
                <w:b/>
                <w:color w:val="000000"/>
              </w:rPr>
              <w:t xml:space="preserve"> September 2018</w:t>
            </w:r>
          </w:p>
        </w:tc>
      </w:tr>
      <w:tr w:rsidR="00233B48" w:rsidRPr="00C03009" w:rsidTr="004356CB">
        <w:tc>
          <w:tcPr>
            <w:tcW w:w="2500" w:type="pct"/>
          </w:tcPr>
          <w:p w:rsidR="00233B48" w:rsidRPr="00C03009" w:rsidRDefault="00233B48" w:rsidP="00233B48">
            <w:pPr>
              <w:jc w:val="both"/>
              <w:rPr>
                <w:rFonts w:ascii="Book Antiqua" w:hAnsi="Book Antiqua" w:cs="Arial"/>
                <w:b/>
              </w:rPr>
            </w:pPr>
          </w:p>
        </w:tc>
        <w:tc>
          <w:tcPr>
            <w:tcW w:w="2500" w:type="pct"/>
          </w:tcPr>
          <w:p w:rsidR="00233B48" w:rsidRPr="00C03009" w:rsidRDefault="00233B48" w:rsidP="004356CB">
            <w:pPr>
              <w:jc w:val="right"/>
              <w:rPr>
                <w:rFonts w:ascii="Book Antiqua" w:hAnsi="Book Antiqua" w:cs="Arial"/>
                <w:b/>
              </w:rPr>
            </w:pPr>
          </w:p>
        </w:tc>
      </w:tr>
    </w:tbl>
    <w:p w:rsidR="004356CB" w:rsidRDefault="004356CB"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4356CB" w:rsidRDefault="004356CB" w:rsidP="00503887">
      <w:pPr>
        <w:jc w:val="center"/>
        <w:outlineLvl w:val="0"/>
        <w:rPr>
          <w:rFonts w:ascii="Book Antiqua" w:hAnsi="Book Antiqua" w:cs="Arial"/>
          <w:b/>
        </w:rPr>
      </w:pPr>
    </w:p>
    <w:p w:rsidR="00D219F1" w:rsidRPr="00217340" w:rsidRDefault="00D219F1" w:rsidP="00503887">
      <w:pPr>
        <w:jc w:val="center"/>
        <w:outlineLvl w:val="0"/>
        <w:rPr>
          <w:rFonts w:ascii="Book Antiqua" w:hAnsi="Book Antiqua" w:cs="Arial"/>
          <w:b/>
        </w:rPr>
      </w:pPr>
      <w:r w:rsidRPr="00217340">
        <w:rPr>
          <w:rFonts w:ascii="Book Antiqua" w:hAnsi="Book Antiqua" w:cs="Arial"/>
          <w:b/>
        </w:rPr>
        <w:t>Between</w:t>
      </w:r>
    </w:p>
    <w:p w:rsidR="00A11090" w:rsidRDefault="00A11090" w:rsidP="00503887">
      <w:pPr>
        <w:jc w:val="center"/>
        <w:rPr>
          <w:rFonts w:ascii="Book Antiqua" w:hAnsi="Book Antiqua" w:cs="Arial"/>
          <w:b/>
        </w:rPr>
      </w:pPr>
    </w:p>
    <w:p w:rsidR="004E4CDF" w:rsidRDefault="004E4CDF" w:rsidP="00A11090">
      <w:pPr>
        <w:jc w:val="center"/>
        <w:rPr>
          <w:rFonts w:ascii="Book Antiqua" w:hAnsi="Book Antiqua" w:cs="Arial"/>
          <w:b/>
        </w:rPr>
      </w:pPr>
      <w:r>
        <w:rPr>
          <w:rFonts w:ascii="Book Antiqua" w:hAnsi="Book Antiqua" w:cs="Arial"/>
          <w:b/>
        </w:rPr>
        <w:t>Secretary of State for the Home Department</w:t>
      </w:r>
    </w:p>
    <w:p w:rsidR="00D219F1" w:rsidRPr="00217340" w:rsidRDefault="00703A83" w:rsidP="00503887">
      <w:pPr>
        <w:jc w:val="right"/>
        <w:outlineLvl w:val="0"/>
        <w:rPr>
          <w:rFonts w:ascii="Book Antiqua" w:hAnsi="Book Antiqua" w:cs="Arial"/>
          <w:u w:val="single"/>
        </w:rPr>
      </w:pPr>
      <w:r w:rsidRPr="00217340">
        <w:rPr>
          <w:rFonts w:ascii="Book Antiqua" w:hAnsi="Book Antiqua" w:cs="Arial"/>
          <w:u w:val="single"/>
        </w:rPr>
        <w:t>Appellant</w:t>
      </w:r>
    </w:p>
    <w:p w:rsidR="00D219F1" w:rsidRDefault="00764A18" w:rsidP="00503887">
      <w:pPr>
        <w:jc w:val="center"/>
        <w:rPr>
          <w:rFonts w:ascii="Book Antiqua" w:hAnsi="Book Antiqua" w:cs="Arial"/>
          <w:b/>
        </w:rPr>
      </w:pPr>
      <w:r w:rsidRPr="00217340">
        <w:rPr>
          <w:rFonts w:ascii="Book Antiqua" w:hAnsi="Book Antiqua" w:cs="Arial"/>
          <w:b/>
        </w:rPr>
        <w:t>A</w:t>
      </w:r>
      <w:r w:rsidR="00D219F1" w:rsidRPr="00217340">
        <w:rPr>
          <w:rFonts w:ascii="Book Antiqua" w:hAnsi="Book Antiqua" w:cs="Arial"/>
          <w:b/>
        </w:rPr>
        <w:t>nd</w:t>
      </w:r>
    </w:p>
    <w:p w:rsidR="004E4CDF" w:rsidRDefault="004E4CDF" w:rsidP="00503887">
      <w:pPr>
        <w:jc w:val="center"/>
        <w:rPr>
          <w:rFonts w:ascii="Book Antiqua" w:hAnsi="Book Antiqua" w:cs="Arial"/>
          <w:b/>
        </w:rPr>
      </w:pPr>
    </w:p>
    <w:p w:rsidR="004E4CDF" w:rsidRDefault="004E4CDF" w:rsidP="004E4CDF">
      <w:pPr>
        <w:jc w:val="center"/>
        <w:rPr>
          <w:rFonts w:ascii="Book Antiqua" w:hAnsi="Book Antiqua" w:cs="Arial"/>
          <w:b/>
        </w:rPr>
      </w:pPr>
      <w:r>
        <w:rPr>
          <w:rFonts w:ascii="Book Antiqua" w:hAnsi="Book Antiqua" w:cs="Arial"/>
          <w:b/>
        </w:rPr>
        <w:t>LT (Algeria)</w:t>
      </w:r>
    </w:p>
    <w:p w:rsidR="004E4CDF" w:rsidRPr="00217340" w:rsidRDefault="004E4CDF" w:rsidP="004E4CDF">
      <w:pPr>
        <w:jc w:val="center"/>
        <w:rPr>
          <w:rFonts w:ascii="Book Antiqua" w:hAnsi="Book Antiqua" w:cs="Arial"/>
          <w:b/>
        </w:rPr>
      </w:pPr>
      <w:r>
        <w:rPr>
          <w:rFonts w:ascii="Book Antiqua" w:hAnsi="Book Antiqua" w:cs="Arial"/>
          <w:b/>
        </w:rPr>
        <w:t>(anonymity direction made)</w:t>
      </w:r>
    </w:p>
    <w:p w:rsidR="007B4C94" w:rsidRDefault="007B4C94" w:rsidP="004356CB">
      <w:pPr>
        <w:jc w:val="right"/>
        <w:outlineLvl w:val="0"/>
        <w:rPr>
          <w:rFonts w:ascii="Book Antiqua" w:hAnsi="Book Antiqua" w:cs="Arial"/>
          <w:u w:val="single"/>
        </w:rPr>
      </w:pPr>
      <w:r w:rsidRPr="00217340">
        <w:rPr>
          <w:rFonts w:ascii="Book Antiqua" w:hAnsi="Book Antiqua" w:cs="Arial"/>
          <w:u w:val="single"/>
        </w:rPr>
        <w:t>Respondent</w:t>
      </w:r>
    </w:p>
    <w:p w:rsidR="009A0729" w:rsidRDefault="009A0729" w:rsidP="00473C4B">
      <w:pPr>
        <w:rPr>
          <w:rFonts w:ascii="Book Antiqua" w:hAnsi="Book Antiqua" w:cs="Arial"/>
          <w:b/>
        </w:rPr>
      </w:pPr>
    </w:p>
    <w:p w:rsidR="00834082" w:rsidRPr="0017391C" w:rsidRDefault="00834082" w:rsidP="00473C4B">
      <w:pPr>
        <w:rPr>
          <w:rFonts w:ascii="Book Antiqua" w:hAnsi="Book Antiqua" w:cs="Arial"/>
          <w:b/>
        </w:rPr>
      </w:pPr>
    </w:p>
    <w:p w:rsidR="00A11090" w:rsidRPr="004E2846" w:rsidRDefault="00A11090" w:rsidP="00A11090">
      <w:pPr>
        <w:rPr>
          <w:rFonts w:ascii="Book Antiqua" w:hAnsi="Book Antiqua" w:cs="Arial"/>
          <w:b/>
        </w:rPr>
      </w:pPr>
      <w:r w:rsidRPr="007B4C94">
        <w:rPr>
          <w:rFonts w:ascii="Book Antiqua" w:hAnsi="Book Antiqua" w:cs="Arial"/>
          <w:b/>
        </w:rPr>
        <w:t>For the Appellant:</w:t>
      </w:r>
      <w:r w:rsidRPr="007B4C94">
        <w:rPr>
          <w:rFonts w:ascii="Book Antiqua" w:hAnsi="Book Antiqua" w:cs="Arial"/>
          <w:b/>
        </w:rPr>
        <w:tab/>
      </w:r>
      <w:r w:rsidRPr="007B4C94">
        <w:rPr>
          <w:rFonts w:ascii="Book Antiqua" w:hAnsi="Book Antiqua" w:cs="Arial"/>
          <w:b/>
        </w:rPr>
        <w:tab/>
      </w:r>
      <w:r w:rsidR="00BE13DE" w:rsidRPr="005E086F">
        <w:rPr>
          <w:rFonts w:ascii="Book Antiqua" w:hAnsi="Book Antiqua" w:cs="Arial"/>
          <w:b/>
        </w:rPr>
        <w:t xml:space="preserve">Mr </w:t>
      </w:r>
      <w:r w:rsidR="004356CB" w:rsidRPr="005E086F">
        <w:rPr>
          <w:rFonts w:ascii="Book Antiqua" w:hAnsi="Book Antiqua" w:cs="Arial"/>
          <w:b/>
        </w:rPr>
        <w:t>Melvin,</w:t>
      </w:r>
      <w:r w:rsidR="004356CB">
        <w:rPr>
          <w:rFonts w:ascii="Book Antiqua" w:hAnsi="Book Antiqua" w:cs="Arial"/>
          <w:b/>
        </w:rPr>
        <w:t xml:space="preserve"> Senior</w:t>
      </w:r>
      <w:r w:rsidR="008871AC" w:rsidRPr="004E2846">
        <w:rPr>
          <w:rFonts w:ascii="Book Antiqua" w:hAnsi="Book Antiqua" w:cs="Arial"/>
          <w:b/>
        </w:rPr>
        <w:t xml:space="preserve"> Home Office Presenting Officer</w:t>
      </w:r>
    </w:p>
    <w:p w:rsidR="00832393" w:rsidRPr="004E2846" w:rsidRDefault="004E4CDF" w:rsidP="00F8174D">
      <w:pPr>
        <w:rPr>
          <w:rFonts w:ascii="Book Antiqua" w:hAnsi="Book Antiqua" w:cs="Arial"/>
          <w:b/>
        </w:rPr>
      </w:pPr>
      <w:r w:rsidRPr="004E2846">
        <w:rPr>
          <w:rFonts w:ascii="Book Antiqua" w:hAnsi="Book Antiqua" w:cs="Arial"/>
          <w:b/>
        </w:rPr>
        <w:t>For the Respondent:</w:t>
      </w:r>
      <w:r w:rsidRPr="004E2846">
        <w:rPr>
          <w:rFonts w:ascii="Book Antiqua" w:hAnsi="Book Antiqua" w:cs="Arial"/>
          <w:b/>
        </w:rPr>
        <w:tab/>
      </w:r>
      <w:r w:rsidR="005E086F" w:rsidRPr="004E2846">
        <w:rPr>
          <w:rFonts w:ascii="Book Antiqua" w:hAnsi="Book Antiqua" w:cs="Arial"/>
          <w:b/>
        </w:rPr>
        <w:t xml:space="preserve">Ms </w:t>
      </w:r>
      <w:r w:rsidR="00BE13DE" w:rsidRPr="004E2846">
        <w:rPr>
          <w:rFonts w:ascii="Book Antiqua" w:hAnsi="Book Antiqua" w:cs="Arial"/>
          <w:b/>
        </w:rPr>
        <w:t xml:space="preserve">Radford, Counsel instructed </w:t>
      </w:r>
      <w:r w:rsidR="005E086F" w:rsidRPr="004E2846">
        <w:rPr>
          <w:rFonts w:ascii="Book Antiqua" w:hAnsi="Book Antiqua" w:cs="Arial"/>
          <w:b/>
        </w:rPr>
        <w:t>b</w:t>
      </w:r>
      <w:r w:rsidR="004E2846" w:rsidRPr="004E2846">
        <w:rPr>
          <w:rFonts w:ascii="Book Antiqua" w:hAnsi="Book Antiqua" w:cs="Arial"/>
          <w:b/>
        </w:rPr>
        <w:t>y direct access</w:t>
      </w:r>
    </w:p>
    <w:p w:rsidR="00E96F21" w:rsidRPr="004E2846" w:rsidRDefault="00E96F21" w:rsidP="00473C4B">
      <w:pPr>
        <w:rPr>
          <w:rFonts w:ascii="Book Antiqua" w:hAnsi="Book Antiqua" w:cs="Arial"/>
          <w:b/>
        </w:rPr>
      </w:pPr>
    </w:p>
    <w:p w:rsidR="005E086F" w:rsidRPr="004E2846" w:rsidRDefault="005E086F" w:rsidP="00473C4B">
      <w:pPr>
        <w:rPr>
          <w:rFonts w:ascii="Book Antiqua" w:hAnsi="Book Antiqua" w:cs="Arial"/>
          <w:b/>
        </w:rPr>
      </w:pPr>
    </w:p>
    <w:p w:rsidR="00832393" w:rsidRPr="00A80E09" w:rsidRDefault="00C0651F" w:rsidP="00533C1B">
      <w:pPr>
        <w:tabs>
          <w:tab w:val="left" w:pos="2520"/>
        </w:tabs>
        <w:jc w:val="center"/>
        <w:outlineLvl w:val="0"/>
        <w:rPr>
          <w:rFonts w:ascii="Book Antiqua" w:hAnsi="Book Antiqua" w:cs="Arial"/>
          <w:b/>
          <w:u w:val="single"/>
        </w:rPr>
      </w:pPr>
      <w:r w:rsidRPr="004E2846">
        <w:rPr>
          <w:rFonts w:ascii="Book Antiqua" w:hAnsi="Book Antiqua" w:cs="Arial"/>
          <w:b/>
          <w:u w:val="single"/>
        </w:rPr>
        <w:t xml:space="preserve">DECISION AND </w:t>
      </w:r>
      <w:r w:rsidR="004E2846" w:rsidRPr="004E2846">
        <w:rPr>
          <w:rFonts w:ascii="Book Antiqua" w:hAnsi="Book Antiqua" w:cs="Arial"/>
          <w:b/>
          <w:u w:val="single"/>
        </w:rPr>
        <w:t>REASON</w:t>
      </w:r>
      <w:r w:rsidRPr="004E2846">
        <w:rPr>
          <w:rFonts w:ascii="Book Antiqua" w:hAnsi="Book Antiqua" w:cs="Arial"/>
          <w:b/>
          <w:u w:val="single"/>
        </w:rPr>
        <w:t>S</w:t>
      </w:r>
    </w:p>
    <w:p w:rsidR="00A654E6" w:rsidRDefault="0019206C" w:rsidP="004356CB">
      <w:pPr>
        <w:numPr>
          <w:ilvl w:val="0"/>
          <w:numId w:val="1"/>
        </w:numPr>
        <w:tabs>
          <w:tab w:val="clear" w:pos="1080"/>
          <w:tab w:val="left" w:pos="1134"/>
        </w:tabs>
        <w:spacing w:before="240"/>
        <w:ind w:left="567" w:right="567" w:hanging="567"/>
        <w:jc w:val="both"/>
        <w:rPr>
          <w:rFonts w:ascii="Book Antiqua" w:hAnsi="Book Antiqua" w:cs="Arial"/>
        </w:rPr>
      </w:pPr>
      <w:r w:rsidRPr="00A80E09">
        <w:rPr>
          <w:rFonts w:ascii="Book Antiqua" w:hAnsi="Book Antiqua" w:cs="Arial"/>
        </w:rPr>
        <w:t>T</w:t>
      </w:r>
      <w:r w:rsidR="00B9548C" w:rsidRPr="00A80E09">
        <w:rPr>
          <w:rFonts w:ascii="Book Antiqua" w:hAnsi="Book Antiqua" w:cs="Arial"/>
        </w:rPr>
        <w:t>he</w:t>
      </w:r>
      <w:r w:rsidR="002F5FFF" w:rsidRPr="00A80E09">
        <w:rPr>
          <w:rFonts w:ascii="Book Antiqua" w:hAnsi="Book Antiqua" w:cs="Arial"/>
        </w:rPr>
        <w:t xml:space="preserve"> </w:t>
      </w:r>
      <w:r w:rsidR="00A654E6">
        <w:rPr>
          <w:rFonts w:ascii="Book Antiqua" w:hAnsi="Book Antiqua" w:cs="Arial"/>
        </w:rPr>
        <w:t xml:space="preserve">Respondent is a </w:t>
      </w:r>
      <w:r w:rsidR="00A11090">
        <w:rPr>
          <w:rFonts w:ascii="Book Antiqua" w:hAnsi="Book Antiqua" w:cs="Arial"/>
        </w:rPr>
        <w:t xml:space="preserve">national of </w:t>
      </w:r>
      <w:r w:rsidR="00834082">
        <w:rPr>
          <w:rFonts w:ascii="Book Antiqua" w:hAnsi="Book Antiqua" w:cs="Arial"/>
        </w:rPr>
        <w:t>Al</w:t>
      </w:r>
      <w:r w:rsidR="00A654E6">
        <w:rPr>
          <w:rFonts w:ascii="Book Antiqua" w:hAnsi="Book Antiqua" w:cs="Arial"/>
        </w:rPr>
        <w:t>geria born in 1986</w:t>
      </w:r>
      <w:r w:rsidR="008871AC">
        <w:rPr>
          <w:rFonts w:ascii="Book Antiqua" w:hAnsi="Book Antiqua" w:cs="Arial"/>
        </w:rPr>
        <w:t xml:space="preserve">. </w:t>
      </w:r>
      <w:r w:rsidR="00A654E6">
        <w:rPr>
          <w:rFonts w:ascii="Book Antiqua" w:hAnsi="Book Antiqua" w:cs="Arial"/>
        </w:rPr>
        <w:t xml:space="preserve"> On the 23</w:t>
      </w:r>
      <w:r w:rsidR="00A654E6" w:rsidRPr="00A654E6">
        <w:rPr>
          <w:rFonts w:ascii="Book Antiqua" w:hAnsi="Book Antiqua" w:cs="Arial"/>
          <w:vertAlign w:val="superscript"/>
        </w:rPr>
        <w:t>rd</w:t>
      </w:r>
      <w:r w:rsidR="00A654E6">
        <w:rPr>
          <w:rFonts w:ascii="Book Antiqua" w:hAnsi="Book Antiqua" w:cs="Arial"/>
        </w:rPr>
        <w:t xml:space="preserve"> July 2018 the First-tier Tribunal (Judge Woolf) allowed his appeal on both protection and human rights grounds. The Secretary of State for the Home Department seeks to deport the Respondent, and now has permission to appeal against the First-tier Tribunal decision.</w:t>
      </w:r>
    </w:p>
    <w:p w:rsidR="00834082" w:rsidRDefault="00834082" w:rsidP="004356CB">
      <w:pPr>
        <w:tabs>
          <w:tab w:val="left" w:pos="567"/>
        </w:tabs>
        <w:spacing w:before="240"/>
        <w:ind w:left="567" w:right="567"/>
        <w:jc w:val="both"/>
        <w:rPr>
          <w:rFonts w:ascii="Book Antiqua" w:hAnsi="Book Antiqua" w:cs="Arial"/>
        </w:rPr>
      </w:pPr>
    </w:p>
    <w:p w:rsidR="00834082" w:rsidRPr="00834082" w:rsidRDefault="00834082" w:rsidP="004356CB">
      <w:pPr>
        <w:tabs>
          <w:tab w:val="left" w:pos="567"/>
        </w:tabs>
        <w:spacing w:before="240"/>
        <w:ind w:left="567" w:right="567"/>
        <w:jc w:val="both"/>
        <w:rPr>
          <w:rFonts w:ascii="Book Antiqua" w:hAnsi="Book Antiqua" w:cs="Arial"/>
          <w:b/>
        </w:rPr>
      </w:pPr>
      <w:r w:rsidRPr="00834082">
        <w:rPr>
          <w:rFonts w:ascii="Book Antiqua" w:hAnsi="Book Antiqua" w:cs="Arial"/>
          <w:b/>
        </w:rPr>
        <w:lastRenderedPageBreak/>
        <w:t>Anonymity</w:t>
      </w:r>
    </w:p>
    <w:p w:rsidR="00712574" w:rsidRPr="00CD566B" w:rsidRDefault="00712574"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This case concerns a claim for int</w:t>
      </w:r>
      <w:r w:rsidR="00A654E6">
        <w:rPr>
          <w:rFonts w:ascii="Book Antiqua" w:hAnsi="Book Antiqua" w:cs="Arial"/>
        </w:rPr>
        <w:t>ernational protection</w:t>
      </w:r>
      <w:r>
        <w:rPr>
          <w:rFonts w:ascii="Book Antiqua" w:hAnsi="Book Antiqua" w:cs="Arial"/>
        </w:rPr>
        <w:t>.</w:t>
      </w:r>
      <w:r w:rsidRPr="00CD566B">
        <w:rPr>
          <w:rFonts w:ascii="Book Antiqua" w:hAnsi="Book Antiqua" w:cs="Arial"/>
        </w:rPr>
        <w:t xml:space="preserve"> </w:t>
      </w:r>
      <w:r>
        <w:rPr>
          <w:rFonts w:ascii="Book Antiqua" w:hAnsi="Book Antiqua" w:cs="Arial"/>
        </w:rPr>
        <w:t xml:space="preserve"> I have</w:t>
      </w:r>
      <w:r w:rsidRPr="00CD566B">
        <w:rPr>
          <w:rFonts w:ascii="Book Antiqua" w:hAnsi="Book Antiqua" w:cs="Arial"/>
        </w:rPr>
        <w:t xml:space="preserve"> had regard to Rule 14 of the Tribunal Procedure (Upper Tribunal) Rules 2008 and the Presidential Guidance Note No 1 of 2013: Anonymity Orders</w:t>
      </w:r>
      <w:r>
        <w:rPr>
          <w:rFonts w:ascii="Book Antiqua" w:hAnsi="Book Antiqua" w:cs="Arial"/>
        </w:rPr>
        <w:t xml:space="preserve"> and </w:t>
      </w:r>
      <w:r w:rsidRPr="00CD566B">
        <w:rPr>
          <w:rFonts w:ascii="Book Antiqua" w:hAnsi="Book Antiqua" w:cs="Arial"/>
        </w:rPr>
        <w:t xml:space="preserve">I consider it appropriate to make an order in the following terms: </w:t>
      </w:r>
    </w:p>
    <w:p w:rsidR="00712574" w:rsidRPr="004356CB" w:rsidRDefault="00712574" w:rsidP="004356CB">
      <w:pPr>
        <w:spacing w:before="120"/>
        <w:ind w:left="1134" w:right="567"/>
        <w:jc w:val="both"/>
        <w:rPr>
          <w:rFonts w:ascii="Book Antiqua" w:hAnsi="Book Antiqua"/>
        </w:rPr>
      </w:pPr>
      <w:r w:rsidRPr="004356CB">
        <w:rPr>
          <w:rFonts w:ascii="Book Antiqua" w:hAnsi="Book Antiqua"/>
        </w:rPr>
        <w:t>“Unless and until a tribunal or court</w:t>
      </w:r>
      <w:r w:rsidR="00A654E6" w:rsidRPr="004356CB">
        <w:rPr>
          <w:rFonts w:ascii="Book Antiqua" w:hAnsi="Book Antiqua"/>
        </w:rPr>
        <w:t xml:space="preserve"> directs otherwise, the Respondent is</w:t>
      </w:r>
      <w:r w:rsidRPr="004356CB">
        <w:rPr>
          <w:rFonts w:ascii="Book Antiqua" w:hAnsi="Book Antiqua"/>
        </w:rPr>
        <w:t xml:space="preserve"> granted anonymity.  No report of these proceedings shall directly or indirectly ide</w:t>
      </w:r>
      <w:r w:rsidR="00A654E6" w:rsidRPr="004356CB">
        <w:rPr>
          <w:rFonts w:ascii="Book Antiqua" w:hAnsi="Book Antiqua"/>
        </w:rPr>
        <w:t>ntify him</w:t>
      </w:r>
      <w:r w:rsidRPr="004356CB">
        <w:rPr>
          <w:rFonts w:ascii="Book Antiqua" w:hAnsi="Book Antiqua"/>
        </w:rPr>
        <w:t xml:space="preserve"> or any</w:t>
      </w:r>
      <w:r w:rsidR="00A654E6" w:rsidRPr="004356CB">
        <w:rPr>
          <w:rFonts w:ascii="Book Antiqua" w:hAnsi="Book Antiqua"/>
        </w:rPr>
        <w:t xml:space="preserve"> member of his</w:t>
      </w:r>
      <w:r w:rsidRPr="004356CB">
        <w:rPr>
          <w:rFonts w:ascii="Book Antiqua" w:hAnsi="Book Antiqua"/>
        </w:rPr>
        <w:t xml:space="preserve"> family.  This direction applies to, amongst others, both the Appellant and the Respondent.  Failure to comply with this direction could lead to contempt of court proceedings”</w:t>
      </w:r>
    </w:p>
    <w:p w:rsidR="00712574" w:rsidRDefault="00712574" w:rsidP="004356CB">
      <w:pPr>
        <w:tabs>
          <w:tab w:val="left" w:pos="567"/>
        </w:tabs>
        <w:spacing w:before="240"/>
        <w:ind w:left="567" w:right="567"/>
        <w:jc w:val="both"/>
        <w:rPr>
          <w:rFonts w:ascii="Book Antiqua" w:hAnsi="Book Antiqua" w:cs="Arial"/>
        </w:rPr>
      </w:pPr>
    </w:p>
    <w:p w:rsidR="00712574" w:rsidRPr="00712574" w:rsidRDefault="00712574" w:rsidP="004356CB">
      <w:pPr>
        <w:tabs>
          <w:tab w:val="left" w:pos="567"/>
        </w:tabs>
        <w:spacing w:before="240"/>
        <w:ind w:left="567" w:right="567"/>
        <w:jc w:val="both"/>
        <w:rPr>
          <w:rFonts w:ascii="Book Antiqua" w:hAnsi="Book Antiqua" w:cs="Arial"/>
          <w:b/>
        </w:rPr>
      </w:pPr>
      <w:r w:rsidRPr="00712574">
        <w:rPr>
          <w:rFonts w:ascii="Book Antiqua" w:hAnsi="Book Antiqua" w:cs="Arial"/>
          <w:b/>
        </w:rPr>
        <w:t>Background</w:t>
      </w:r>
    </w:p>
    <w:p w:rsidR="00A654E6" w:rsidRDefault="008871AC"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The </w:t>
      </w:r>
      <w:r w:rsidR="005E086F">
        <w:rPr>
          <w:rFonts w:ascii="Book Antiqua" w:hAnsi="Book Antiqua" w:cs="Arial"/>
        </w:rPr>
        <w:t>chronology of events, insofar as is relevant to this appeal, is as follows:</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6379"/>
      </w:tblGrid>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28 September 2010</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LT’s claimed arrival date in the United Kingdom. He claims to have entered the country clandestinely using a forged French passport obtained in Belgium</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October 2010</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LT arrested for possession of the forged French passport</w:t>
            </w:r>
            <w:r>
              <w:rPr>
                <w:rFonts w:ascii="Book Antiqua" w:hAnsi="Book Antiqua" w:cs="Arial"/>
              </w:rPr>
              <w:t xml:space="preserve"> </w:t>
            </w:r>
            <w:r>
              <w:rPr>
                <w:rFonts w:ascii="Book Antiqua" w:hAnsi="Book Antiqua" w:cs="Arial"/>
              </w:rPr>
              <w:t>and sentenced to 10 months imprisonment</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24 November 2010</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LT claimed asylum on the grounds that he had come to the attention of the Algerian authorities because two of his brothers were involved in Islamist organisations in Algeria. He further asserted that he feared these groups, who wished to recruit him</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20 December 2010</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Asylum refused</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28 April 2011</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 xml:space="preserve">Asylum appeal dismissed by First-tier Tribunal Judge </w:t>
            </w:r>
            <w:proofErr w:type="spellStart"/>
            <w:r>
              <w:rPr>
                <w:rFonts w:ascii="Book Antiqua" w:hAnsi="Book Antiqua" w:cs="Arial"/>
              </w:rPr>
              <w:t>Jhirad</w:t>
            </w:r>
            <w:proofErr w:type="spellEnd"/>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7 June 2011</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Upper Tribunal refuses permission to appeal against First-tier Tribunal decision</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24 March 2017</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 xml:space="preserve">Anti-terrorism police attend the Appellant’s address in Oxford in connection with an inquiry into an attack that took place at Brussels airport on in March 2016 </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22 September 2017</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LT convicted of possession of a false identity document and sentenced to 11 months in prison</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lastRenderedPageBreak/>
              <w:t>30 October 2017</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 xml:space="preserve">LT asserts fear of return to Algeria on grounds that he is now wanted by the Algerian authorities in connection with the investigation into the Belgium attack. He places reliance on </w:t>
            </w:r>
            <w:r w:rsidRPr="00F86B8B">
              <w:rPr>
                <w:rFonts w:ascii="Book Antiqua" w:hAnsi="Book Antiqua" w:cs="Arial"/>
                <w:u w:val="single"/>
              </w:rPr>
              <w:t>AF (terrorist suspects - HS (Algeria) confirmed)</w:t>
            </w:r>
            <w:r>
              <w:rPr>
                <w:rFonts w:ascii="Book Antiqua" w:hAnsi="Book Antiqua" w:cs="Arial"/>
              </w:rPr>
              <w:t xml:space="preserve"> Algeria CG [2009] UKAIT 00023.</w:t>
            </w:r>
          </w:p>
        </w:tc>
      </w:tr>
      <w:tr w:rsidR="00276B18" w:rsidTr="00276B18">
        <w:tc>
          <w:tcPr>
            <w:tcW w:w="2263" w:type="dxa"/>
          </w:tcPr>
          <w:p w:rsidR="00276B18" w:rsidRDefault="00276B18" w:rsidP="00276B18">
            <w:pPr>
              <w:spacing w:before="160" w:after="160"/>
              <w:rPr>
                <w:rFonts w:ascii="Book Antiqua" w:hAnsi="Book Antiqua" w:cs="Arial"/>
              </w:rPr>
            </w:pPr>
            <w:r>
              <w:rPr>
                <w:rFonts w:ascii="Book Antiqua" w:hAnsi="Book Antiqua" w:cs="Arial"/>
              </w:rPr>
              <w:t>14 May 2018</w:t>
            </w:r>
          </w:p>
        </w:tc>
        <w:tc>
          <w:tcPr>
            <w:tcW w:w="6379" w:type="dxa"/>
          </w:tcPr>
          <w:p w:rsidR="00276B18" w:rsidRDefault="00276B18" w:rsidP="00276B18">
            <w:pPr>
              <w:tabs>
                <w:tab w:val="left" w:pos="567"/>
              </w:tabs>
              <w:spacing w:before="160" w:after="160"/>
              <w:rPr>
                <w:rFonts w:ascii="Book Antiqua" w:hAnsi="Book Antiqua" w:cs="Arial"/>
              </w:rPr>
            </w:pPr>
            <w:r>
              <w:rPr>
                <w:rFonts w:ascii="Book Antiqua" w:hAnsi="Book Antiqua" w:cs="Arial"/>
              </w:rPr>
              <w:t>The Secretary of State refuses protection</w:t>
            </w:r>
          </w:p>
        </w:tc>
      </w:tr>
    </w:tbl>
    <w:p w:rsidR="000A3392" w:rsidRDefault="000A3392"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The Secretary of State refused to grant protection on the grounds that LF’s claimed fear was baseless. The Secretary of State rejected his credibility as a witness and relied on the findings of Judge </w:t>
      </w:r>
      <w:proofErr w:type="spellStart"/>
      <w:r>
        <w:rPr>
          <w:rFonts w:ascii="Book Antiqua" w:hAnsi="Book Antiqua" w:cs="Arial"/>
        </w:rPr>
        <w:t>Jhirad</w:t>
      </w:r>
      <w:proofErr w:type="spellEnd"/>
      <w:r>
        <w:rPr>
          <w:rFonts w:ascii="Book Antiqua" w:hAnsi="Book Antiqua" w:cs="Arial"/>
        </w:rPr>
        <w:t xml:space="preserve"> in 2011 that the Appellant’s claim was “hopeless”. </w:t>
      </w:r>
    </w:p>
    <w:p w:rsidR="000A3392" w:rsidRDefault="000A3392" w:rsidP="004356CB">
      <w:pPr>
        <w:numPr>
          <w:ilvl w:val="0"/>
          <w:numId w:val="1"/>
        </w:numPr>
        <w:tabs>
          <w:tab w:val="clear" w:pos="1080"/>
          <w:tab w:val="left" w:pos="1134"/>
        </w:tabs>
        <w:spacing w:before="240"/>
        <w:ind w:left="567" w:right="567" w:hanging="567"/>
        <w:jc w:val="both"/>
        <w:rPr>
          <w:rFonts w:ascii="Book Antiqua" w:hAnsi="Book Antiqua" w:cs="Arial"/>
        </w:rPr>
      </w:pPr>
      <w:r w:rsidRPr="000A3392">
        <w:rPr>
          <w:rFonts w:ascii="Book Antiqua" w:hAnsi="Book Antiqua" w:cs="Arial"/>
        </w:rPr>
        <w:t>When LT appealed to the First-tier Tribunal he did so without representation (I note that Ms Radford’s involvement in this stage of the appellate process appears to be the first time that LT has ever had legal representation).  He attended th</w:t>
      </w:r>
      <w:r>
        <w:rPr>
          <w:rFonts w:ascii="Book Antiqua" w:hAnsi="Book Antiqua" w:cs="Arial"/>
        </w:rPr>
        <w:t xml:space="preserve">e hearing accompanied by two witnesses. A Mr Joseph Devlin testified that he was LT’s landlord in Oxford, </w:t>
      </w:r>
      <w:r w:rsidR="000B6143">
        <w:rPr>
          <w:rFonts w:ascii="Book Antiqua" w:hAnsi="Book Antiqua" w:cs="Arial"/>
        </w:rPr>
        <w:t>and that he had been present at the property at 6.30am on the 24</w:t>
      </w:r>
      <w:r w:rsidR="000B6143" w:rsidRPr="000B6143">
        <w:rPr>
          <w:rFonts w:ascii="Book Antiqua" w:hAnsi="Book Antiqua" w:cs="Arial"/>
          <w:vertAlign w:val="superscript"/>
        </w:rPr>
        <w:t>th</w:t>
      </w:r>
      <w:r w:rsidR="000B6143">
        <w:rPr>
          <w:rFonts w:ascii="Book Antiqua" w:hAnsi="Book Antiqua" w:cs="Arial"/>
        </w:rPr>
        <w:t xml:space="preserve"> March 2017 when black-clad anti-terror police were conducting a search. LT was away at the time but police apprehended and arr</w:t>
      </w:r>
      <w:r w:rsidR="00A93004">
        <w:rPr>
          <w:rFonts w:ascii="Book Antiqua" w:hAnsi="Book Antiqua" w:cs="Arial"/>
        </w:rPr>
        <w:t xml:space="preserve">ested </w:t>
      </w:r>
      <w:r w:rsidR="000B6143">
        <w:rPr>
          <w:rFonts w:ascii="Book Antiqua" w:hAnsi="Book Antiqua" w:cs="Arial"/>
        </w:rPr>
        <w:t>flatmate</w:t>
      </w:r>
      <w:r w:rsidR="00A93004">
        <w:rPr>
          <w:rFonts w:ascii="Book Antiqua" w:hAnsi="Book Antiqua" w:cs="Arial"/>
        </w:rPr>
        <w:t>s</w:t>
      </w:r>
      <w:r w:rsidR="000D78B7">
        <w:rPr>
          <w:rFonts w:ascii="Book Antiqua" w:hAnsi="Book Antiqua" w:cs="Arial"/>
        </w:rPr>
        <w:t>, two</w:t>
      </w:r>
      <w:r w:rsidR="00A93004">
        <w:rPr>
          <w:rFonts w:ascii="Book Antiqua" w:hAnsi="Book Antiqua" w:cs="Arial"/>
        </w:rPr>
        <w:t xml:space="preserve"> men named</w:t>
      </w:r>
      <w:r w:rsidR="000B6143">
        <w:rPr>
          <w:rFonts w:ascii="Book Antiqua" w:hAnsi="Book Antiqua" w:cs="Arial"/>
        </w:rPr>
        <w:t xml:space="preserve"> </w:t>
      </w:r>
      <w:r w:rsidR="00A93004">
        <w:rPr>
          <w:rFonts w:ascii="Book Antiqua" w:hAnsi="Book Antiqua" w:cs="Arial"/>
        </w:rPr>
        <w:t>Ayoub and Haj</w:t>
      </w:r>
      <w:r w:rsidR="000D78B7">
        <w:rPr>
          <w:rFonts w:ascii="Book Antiqua" w:hAnsi="Book Antiqua" w:cs="Arial"/>
        </w:rPr>
        <w:t xml:space="preserve">j (transliterated elsewhere as </w:t>
      </w:r>
      <w:proofErr w:type="spellStart"/>
      <w:r w:rsidR="000D78B7">
        <w:rPr>
          <w:rFonts w:ascii="Book Antiqua" w:hAnsi="Book Antiqua" w:cs="Arial"/>
        </w:rPr>
        <w:t>Hadi</w:t>
      </w:r>
      <w:proofErr w:type="spellEnd"/>
      <w:r w:rsidR="000D78B7">
        <w:rPr>
          <w:rFonts w:ascii="Book Antiqua" w:hAnsi="Book Antiqua" w:cs="Arial"/>
        </w:rPr>
        <w:t xml:space="preserve"> or el-</w:t>
      </w:r>
      <w:proofErr w:type="spellStart"/>
      <w:r w:rsidR="000D78B7">
        <w:rPr>
          <w:rFonts w:ascii="Book Antiqua" w:hAnsi="Book Antiqua" w:cs="Arial"/>
        </w:rPr>
        <w:t>Hadi</w:t>
      </w:r>
      <w:proofErr w:type="spellEnd"/>
      <w:r w:rsidR="000D78B7">
        <w:rPr>
          <w:rFonts w:ascii="Book Antiqua" w:hAnsi="Book Antiqua" w:cs="Arial"/>
        </w:rPr>
        <w:t xml:space="preserve">). An officer had told Mr Devlin that the raid was part of an investigation into a terrorist attack on an airport in Belgium. A second witness, Mr </w:t>
      </w:r>
      <w:proofErr w:type="spellStart"/>
      <w:r w:rsidR="000D78B7">
        <w:rPr>
          <w:rFonts w:ascii="Book Antiqua" w:hAnsi="Book Antiqua" w:cs="Arial"/>
        </w:rPr>
        <w:t>Vernicos</w:t>
      </w:r>
      <w:proofErr w:type="spellEnd"/>
      <w:r w:rsidR="000D78B7">
        <w:rPr>
          <w:rFonts w:ascii="Book Antiqua" w:hAnsi="Book Antiqua" w:cs="Arial"/>
        </w:rPr>
        <w:t xml:space="preserve">, testified that he was LT’s employer. Mr </w:t>
      </w:r>
      <w:proofErr w:type="spellStart"/>
      <w:r w:rsidR="000D78B7">
        <w:rPr>
          <w:rFonts w:ascii="Book Antiqua" w:hAnsi="Book Antiqua" w:cs="Arial"/>
        </w:rPr>
        <w:t>Vernicos</w:t>
      </w:r>
      <w:proofErr w:type="spellEnd"/>
      <w:r w:rsidR="000D78B7">
        <w:rPr>
          <w:rFonts w:ascii="Book Antiqua" w:hAnsi="Book Antiqua" w:cs="Arial"/>
        </w:rPr>
        <w:t xml:space="preserve"> told the Tribunal that he had been in Greece in August 2017 when he received a call from another employee telling him that the police had come to the restaurant and arrested LT. Mr </w:t>
      </w:r>
      <w:proofErr w:type="spellStart"/>
      <w:r w:rsidR="000D78B7">
        <w:rPr>
          <w:rFonts w:ascii="Book Antiqua" w:hAnsi="Book Antiqua" w:cs="Arial"/>
        </w:rPr>
        <w:t>Vernicos</w:t>
      </w:r>
      <w:proofErr w:type="spellEnd"/>
      <w:r w:rsidR="000D78B7">
        <w:rPr>
          <w:rFonts w:ascii="Book Antiqua" w:hAnsi="Book Antiqua" w:cs="Arial"/>
        </w:rPr>
        <w:t xml:space="preserve"> had subsequently spoken to an officer who explained that LT had been under surveillance for approximately three months and that he had been arrested in connection with false documents. </w:t>
      </w:r>
      <w:r w:rsidR="000C195E">
        <w:rPr>
          <w:rFonts w:ascii="Book Antiqua" w:hAnsi="Book Antiqua" w:cs="Arial"/>
        </w:rPr>
        <w:t xml:space="preserve">  </w:t>
      </w:r>
    </w:p>
    <w:p w:rsidR="000C195E" w:rsidRDefault="000C195E" w:rsidP="004356CB">
      <w:pPr>
        <w:tabs>
          <w:tab w:val="left" w:pos="567"/>
        </w:tabs>
        <w:spacing w:before="240"/>
        <w:ind w:left="567" w:right="567"/>
        <w:jc w:val="both"/>
        <w:rPr>
          <w:rFonts w:ascii="Book Antiqua" w:hAnsi="Book Antiqua" w:cs="Arial"/>
        </w:rPr>
      </w:pPr>
    </w:p>
    <w:p w:rsidR="000C195E" w:rsidRPr="000C195E" w:rsidRDefault="000C195E" w:rsidP="004356CB">
      <w:pPr>
        <w:tabs>
          <w:tab w:val="left" w:pos="567"/>
        </w:tabs>
        <w:spacing w:before="240"/>
        <w:ind w:left="567" w:right="567"/>
        <w:jc w:val="both"/>
        <w:rPr>
          <w:rFonts w:ascii="Book Antiqua" w:hAnsi="Book Antiqua" w:cs="Arial"/>
          <w:b/>
        </w:rPr>
      </w:pPr>
      <w:r w:rsidRPr="000C195E">
        <w:rPr>
          <w:rFonts w:ascii="Book Antiqua" w:hAnsi="Book Antiqua" w:cs="Arial"/>
          <w:b/>
        </w:rPr>
        <w:t>The First-tier Tribunal Decision</w:t>
      </w:r>
    </w:p>
    <w:p w:rsidR="000C195E" w:rsidRDefault="000C195E"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The First-tier Tribunal begins by noting that its starting point is the decision of Judge </w:t>
      </w:r>
      <w:proofErr w:type="spellStart"/>
      <w:r>
        <w:rPr>
          <w:rFonts w:ascii="Book Antiqua" w:hAnsi="Book Antiqua" w:cs="Arial"/>
        </w:rPr>
        <w:t>Jhirad</w:t>
      </w:r>
      <w:proofErr w:type="spellEnd"/>
      <w:r>
        <w:rPr>
          <w:rFonts w:ascii="Book Antiqua" w:hAnsi="Book Antiqua" w:cs="Arial"/>
        </w:rPr>
        <w:t xml:space="preserve">. It directs itself to the principles in </w:t>
      </w:r>
      <w:proofErr w:type="spellStart"/>
      <w:r w:rsidRPr="000C195E">
        <w:rPr>
          <w:rFonts w:ascii="Book Antiqua" w:hAnsi="Book Antiqua" w:cs="Arial"/>
          <w:u w:val="single"/>
        </w:rPr>
        <w:t>Devaseelan</w:t>
      </w:r>
      <w:proofErr w:type="spellEnd"/>
      <w:r>
        <w:rPr>
          <w:rFonts w:ascii="Book Antiqua" w:hAnsi="Book Antiqua" w:cs="Arial"/>
        </w:rPr>
        <w:t xml:space="preserve"> (second appeals – ECHR – extra-territorial </w:t>
      </w:r>
      <w:proofErr w:type="gramStart"/>
      <w:r>
        <w:rPr>
          <w:rFonts w:ascii="Book Antiqua" w:hAnsi="Book Antiqua" w:cs="Arial"/>
        </w:rPr>
        <w:t>effect)*</w:t>
      </w:r>
      <w:proofErr w:type="gramEnd"/>
      <w:r>
        <w:rPr>
          <w:rFonts w:ascii="Book Antiqua" w:hAnsi="Book Antiqua" w:cs="Arial"/>
        </w:rPr>
        <w:t xml:space="preserve"> Sri Lanka [2002] UKAIT 00702.     The Tribunal finds no reason to depart from the conclusions reached by Judge </w:t>
      </w:r>
      <w:proofErr w:type="spellStart"/>
      <w:r>
        <w:rPr>
          <w:rFonts w:ascii="Book Antiqua" w:hAnsi="Book Antiqua" w:cs="Arial"/>
        </w:rPr>
        <w:t>Jhirad</w:t>
      </w:r>
      <w:proofErr w:type="spellEnd"/>
      <w:r>
        <w:rPr>
          <w:rFonts w:ascii="Book Antiqua" w:hAnsi="Book Antiqua" w:cs="Arial"/>
        </w:rPr>
        <w:t xml:space="preserve"> in 2011. At §35 the determination reads:</w:t>
      </w:r>
    </w:p>
    <w:p w:rsidR="000C195E" w:rsidRPr="004356CB" w:rsidRDefault="000C195E" w:rsidP="004356CB">
      <w:pPr>
        <w:tabs>
          <w:tab w:val="left" w:pos="567"/>
        </w:tabs>
        <w:spacing w:before="120"/>
        <w:ind w:left="1134" w:right="567"/>
        <w:jc w:val="both"/>
        <w:rPr>
          <w:rFonts w:ascii="Book Antiqua" w:hAnsi="Book Antiqua" w:cs="Arial"/>
          <w:sz w:val="22"/>
        </w:rPr>
      </w:pPr>
      <w:r w:rsidRPr="004356CB">
        <w:rPr>
          <w:rFonts w:ascii="Book Antiqua" w:hAnsi="Book Antiqua" w:cs="Arial"/>
          <w:sz w:val="22"/>
        </w:rPr>
        <w:t>“I am not satisfied that the authorities in Algeria would make any connection between the appellant and any past terrorist activity on the par of family members nor am I satisfied that the appellant has come to the attention of the Algerian authorities or been detained or ill-treated by t</w:t>
      </w:r>
      <w:r w:rsidR="00C62254" w:rsidRPr="004356CB">
        <w:rPr>
          <w:rFonts w:ascii="Book Antiqua" w:hAnsi="Book Antiqua" w:cs="Arial"/>
          <w:sz w:val="22"/>
        </w:rPr>
        <w:t>hem before he came to the United Kingdom”</w:t>
      </w:r>
    </w:p>
    <w:p w:rsidR="00572756" w:rsidRDefault="0042087C"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lastRenderedPageBreak/>
        <w:t xml:space="preserve">The Tribunal nevertheless goes on to find that LT has a currently well-founded fear of serious harm in Algeria. It accepts that the British police raided his Oxford home in March 2017 in connection with an anti-terror investigation. The police were led there because the man </w:t>
      </w:r>
      <w:r w:rsidR="008A6D2F">
        <w:rPr>
          <w:rFonts w:ascii="Book Antiqua" w:hAnsi="Book Antiqua" w:cs="Arial"/>
        </w:rPr>
        <w:t>believed to carried out the attac</w:t>
      </w:r>
      <w:r>
        <w:rPr>
          <w:rFonts w:ascii="Book Antiqua" w:hAnsi="Book Antiqua" w:cs="Arial"/>
        </w:rPr>
        <w:t>k in Belgium was the brother of Ayoub, LT’s flatmate.  Ayoub was himself arrested. Ayoub, his brother and LT are all from the same neighbourhood in Algeria</w:t>
      </w:r>
      <w:r w:rsidR="00572756">
        <w:rPr>
          <w:rFonts w:ascii="Book Antiqua" w:hAnsi="Book Antiqua" w:cs="Arial"/>
        </w:rPr>
        <w:t xml:space="preserve"> – their family homes are approximately one mile apart</w:t>
      </w:r>
      <w:r>
        <w:rPr>
          <w:rFonts w:ascii="Book Antiqua" w:hAnsi="Book Antiqua" w:cs="Arial"/>
        </w:rPr>
        <w:t>.</w:t>
      </w:r>
      <w:r w:rsidR="00CE437F">
        <w:rPr>
          <w:rFonts w:ascii="Book Antiqua" w:hAnsi="Book Antiqua" w:cs="Arial"/>
        </w:rPr>
        <w:t xml:space="preserve">  The</w:t>
      </w:r>
      <w:r w:rsidR="00572756">
        <w:rPr>
          <w:rFonts w:ascii="Book Antiqua" w:hAnsi="Book Antiqua" w:cs="Arial"/>
        </w:rPr>
        <w:t xml:space="preserve"> news of the attack, and the investigation into it, reached the neighbourhood. It became ‘gossip’ that the Appellant and Ayoub had been investigated by police: it is a place where everyone knows everyone and where news travels fast. LTs own family had heard about his arrest before he had even told them about it.  In October 2017 LT received word that the Algerian police had questioned his brother about his whereabouts.   The Tribunal found LTs evidence about the foregoing to be “plausible”, “measured” and “genuine”. It was supported to some degree by Mr Devlin’s evidence that the police raid had been in connection to the Belgian attack. Applying the lower standard of </w:t>
      </w:r>
      <w:proofErr w:type="gramStart"/>
      <w:r w:rsidR="00572756">
        <w:rPr>
          <w:rFonts w:ascii="Book Antiqua" w:hAnsi="Book Antiqua" w:cs="Arial"/>
        </w:rPr>
        <w:t>proof</w:t>
      </w:r>
      <w:proofErr w:type="gramEnd"/>
      <w:r w:rsidR="00572756">
        <w:rPr>
          <w:rFonts w:ascii="Book Antiqua" w:hAnsi="Book Antiqua" w:cs="Arial"/>
        </w:rPr>
        <w:t xml:space="preserve"> the Tribunal accepted that the Algerian authorities were indeed looking for the LT. Applying to this finding the country guidance in </w:t>
      </w:r>
      <w:r w:rsidR="00572756" w:rsidRPr="00572756">
        <w:rPr>
          <w:rFonts w:ascii="Book Antiqua" w:hAnsi="Book Antiqua" w:cs="Arial"/>
          <w:u w:val="single"/>
        </w:rPr>
        <w:t>AF (Algeria</w:t>
      </w:r>
      <w:r w:rsidR="00572756">
        <w:rPr>
          <w:rFonts w:ascii="Book Antiqua" w:hAnsi="Book Antiqua" w:cs="Arial"/>
        </w:rPr>
        <w:t>), the appeal was allowed.</w:t>
      </w:r>
    </w:p>
    <w:p w:rsidR="00572756" w:rsidRDefault="00572756" w:rsidP="004356CB">
      <w:pPr>
        <w:tabs>
          <w:tab w:val="left" w:pos="567"/>
        </w:tabs>
        <w:spacing w:before="240"/>
        <w:ind w:left="567" w:right="567"/>
        <w:jc w:val="both"/>
        <w:rPr>
          <w:rFonts w:ascii="Book Antiqua" w:hAnsi="Book Antiqua" w:cs="Arial"/>
        </w:rPr>
      </w:pPr>
    </w:p>
    <w:p w:rsidR="00572756" w:rsidRPr="00572756" w:rsidRDefault="00572756" w:rsidP="004356CB">
      <w:pPr>
        <w:tabs>
          <w:tab w:val="left" w:pos="567"/>
        </w:tabs>
        <w:spacing w:before="240"/>
        <w:ind w:left="567" w:right="567"/>
        <w:jc w:val="both"/>
        <w:rPr>
          <w:rFonts w:ascii="Book Antiqua" w:hAnsi="Book Antiqua" w:cs="Arial"/>
          <w:b/>
        </w:rPr>
      </w:pPr>
      <w:r w:rsidRPr="00572756">
        <w:rPr>
          <w:rFonts w:ascii="Book Antiqua" w:hAnsi="Book Antiqua" w:cs="Arial"/>
          <w:b/>
        </w:rPr>
        <w:t>The Appeal</w:t>
      </w:r>
    </w:p>
    <w:p w:rsidR="00B30C6C" w:rsidRDefault="00572756"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The Secretary of State takes no issue with the application of </w:t>
      </w:r>
      <w:r w:rsidRPr="00572756">
        <w:rPr>
          <w:rFonts w:ascii="Book Antiqua" w:hAnsi="Book Antiqua" w:cs="Arial"/>
          <w:u w:val="single"/>
        </w:rPr>
        <w:t>AF (Algeria</w:t>
      </w:r>
      <w:r>
        <w:rPr>
          <w:rFonts w:ascii="Book Antiqua" w:hAnsi="Book Antiqua" w:cs="Arial"/>
        </w:rPr>
        <w:t xml:space="preserve">). Before me Mr Melvin accepted that if the core facts are made out – that the Algerian police have been looking for LT </w:t>
      </w:r>
      <w:r w:rsidR="00B30C6C">
        <w:rPr>
          <w:rFonts w:ascii="Book Antiqua" w:hAnsi="Book Antiqua" w:cs="Arial"/>
        </w:rPr>
        <w:t xml:space="preserve">in connection with </w:t>
      </w:r>
      <w:r>
        <w:rPr>
          <w:rFonts w:ascii="Book Antiqua" w:hAnsi="Book Antiqua" w:cs="Arial"/>
        </w:rPr>
        <w:t xml:space="preserve">the Belgian attack </w:t>
      </w:r>
      <w:r w:rsidR="00B30C6C">
        <w:rPr>
          <w:rFonts w:ascii="Book Antiqua" w:hAnsi="Book Antiqua" w:cs="Arial"/>
        </w:rPr>
        <w:t>– then LT would have made out a real risk of harm.  The Secretary of State’s complaint is, rather, that the findings of fact outlined at my paragraph 7 above were not open to the Tribunal on the evidence before it. In particular:</w:t>
      </w:r>
    </w:p>
    <w:p w:rsidR="00B30C6C" w:rsidRDefault="00B30C6C" w:rsidP="00276B18">
      <w:pPr>
        <w:numPr>
          <w:ilvl w:val="0"/>
          <w:numId w:val="39"/>
        </w:numPr>
        <w:spacing w:before="240"/>
        <w:ind w:left="1701" w:right="567" w:hanging="567"/>
        <w:jc w:val="both"/>
        <w:rPr>
          <w:rFonts w:ascii="Book Antiqua" w:hAnsi="Book Antiqua" w:cs="Arial"/>
        </w:rPr>
      </w:pPr>
      <w:r>
        <w:rPr>
          <w:rFonts w:ascii="Book Antiqua" w:hAnsi="Book Antiqua" w:cs="Arial"/>
        </w:rPr>
        <w:t xml:space="preserve">The First-tier Tribunal had “not adequately factored in the very definitive negative credibility findings” made by Judge </w:t>
      </w:r>
      <w:proofErr w:type="spellStart"/>
      <w:r>
        <w:rPr>
          <w:rFonts w:ascii="Book Antiqua" w:hAnsi="Book Antiqua" w:cs="Arial"/>
        </w:rPr>
        <w:t>Jhirad</w:t>
      </w:r>
      <w:proofErr w:type="spellEnd"/>
      <w:r>
        <w:rPr>
          <w:rFonts w:ascii="Book Antiqua" w:hAnsi="Book Antiqua" w:cs="Arial"/>
        </w:rPr>
        <w:t xml:space="preserve"> to its assessment of the later evidence;</w:t>
      </w:r>
    </w:p>
    <w:p w:rsidR="00B30C6C" w:rsidRDefault="00B30C6C" w:rsidP="00276B18">
      <w:pPr>
        <w:numPr>
          <w:ilvl w:val="0"/>
          <w:numId w:val="39"/>
        </w:numPr>
        <w:spacing w:before="240"/>
        <w:ind w:left="1701" w:right="567" w:hanging="567"/>
        <w:jc w:val="both"/>
        <w:rPr>
          <w:rFonts w:ascii="Book Antiqua" w:hAnsi="Book Antiqua" w:cs="Arial"/>
        </w:rPr>
      </w:pPr>
      <w:r>
        <w:rPr>
          <w:rFonts w:ascii="Book Antiqua" w:hAnsi="Book Antiqua" w:cs="Arial"/>
        </w:rPr>
        <w:t>The conclusion that the LT would be at risk is not adequately reasoned and is speculative.</w:t>
      </w:r>
    </w:p>
    <w:p w:rsidR="00B30C6C" w:rsidRDefault="008A6D2F"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The written grounds also</w:t>
      </w:r>
      <w:r w:rsidR="00B30C6C">
        <w:rPr>
          <w:rFonts w:ascii="Book Antiqua" w:hAnsi="Book Antiqua" w:cs="Arial"/>
        </w:rPr>
        <w:t xml:space="preserve"> challenged the Tribunal’s decision to accept the evidence of Mr Devlin as to the police raid. This ground was not pursued by Mr Melvin who acknowledged that the HOPO before the First-tier Tribunal does not appear to have challenged Mr Devlin’s account.</w:t>
      </w:r>
    </w:p>
    <w:p w:rsidR="00B30C6C" w:rsidRDefault="00B30C6C" w:rsidP="004356CB">
      <w:pPr>
        <w:tabs>
          <w:tab w:val="left" w:pos="567"/>
        </w:tabs>
        <w:spacing w:before="240"/>
        <w:ind w:left="567" w:right="567"/>
        <w:jc w:val="both"/>
        <w:rPr>
          <w:rFonts w:ascii="Book Antiqua" w:hAnsi="Book Antiqua" w:cs="Arial"/>
        </w:rPr>
      </w:pPr>
    </w:p>
    <w:p w:rsidR="00B30C6C" w:rsidRPr="00B30C6C" w:rsidRDefault="00B30C6C" w:rsidP="004356CB">
      <w:pPr>
        <w:tabs>
          <w:tab w:val="left" w:pos="567"/>
        </w:tabs>
        <w:spacing w:before="240"/>
        <w:ind w:left="567" w:right="567"/>
        <w:jc w:val="both"/>
        <w:rPr>
          <w:rFonts w:ascii="Book Antiqua" w:hAnsi="Book Antiqua" w:cs="Arial"/>
          <w:b/>
        </w:rPr>
      </w:pPr>
      <w:r w:rsidRPr="00B30C6C">
        <w:rPr>
          <w:rFonts w:ascii="Book Antiqua" w:hAnsi="Book Antiqua" w:cs="Arial"/>
          <w:b/>
        </w:rPr>
        <w:t>Discussion and Findings</w:t>
      </w:r>
    </w:p>
    <w:p w:rsidR="00F91FD9" w:rsidRDefault="00B30C6C"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I am unable to find that the First-tier Tribunal failed to have regard to the </w:t>
      </w:r>
      <w:proofErr w:type="spellStart"/>
      <w:r w:rsidRPr="00B30C6C">
        <w:rPr>
          <w:rFonts w:ascii="Book Antiqua" w:hAnsi="Book Antiqua" w:cs="Arial"/>
          <w:i/>
        </w:rPr>
        <w:t>Devaseelan</w:t>
      </w:r>
      <w:proofErr w:type="spellEnd"/>
      <w:r>
        <w:rPr>
          <w:rFonts w:ascii="Book Antiqua" w:hAnsi="Book Antiqua" w:cs="Arial"/>
        </w:rPr>
        <w:t xml:space="preserve"> principles, or as the grounds put it, failed to “adequately factor in” the </w:t>
      </w:r>
      <w:r>
        <w:rPr>
          <w:rFonts w:ascii="Book Antiqua" w:hAnsi="Book Antiqua" w:cs="Arial"/>
        </w:rPr>
        <w:lastRenderedPageBreak/>
        <w:t>negative credibility findings made by</w:t>
      </w:r>
      <w:r w:rsidR="006C55B9">
        <w:rPr>
          <w:rFonts w:ascii="Book Antiqua" w:hAnsi="Book Antiqua" w:cs="Arial"/>
        </w:rPr>
        <w:t xml:space="preserve"> Judge </w:t>
      </w:r>
      <w:proofErr w:type="spellStart"/>
      <w:r w:rsidR="006C55B9">
        <w:rPr>
          <w:rFonts w:ascii="Book Antiqua" w:hAnsi="Book Antiqua" w:cs="Arial"/>
        </w:rPr>
        <w:t>Jhirad</w:t>
      </w:r>
      <w:proofErr w:type="spellEnd"/>
      <w:r w:rsidR="006C55B9">
        <w:rPr>
          <w:rFonts w:ascii="Book Antiqua" w:hAnsi="Book Antiqua" w:cs="Arial"/>
        </w:rPr>
        <w:t xml:space="preserve"> in 2011.  T</w:t>
      </w:r>
      <w:r>
        <w:rPr>
          <w:rFonts w:ascii="Book Antiqua" w:hAnsi="Book Antiqua" w:cs="Arial"/>
        </w:rPr>
        <w:t>he Tribunal repeatedly refers itself to those findings.</w:t>
      </w:r>
      <w:r w:rsidR="006C55B9">
        <w:rPr>
          <w:rFonts w:ascii="Book Antiqua" w:hAnsi="Book Antiqua" w:cs="Arial"/>
        </w:rPr>
        <w:t xml:space="preserve"> It notes at paragraph 3 that the earlier appeal had been dismissed; at paragraph 6 it acknowledges that the Secretary of State’s refusal of the present claim was based on those earlier findings; at paragraph 19 the determination records that the Tribunal put the negative findings to LT in his oral evidence; it directs itself t</w:t>
      </w:r>
      <w:r w:rsidR="00276B18">
        <w:rPr>
          <w:rFonts w:ascii="Book Antiqua" w:hAnsi="Book Antiqua" w:cs="Arial"/>
        </w:rPr>
        <w:t xml:space="preserve">o appropriate principle at 29; </w:t>
      </w:r>
      <w:r w:rsidR="006C55B9">
        <w:rPr>
          <w:rFonts w:ascii="Book Antiqua" w:hAnsi="Book Antiqua" w:cs="Arial"/>
        </w:rPr>
        <w:t>the principle is applied at 32-35.</w:t>
      </w:r>
      <w:r w:rsidR="00276B18">
        <w:rPr>
          <w:rFonts w:ascii="Book Antiqua" w:hAnsi="Book Antiqua" w:cs="Arial"/>
        </w:rPr>
        <w:t xml:space="preserve">  T</w:t>
      </w:r>
      <w:r w:rsidR="006C55B9">
        <w:rPr>
          <w:rFonts w:ascii="Book Antiqua" w:hAnsi="Book Antiqua" w:cs="Arial"/>
        </w:rPr>
        <w:t xml:space="preserve">he clear conclusion reached is that the decision of Judge </w:t>
      </w:r>
      <w:proofErr w:type="spellStart"/>
      <w:r w:rsidR="006C55B9">
        <w:rPr>
          <w:rFonts w:ascii="Book Antiqua" w:hAnsi="Book Antiqua" w:cs="Arial"/>
        </w:rPr>
        <w:t>Jhirad</w:t>
      </w:r>
      <w:proofErr w:type="spellEnd"/>
      <w:r w:rsidR="006C55B9">
        <w:rPr>
          <w:rFonts w:ascii="Book Antiqua" w:hAnsi="Book Antiqua" w:cs="Arial"/>
        </w:rPr>
        <w:t xml:space="preserve"> about what might be called LT’s “historical” claim, was correct and is upheld. The Secretary of State can have no complaint about that.    </w:t>
      </w:r>
    </w:p>
    <w:p w:rsidR="00F91FD9" w:rsidRDefault="006C55B9"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 xml:space="preserve">Nor can it be said that the Tribunal failed to have regard to the LT’s conduct generally. As Mr Melvin points out, LT was not just a liar but a criminal, and this was plainly a factor to be weighed in the balance when the Tribunal made its evaluation of his evidence.  Again, this is a matter that the determination repeatedly makes reference to [at 1, 3, 5, 14, 26, 27, 30]. </w:t>
      </w:r>
    </w:p>
    <w:p w:rsidR="00F91FD9" w:rsidRPr="00F91FD9" w:rsidRDefault="00F91FD9" w:rsidP="004356CB">
      <w:pPr>
        <w:numPr>
          <w:ilvl w:val="0"/>
          <w:numId w:val="1"/>
        </w:numPr>
        <w:tabs>
          <w:tab w:val="clear" w:pos="1080"/>
          <w:tab w:val="left" w:pos="1134"/>
        </w:tabs>
        <w:spacing w:before="240"/>
        <w:ind w:left="567" w:right="567" w:hanging="567"/>
        <w:jc w:val="both"/>
        <w:rPr>
          <w:rFonts w:ascii="Book Antiqua" w:hAnsi="Book Antiqua" w:cs="Arial"/>
        </w:rPr>
      </w:pPr>
      <w:proofErr w:type="gramStart"/>
      <w:r>
        <w:rPr>
          <w:rFonts w:ascii="Book Antiqua" w:hAnsi="Book Antiqua" w:cs="Arial"/>
        </w:rPr>
        <w:t>Ultimately</w:t>
      </w:r>
      <w:proofErr w:type="gramEnd"/>
      <w:r>
        <w:rPr>
          <w:rFonts w:ascii="Book Antiqua" w:hAnsi="Book Antiqua" w:cs="Arial"/>
        </w:rPr>
        <w:t xml:space="preserve"> I am unable to find any legal misdirection on the part of the First-tier Tribunal because of the </w:t>
      </w:r>
      <w:r w:rsidRPr="00F91FD9">
        <w:rPr>
          <w:rFonts w:ascii="Book Antiqua" w:hAnsi="Book Antiqua" w:cs="Arial"/>
        </w:rPr>
        <w:t>following key passages</w:t>
      </w:r>
      <w:r>
        <w:rPr>
          <w:rFonts w:ascii="Book Antiqua" w:hAnsi="Book Antiqua" w:cs="Arial"/>
        </w:rPr>
        <w:t xml:space="preserve"> in the determination</w:t>
      </w:r>
      <w:r w:rsidRPr="00F91FD9">
        <w:rPr>
          <w:rFonts w:ascii="Book Antiqua" w:hAnsi="Book Antiqua" w:cs="Arial"/>
        </w:rPr>
        <w:t>:</w:t>
      </w:r>
    </w:p>
    <w:p w:rsidR="00F91FD9" w:rsidRPr="004356CB" w:rsidRDefault="00F91FD9" w:rsidP="004356CB">
      <w:pPr>
        <w:tabs>
          <w:tab w:val="left" w:pos="567"/>
        </w:tabs>
        <w:spacing w:before="120"/>
        <w:ind w:left="1134" w:right="567"/>
        <w:jc w:val="both"/>
        <w:rPr>
          <w:rFonts w:ascii="Book Antiqua" w:hAnsi="Book Antiqua" w:cs="Arial"/>
          <w:sz w:val="22"/>
        </w:rPr>
      </w:pPr>
      <w:r w:rsidRPr="004356CB">
        <w:rPr>
          <w:rFonts w:ascii="Book Antiqua" w:hAnsi="Book Antiqua" w:cs="Arial"/>
          <w:sz w:val="22"/>
        </w:rPr>
        <w:t>“It is often the case that an asylum claimant may tell a story which is in part truth and in part fiction. I have considered the contents of the past determination and the respondent’s observation that the appellant’s credibility was roundly rejected is an accurate one….”</w:t>
      </w:r>
    </w:p>
    <w:p w:rsidR="00F91FD9" w:rsidRDefault="00F91FD9" w:rsidP="00276B18">
      <w:pPr>
        <w:spacing w:before="240"/>
        <w:ind w:left="567" w:right="567"/>
        <w:jc w:val="both"/>
        <w:rPr>
          <w:rFonts w:ascii="Book Antiqua" w:hAnsi="Book Antiqua" w:cs="Arial"/>
        </w:rPr>
      </w:pPr>
      <w:r>
        <w:rPr>
          <w:rFonts w:ascii="Book Antiqua" w:hAnsi="Book Antiqua" w:cs="Arial"/>
        </w:rPr>
        <w:t>[at 35]. And:</w:t>
      </w:r>
    </w:p>
    <w:p w:rsidR="00F91FD9" w:rsidRPr="004356CB" w:rsidRDefault="00F91FD9" w:rsidP="004356CB">
      <w:pPr>
        <w:tabs>
          <w:tab w:val="left" w:pos="567"/>
        </w:tabs>
        <w:spacing w:before="120"/>
        <w:ind w:left="1134" w:right="567"/>
        <w:jc w:val="both"/>
        <w:rPr>
          <w:rFonts w:ascii="Book Antiqua" w:hAnsi="Book Antiqua" w:cs="Arial"/>
          <w:sz w:val="22"/>
        </w:rPr>
      </w:pPr>
      <w:r w:rsidRPr="004356CB">
        <w:rPr>
          <w:rFonts w:ascii="Book Antiqua" w:hAnsi="Book Antiqua" w:cs="Arial"/>
          <w:sz w:val="22"/>
        </w:rPr>
        <w:t>“I am satisfied that despite the appellant’s previous conduct and credibility as found by the Tribunal in the determination issued in 2011 the new facts presented by the appellant as to what has occurred subsequent to that determination fall to be treated as credible to the lower standard….”</w:t>
      </w:r>
    </w:p>
    <w:p w:rsidR="00B30C6C" w:rsidRDefault="00F91FD9" w:rsidP="00276B18">
      <w:pPr>
        <w:spacing w:before="240"/>
        <w:ind w:left="567" w:right="567"/>
        <w:jc w:val="both"/>
        <w:rPr>
          <w:rFonts w:ascii="Book Antiqua" w:hAnsi="Book Antiqua" w:cs="Arial"/>
        </w:rPr>
      </w:pPr>
      <w:r>
        <w:rPr>
          <w:rFonts w:ascii="Book Antiqua" w:hAnsi="Book Antiqua" w:cs="Arial"/>
        </w:rPr>
        <w:t>[at 41].</w:t>
      </w:r>
    </w:p>
    <w:p w:rsidR="00B30C6C" w:rsidRDefault="00F91FD9"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The Tribunal was clearly aware of the very substantial negative credibility findings weighing against LT. It further had regard to his criminality, at the fact that he had remained living and working in the United Kingdom unlawfully after he lost his appeal in 2011 [at</w:t>
      </w:r>
      <w:r w:rsidR="00F04977">
        <w:rPr>
          <w:rFonts w:ascii="Book Antiqua" w:hAnsi="Book Antiqua" w:cs="Arial"/>
        </w:rPr>
        <w:t xml:space="preserve"> 27].  In other words, it made its positive findings with its eyes open.  It cannot be said that it failed to properly apply the </w:t>
      </w:r>
      <w:proofErr w:type="spellStart"/>
      <w:r w:rsidR="00F04977" w:rsidRPr="008A6D2F">
        <w:rPr>
          <w:rFonts w:ascii="Book Antiqua" w:hAnsi="Book Antiqua" w:cs="Arial"/>
          <w:i/>
        </w:rPr>
        <w:t>Devaseelan</w:t>
      </w:r>
      <w:proofErr w:type="spellEnd"/>
      <w:r w:rsidR="00F04977">
        <w:rPr>
          <w:rFonts w:ascii="Book Antiqua" w:hAnsi="Book Antiqua" w:cs="Arial"/>
        </w:rPr>
        <w:t xml:space="preserve"> principle.</w:t>
      </w:r>
    </w:p>
    <w:p w:rsidR="00F04977" w:rsidRDefault="00F04977"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The second limb of the Secretary of State’s appeal is that the conclusion of risk was unduly speculative, and was not open to the Tribunal on the evidence before it. To some extent this submission was tied to the misconceived ground about whether Mr Devlin’s evidence should have been accepted (see paragraph 7 of the grounds - quite properly not pursued by Mr Melvin in light of paragraph 26 of the determination). Absent that point, the Secretary of State’s case lands back at square one: ground 8 reads “any suggestion that the Appellant would be of interest to the Algerian authorities is based on speculation and the Appellants own oral evidence that has proved to be unreliable in the past”</w:t>
      </w:r>
      <w:r w:rsidR="00312569">
        <w:rPr>
          <w:rFonts w:ascii="Book Antiqua" w:hAnsi="Book Antiqua" w:cs="Arial"/>
        </w:rPr>
        <w:t xml:space="preserve">. The </w:t>
      </w:r>
      <w:r w:rsidR="008A6D2F">
        <w:rPr>
          <w:rFonts w:ascii="Book Antiqua" w:hAnsi="Book Antiqua" w:cs="Arial"/>
        </w:rPr>
        <w:t xml:space="preserve">key finding </w:t>
      </w:r>
      <w:r w:rsidR="008A6D2F">
        <w:rPr>
          <w:rFonts w:ascii="Book Antiqua" w:hAnsi="Book Antiqua" w:cs="Arial"/>
        </w:rPr>
        <w:lastRenderedPageBreak/>
        <w:t xml:space="preserve">that led to the appeal being allowed was the Tribunal’s acceptance that </w:t>
      </w:r>
      <w:r w:rsidR="00312569">
        <w:rPr>
          <w:rFonts w:ascii="Book Antiqua" w:hAnsi="Book Antiqua" w:cs="Arial"/>
        </w:rPr>
        <w:t>the Algerian police</w:t>
      </w:r>
      <w:r>
        <w:rPr>
          <w:rFonts w:ascii="Book Antiqua" w:hAnsi="Book Antiqua" w:cs="Arial"/>
        </w:rPr>
        <w:t xml:space="preserve"> </w:t>
      </w:r>
      <w:r w:rsidR="008A6D2F">
        <w:rPr>
          <w:rFonts w:ascii="Book Antiqua" w:hAnsi="Book Antiqua" w:cs="Arial"/>
        </w:rPr>
        <w:t xml:space="preserve">had been looking for LT, and its conclusion, on the lower standard of proof, was that this was in some way connected with the terror investigation.  There being no other reason why the Algerian authorities might be looking for LT, I am unable to say that on the accepted facts that was a conclusion </w:t>
      </w:r>
      <w:proofErr w:type="spellStart"/>
      <w:r w:rsidR="008A6D2F">
        <w:rPr>
          <w:rFonts w:ascii="Book Antiqua" w:hAnsi="Book Antiqua" w:cs="Arial"/>
        </w:rPr>
        <w:t>outwith</w:t>
      </w:r>
      <w:proofErr w:type="spellEnd"/>
      <w:r w:rsidR="008A6D2F">
        <w:rPr>
          <w:rFonts w:ascii="Book Antiqua" w:hAnsi="Book Antiqua" w:cs="Arial"/>
        </w:rPr>
        <w:t xml:space="preserve"> the range of reasonable responses.  Asylum cases will very often involve some degree of speculation:  on the lower standard of proof, the Tribunal’s conclusion was one open to it. </w:t>
      </w:r>
    </w:p>
    <w:p w:rsidR="00AC1EC4" w:rsidRDefault="00AC1EC4" w:rsidP="004356CB">
      <w:pPr>
        <w:pStyle w:val="ListParagraph"/>
        <w:spacing w:before="240"/>
        <w:ind w:left="567" w:right="567"/>
        <w:contextualSpacing w:val="0"/>
        <w:jc w:val="both"/>
        <w:rPr>
          <w:rFonts w:ascii="Book Antiqua" w:hAnsi="Book Antiqua" w:cs="Arial"/>
        </w:rPr>
      </w:pPr>
    </w:p>
    <w:p w:rsidR="00AC1EC4" w:rsidRPr="00D23825" w:rsidRDefault="00D23825" w:rsidP="004356CB">
      <w:pPr>
        <w:tabs>
          <w:tab w:val="left" w:pos="567"/>
        </w:tabs>
        <w:spacing w:before="240"/>
        <w:ind w:left="567" w:right="567"/>
        <w:jc w:val="both"/>
        <w:rPr>
          <w:rFonts w:ascii="Book Antiqua" w:hAnsi="Book Antiqua" w:cs="Arial"/>
          <w:b/>
        </w:rPr>
      </w:pPr>
      <w:r w:rsidRPr="00D23825">
        <w:rPr>
          <w:rFonts w:ascii="Book Antiqua" w:hAnsi="Book Antiqua" w:cs="Arial"/>
          <w:b/>
        </w:rPr>
        <w:t>Decision</w:t>
      </w:r>
    </w:p>
    <w:p w:rsidR="008A6D2F" w:rsidRDefault="00050C6C" w:rsidP="004356CB">
      <w:pPr>
        <w:numPr>
          <w:ilvl w:val="0"/>
          <w:numId w:val="1"/>
        </w:numPr>
        <w:tabs>
          <w:tab w:val="clear" w:pos="1080"/>
          <w:tab w:val="left" w:pos="1134"/>
        </w:tabs>
        <w:spacing w:before="240"/>
        <w:ind w:left="567" w:right="567" w:hanging="567"/>
        <w:jc w:val="both"/>
        <w:rPr>
          <w:rFonts w:ascii="Book Antiqua" w:hAnsi="Book Antiqua" w:cs="Arial"/>
        </w:rPr>
      </w:pPr>
      <w:r w:rsidRPr="00D23825">
        <w:rPr>
          <w:rFonts w:ascii="Book Antiqua" w:hAnsi="Book Antiqua" w:cs="Arial"/>
        </w:rPr>
        <w:t xml:space="preserve">The </w:t>
      </w:r>
      <w:r w:rsidR="00983000" w:rsidRPr="00D23825">
        <w:rPr>
          <w:rFonts w:ascii="Book Antiqua" w:hAnsi="Book Antiqua" w:cs="Arial"/>
        </w:rPr>
        <w:t>decision of t</w:t>
      </w:r>
      <w:r w:rsidR="00C41A85" w:rsidRPr="00D23825">
        <w:rPr>
          <w:rFonts w:ascii="Book Antiqua" w:hAnsi="Book Antiqua" w:cs="Arial"/>
        </w:rPr>
        <w:t xml:space="preserve">he First-tier Tribunal </w:t>
      </w:r>
      <w:r w:rsidR="008A6D2F">
        <w:rPr>
          <w:rFonts w:ascii="Book Antiqua" w:hAnsi="Book Antiqua" w:cs="Arial"/>
        </w:rPr>
        <w:t>is upheld.</w:t>
      </w:r>
    </w:p>
    <w:p w:rsidR="00EE6E62" w:rsidRPr="00D23825" w:rsidRDefault="008A6D2F" w:rsidP="004356CB">
      <w:pPr>
        <w:numPr>
          <w:ilvl w:val="0"/>
          <w:numId w:val="1"/>
        </w:numPr>
        <w:tabs>
          <w:tab w:val="clear" w:pos="1080"/>
          <w:tab w:val="left" w:pos="1134"/>
        </w:tabs>
        <w:spacing w:before="240"/>
        <w:ind w:left="567" w:right="567" w:hanging="567"/>
        <w:jc w:val="both"/>
        <w:rPr>
          <w:rFonts w:ascii="Book Antiqua" w:hAnsi="Book Antiqua" w:cs="Arial"/>
        </w:rPr>
      </w:pPr>
      <w:r>
        <w:rPr>
          <w:rFonts w:ascii="Book Antiqua" w:hAnsi="Book Antiqua" w:cs="Arial"/>
        </w:rPr>
        <w:t>There is an</w:t>
      </w:r>
      <w:r w:rsidR="00EE6E62" w:rsidRPr="00D23825">
        <w:rPr>
          <w:rFonts w:ascii="Book Antiqua" w:hAnsi="Book Antiqua" w:cs="Arial"/>
        </w:rPr>
        <w:t xml:space="preserve"> order for anonymity.</w:t>
      </w:r>
    </w:p>
    <w:p w:rsidR="00AC1EC4" w:rsidRDefault="00AC1EC4" w:rsidP="00122A22">
      <w:pPr>
        <w:tabs>
          <w:tab w:val="left" w:pos="567"/>
        </w:tabs>
        <w:ind w:left="567" w:right="567"/>
        <w:jc w:val="right"/>
        <w:rPr>
          <w:rFonts w:ascii="Book Antiqua" w:hAnsi="Book Antiqua" w:cs="Arial"/>
        </w:rPr>
      </w:pPr>
    </w:p>
    <w:p w:rsidR="00AC1EC4" w:rsidRDefault="00AC1EC4" w:rsidP="00122A22">
      <w:pPr>
        <w:tabs>
          <w:tab w:val="left" w:pos="567"/>
        </w:tabs>
        <w:ind w:left="567" w:right="567"/>
        <w:jc w:val="right"/>
        <w:rPr>
          <w:rFonts w:ascii="Book Antiqua" w:hAnsi="Book Antiqua" w:cs="Arial"/>
        </w:rPr>
      </w:pPr>
    </w:p>
    <w:p w:rsidR="00122A22" w:rsidRDefault="00122A22" w:rsidP="00122A22">
      <w:pPr>
        <w:tabs>
          <w:tab w:val="left" w:pos="567"/>
        </w:tabs>
        <w:ind w:left="567" w:right="567"/>
        <w:jc w:val="right"/>
        <w:rPr>
          <w:rFonts w:ascii="Book Antiqua" w:hAnsi="Book Antiqua" w:cs="Arial"/>
        </w:rPr>
      </w:pPr>
      <w:r>
        <w:rPr>
          <w:rFonts w:ascii="Book Antiqua" w:hAnsi="Book Antiqua" w:cs="Arial"/>
        </w:rPr>
        <w:t>Upper Tribunal Judge Bruce</w:t>
      </w:r>
    </w:p>
    <w:p w:rsidR="00122A22" w:rsidRDefault="008A6D2F" w:rsidP="00122A22">
      <w:pPr>
        <w:tabs>
          <w:tab w:val="left" w:pos="567"/>
        </w:tabs>
        <w:ind w:left="567" w:right="567"/>
        <w:jc w:val="right"/>
        <w:rPr>
          <w:rFonts w:ascii="Book Antiqua" w:hAnsi="Book Antiqua" w:cs="Arial"/>
        </w:rPr>
      </w:pPr>
      <w:r>
        <w:rPr>
          <w:rFonts w:ascii="Book Antiqua" w:hAnsi="Book Antiqua" w:cs="Arial"/>
        </w:rPr>
        <w:t>11</w:t>
      </w:r>
      <w:r w:rsidRPr="008A6D2F">
        <w:rPr>
          <w:rFonts w:ascii="Book Antiqua" w:hAnsi="Book Antiqua" w:cs="Arial"/>
          <w:vertAlign w:val="superscript"/>
        </w:rPr>
        <w:t>th</w:t>
      </w:r>
      <w:r>
        <w:rPr>
          <w:rFonts w:ascii="Book Antiqua" w:hAnsi="Book Antiqua" w:cs="Arial"/>
        </w:rPr>
        <w:t xml:space="preserve"> September </w:t>
      </w:r>
      <w:r w:rsidR="00AC1EC4">
        <w:rPr>
          <w:rFonts w:ascii="Book Antiqua" w:hAnsi="Book Antiqua" w:cs="Arial"/>
        </w:rPr>
        <w:t>2018</w:t>
      </w:r>
    </w:p>
    <w:sectPr w:rsidR="00122A22" w:rsidSect="00256F9B">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56A" w:rsidRDefault="0010456A">
      <w:r>
        <w:separator/>
      </w:r>
    </w:p>
  </w:endnote>
  <w:endnote w:type="continuationSeparator" w:id="0">
    <w:p w:rsidR="0010456A" w:rsidRDefault="0010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C6C" w:rsidRPr="004356CB" w:rsidRDefault="00B30C6C" w:rsidP="00256F9B">
    <w:pPr>
      <w:pStyle w:val="Footer"/>
      <w:jc w:val="center"/>
      <w:rPr>
        <w:rFonts w:ascii="Book Antiqua" w:hAnsi="Book Antiqua" w:cs="Arial"/>
        <w:sz w:val="20"/>
        <w:szCs w:val="20"/>
      </w:rPr>
    </w:pPr>
    <w:r w:rsidRPr="004356CB">
      <w:rPr>
        <w:rStyle w:val="PageNumber"/>
        <w:rFonts w:ascii="Book Antiqua" w:hAnsi="Book Antiqua" w:cs="Arial"/>
        <w:sz w:val="20"/>
        <w:szCs w:val="20"/>
      </w:rPr>
      <w:fldChar w:fldCharType="begin"/>
    </w:r>
    <w:r w:rsidRPr="004356CB">
      <w:rPr>
        <w:rStyle w:val="PageNumber"/>
        <w:rFonts w:ascii="Book Antiqua" w:hAnsi="Book Antiqua" w:cs="Arial"/>
        <w:sz w:val="20"/>
        <w:szCs w:val="20"/>
      </w:rPr>
      <w:instrText xml:space="preserve"> PAGE </w:instrText>
    </w:r>
    <w:r w:rsidRPr="004356CB">
      <w:rPr>
        <w:rStyle w:val="PageNumber"/>
        <w:rFonts w:ascii="Book Antiqua" w:hAnsi="Book Antiqua" w:cs="Arial"/>
        <w:sz w:val="20"/>
        <w:szCs w:val="20"/>
      </w:rPr>
      <w:fldChar w:fldCharType="separate"/>
    </w:r>
    <w:r w:rsidR="00404F23">
      <w:rPr>
        <w:rStyle w:val="PageNumber"/>
        <w:rFonts w:ascii="Book Antiqua" w:hAnsi="Book Antiqua" w:cs="Arial"/>
        <w:noProof/>
        <w:sz w:val="20"/>
        <w:szCs w:val="20"/>
      </w:rPr>
      <w:t>2</w:t>
    </w:r>
    <w:r w:rsidRPr="004356CB">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C6C" w:rsidRPr="00276B18" w:rsidRDefault="00B30C6C" w:rsidP="00256F9B">
    <w:pPr>
      <w:jc w:val="center"/>
      <w:rPr>
        <w:rFonts w:ascii="Book Antiqua" w:hAnsi="Book Antiqua" w:cs="Arial"/>
        <w:b/>
      </w:rPr>
    </w:pPr>
    <w:r w:rsidRPr="00276B18">
      <w:rPr>
        <w:rFonts w:ascii="Book Antiqua" w:hAnsi="Book Antiqua" w:cs="Arial"/>
        <w:b/>
        <w:spacing w:val="-6"/>
      </w:rPr>
      <w:t>©</w:t>
    </w:r>
    <w:r w:rsidRPr="00276B1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56A" w:rsidRDefault="0010456A">
      <w:r>
        <w:separator/>
      </w:r>
    </w:p>
  </w:footnote>
  <w:footnote w:type="continuationSeparator" w:id="0">
    <w:p w:rsidR="0010456A" w:rsidRDefault="00104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C6C" w:rsidRPr="004356CB" w:rsidRDefault="004356CB" w:rsidP="004356CB">
    <w:pPr>
      <w:tabs>
        <w:tab w:val="right" w:pos="9720"/>
      </w:tabs>
      <w:ind w:right="-82"/>
      <w:jc w:val="right"/>
      <w:rPr>
        <w:rFonts w:ascii="Book Antiqua" w:hAnsi="Book Antiqua" w:cs="Arial"/>
        <w:color w:val="000000"/>
        <w:sz w:val="20"/>
        <w:szCs w:val="20"/>
      </w:rPr>
    </w:pPr>
    <w:r w:rsidRPr="004356CB">
      <w:rPr>
        <w:rFonts w:ascii="Book Antiqua" w:hAnsi="Book Antiqua" w:cs="Arial"/>
        <w:color w:val="000000"/>
        <w:sz w:val="20"/>
        <w:szCs w:val="20"/>
      </w:rPr>
      <w:t>Appeal Number: PA/06536/2018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4E6C"/>
    <w:multiLevelType w:val="hybridMultilevel"/>
    <w:tmpl w:val="05609B42"/>
    <w:lvl w:ilvl="0" w:tplc="B8D0A68E">
      <w:start w:val="1"/>
      <w:numFmt w:val="bullet"/>
      <w:lvlText w:val="-"/>
      <w:lvlJc w:val="left"/>
      <w:pPr>
        <w:ind w:left="1080" w:hanging="360"/>
      </w:pPr>
      <w:rPr>
        <w:rFonts w:ascii="Book Antiqua" w:eastAsia="Calibri" w:hAnsi="Book Antiqu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83A80"/>
    <w:multiLevelType w:val="hybridMultilevel"/>
    <w:tmpl w:val="F57078BA"/>
    <w:lvl w:ilvl="0" w:tplc="04090001">
      <w:start w:val="1"/>
      <w:numFmt w:val="bullet"/>
      <w:lvlText w:val=""/>
      <w:lvlJc w:val="left"/>
      <w:pPr>
        <w:ind w:left="1770" w:hanging="360"/>
      </w:pPr>
      <w:rPr>
        <w:rFonts w:ascii="Symbol" w:hAnsi="Symbol" w:hint="default"/>
      </w:rPr>
    </w:lvl>
    <w:lvl w:ilvl="1" w:tplc="04090003">
      <w:start w:val="1"/>
      <w:numFmt w:val="bullet"/>
      <w:lvlText w:val="o"/>
      <w:lvlJc w:val="left"/>
      <w:pPr>
        <w:ind w:left="2490" w:hanging="360"/>
      </w:pPr>
      <w:rPr>
        <w:rFonts w:ascii="Courier New" w:hAnsi="Courier New" w:cs="Times New Roman" w:hint="default"/>
      </w:rPr>
    </w:lvl>
    <w:lvl w:ilvl="2" w:tplc="04090005">
      <w:start w:val="1"/>
      <w:numFmt w:val="bullet"/>
      <w:lvlText w:val=""/>
      <w:lvlJc w:val="left"/>
      <w:pPr>
        <w:ind w:left="3210" w:hanging="360"/>
      </w:pPr>
      <w:rPr>
        <w:rFonts w:ascii="Wingdings" w:hAnsi="Wingdings" w:hint="default"/>
      </w:rPr>
    </w:lvl>
    <w:lvl w:ilvl="3" w:tplc="04090001">
      <w:start w:val="1"/>
      <w:numFmt w:val="bullet"/>
      <w:lvlText w:val=""/>
      <w:lvlJc w:val="left"/>
      <w:pPr>
        <w:ind w:left="3930" w:hanging="360"/>
      </w:pPr>
      <w:rPr>
        <w:rFonts w:ascii="Symbol" w:hAnsi="Symbol" w:hint="default"/>
      </w:rPr>
    </w:lvl>
    <w:lvl w:ilvl="4" w:tplc="04090003">
      <w:start w:val="1"/>
      <w:numFmt w:val="bullet"/>
      <w:lvlText w:val="o"/>
      <w:lvlJc w:val="left"/>
      <w:pPr>
        <w:ind w:left="4650" w:hanging="360"/>
      </w:pPr>
      <w:rPr>
        <w:rFonts w:ascii="Courier New" w:hAnsi="Courier New" w:cs="Times New Roman" w:hint="default"/>
      </w:rPr>
    </w:lvl>
    <w:lvl w:ilvl="5" w:tplc="04090005">
      <w:start w:val="1"/>
      <w:numFmt w:val="bullet"/>
      <w:lvlText w:val=""/>
      <w:lvlJc w:val="left"/>
      <w:pPr>
        <w:ind w:left="5370" w:hanging="360"/>
      </w:pPr>
      <w:rPr>
        <w:rFonts w:ascii="Wingdings" w:hAnsi="Wingdings" w:hint="default"/>
      </w:rPr>
    </w:lvl>
    <w:lvl w:ilvl="6" w:tplc="04090001">
      <w:start w:val="1"/>
      <w:numFmt w:val="bullet"/>
      <w:lvlText w:val=""/>
      <w:lvlJc w:val="left"/>
      <w:pPr>
        <w:ind w:left="6090" w:hanging="360"/>
      </w:pPr>
      <w:rPr>
        <w:rFonts w:ascii="Symbol" w:hAnsi="Symbol" w:hint="default"/>
      </w:rPr>
    </w:lvl>
    <w:lvl w:ilvl="7" w:tplc="04090003">
      <w:start w:val="1"/>
      <w:numFmt w:val="bullet"/>
      <w:lvlText w:val="o"/>
      <w:lvlJc w:val="left"/>
      <w:pPr>
        <w:ind w:left="6810" w:hanging="360"/>
      </w:pPr>
      <w:rPr>
        <w:rFonts w:ascii="Courier New" w:hAnsi="Courier New" w:cs="Times New Roman" w:hint="default"/>
      </w:rPr>
    </w:lvl>
    <w:lvl w:ilvl="8" w:tplc="04090005">
      <w:start w:val="1"/>
      <w:numFmt w:val="bullet"/>
      <w:lvlText w:val=""/>
      <w:lvlJc w:val="left"/>
      <w:pPr>
        <w:ind w:left="7530" w:hanging="360"/>
      </w:pPr>
      <w:rPr>
        <w:rFonts w:ascii="Wingdings" w:hAnsi="Wingdings" w:hint="default"/>
      </w:rPr>
    </w:lvl>
  </w:abstractNum>
  <w:abstractNum w:abstractNumId="2" w15:restartNumberingAfterBreak="0">
    <w:nsid w:val="0FBB32F9"/>
    <w:multiLevelType w:val="hybridMultilevel"/>
    <w:tmpl w:val="ACA4ABE4"/>
    <w:lvl w:ilvl="0" w:tplc="0BFC14E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0FF5555C"/>
    <w:multiLevelType w:val="hybridMultilevel"/>
    <w:tmpl w:val="D1E0FE54"/>
    <w:lvl w:ilvl="0" w:tplc="D3749386">
      <w:start w:val="1"/>
      <w:numFmt w:val="decimal"/>
      <w:lvlText w:val="%1."/>
      <w:lvlJc w:val="left"/>
      <w:pPr>
        <w:tabs>
          <w:tab w:val="num" w:pos="397"/>
        </w:tabs>
        <w:ind w:left="0" w:firstLine="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100D6332"/>
    <w:multiLevelType w:val="hybridMultilevel"/>
    <w:tmpl w:val="65B0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17399A"/>
    <w:multiLevelType w:val="hybridMultilevel"/>
    <w:tmpl w:val="2CE4863A"/>
    <w:lvl w:ilvl="0" w:tplc="C7E2E37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129F21D9"/>
    <w:multiLevelType w:val="hybridMultilevel"/>
    <w:tmpl w:val="857C5BB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4245DCD"/>
    <w:multiLevelType w:val="hybridMultilevel"/>
    <w:tmpl w:val="B7D26DEC"/>
    <w:lvl w:ilvl="0" w:tplc="1C38F90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8" w15:restartNumberingAfterBreak="0">
    <w:nsid w:val="16B37338"/>
    <w:multiLevelType w:val="hybridMultilevel"/>
    <w:tmpl w:val="497685F8"/>
    <w:lvl w:ilvl="0" w:tplc="C1BCE36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9" w15:restartNumberingAfterBreak="0">
    <w:nsid w:val="16F72A2E"/>
    <w:multiLevelType w:val="hybridMultilevel"/>
    <w:tmpl w:val="79FE8AF4"/>
    <w:lvl w:ilvl="0" w:tplc="DE0AB57A">
      <w:start w:val="1"/>
      <w:numFmt w:val="lowerRoman"/>
      <w:lvlText w:val="(%1)"/>
      <w:lvlJc w:val="left"/>
      <w:pPr>
        <w:tabs>
          <w:tab w:val="num" w:pos="1410"/>
        </w:tabs>
        <w:ind w:left="1410" w:hanging="720"/>
      </w:pPr>
    </w:lvl>
    <w:lvl w:ilvl="1" w:tplc="08090019">
      <w:start w:val="1"/>
      <w:numFmt w:val="lowerLetter"/>
      <w:lvlText w:val="%2."/>
      <w:lvlJc w:val="left"/>
      <w:pPr>
        <w:tabs>
          <w:tab w:val="num" w:pos="1770"/>
        </w:tabs>
        <w:ind w:left="1770" w:hanging="360"/>
      </w:pPr>
    </w:lvl>
    <w:lvl w:ilvl="2" w:tplc="0809001B">
      <w:start w:val="1"/>
      <w:numFmt w:val="lowerRoman"/>
      <w:lvlText w:val="%3."/>
      <w:lvlJc w:val="right"/>
      <w:pPr>
        <w:tabs>
          <w:tab w:val="num" w:pos="2490"/>
        </w:tabs>
        <w:ind w:left="2490" w:hanging="180"/>
      </w:pPr>
    </w:lvl>
    <w:lvl w:ilvl="3" w:tplc="0809000F">
      <w:start w:val="1"/>
      <w:numFmt w:val="decimal"/>
      <w:lvlText w:val="%4."/>
      <w:lvlJc w:val="left"/>
      <w:pPr>
        <w:tabs>
          <w:tab w:val="num" w:pos="3210"/>
        </w:tabs>
        <w:ind w:left="3210" w:hanging="360"/>
      </w:pPr>
    </w:lvl>
    <w:lvl w:ilvl="4" w:tplc="08090019">
      <w:start w:val="1"/>
      <w:numFmt w:val="lowerLetter"/>
      <w:lvlText w:val="%5."/>
      <w:lvlJc w:val="left"/>
      <w:pPr>
        <w:tabs>
          <w:tab w:val="num" w:pos="3930"/>
        </w:tabs>
        <w:ind w:left="3930" w:hanging="360"/>
      </w:pPr>
    </w:lvl>
    <w:lvl w:ilvl="5" w:tplc="0809001B">
      <w:start w:val="1"/>
      <w:numFmt w:val="lowerRoman"/>
      <w:lvlText w:val="%6."/>
      <w:lvlJc w:val="right"/>
      <w:pPr>
        <w:tabs>
          <w:tab w:val="num" w:pos="4650"/>
        </w:tabs>
        <w:ind w:left="4650" w:hanging="180"/>
      </w:pPr>
    </w:lvl>
    <w:lvl w:ilvl="6" w:tplc="0809000F">
      <w:start w:val="1"/>
      <w:numFmt w:val="decimal"/>
      <w:lvlText w:val="%7."/>
      <w:lvlJc w:val="left"/>
      <w:pPr>
        <w:tabs>
          <w:tab w:val="num" w:pos="5370"/>
        </w:tabs>
        <w:ind w:left="5370" w:hanging="360"/>
      </w:pPr>
    </w:lvl>
    <w:lvl w:ilvl="7" w:tplc="08090019">
      <w:start w:val="1"/>
      <w:numFmt w:val="lowerLetter"/>
      <w:lvlText w:val="%8."/>
      <w:lvlJc w:val="left"/>
      <w:pPr>
        <w:tabs>
          <w:tab w:val="num" w:pos="6090"/>
        </w:tabs>
        <w:ind w:left="6090" w:hanging="360"/>
      </w:pPr>
    </w:lvl>
    <w:lvl w:ilvl="8" w:tplc="0809001B">
      <w:start w:val="1"/>
      <w:numFmt w:val="lowerRoman"/>
      <w:lvlText w:val="%9."/>
      <w:lvlJc w:val="right"/>
      <w:pPr>
        <w:tabs>
          <w:tab w:val="num" w:pos="6810"/>
        </w:tabs>
        <w:ind w:left="6810" w:hanging="180"/>
      </w:pPr>
    </w:lvl>
  </w:abstractNum>
  <w:abstractNum w:abstractNumId="10" w15:restartNumberingAfterBreak="0">
    <w:nsid w:val="17222C99"/>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1ACD6E3A"/>
    <w:multiLevelType w:val="hybridMultilevel"/>
    <w:tmpl w:val="09F8DD7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1B3D19D7"/>
    <w:multiLevelType w:val="hybridMultilevel"/>
    <w:tmpl w:val="FED256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FD96F43"/>
    <w:multiLevelType w:val="hybridMultilevel"/>
    <w:tmpl w:val="727C6258"/>
    <w:lvl w:ilvl="0" w:tplc="91DE5AEC">
      <w:start w:val="1"/>
      <w:numFmt w:val="lowerLetter"/>
      <w:lvlText w:val="%1)"/>
      <w:lvlJc w:val="left"/>
      <w:pPr>
        <w:ind w:left="1803" w:hanging="36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4" w15:restartNumberingAfterBreak="0">
    <w:nsid w:val="240635EB"/>
    <w:multiLevelType w:val="multilevel"/>
    <w:tmpl w:val="4A306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028B4"/>
    <w:multiLevelType w:val="hybridMultilevel"/>
    <w:tmpl w:val="954E772A"/>
    <w:lvl w:ilvl="0" w:tplc="940282C0">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2BCB58BE"/>
    <w:multiLevelType w:val="hybridMultilevel"/>
    <w:tmpl w:val="917A63B6"/>
    <w:lvl w:ilvl="0" w:tplc="C946147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7" w15:restartNumberingAfterBreak="0">
    <w:nsid w:val="2C0B5060"/>
    <w:multiLevelType w:val="hybridMultilevel"/>
    <w:tmpl w:val="28ACC522"/>
    <w:lvl w:ilvl="0" w:tplc="BD120A72">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2DC05E21"/>
    <w:multiLevelType w:val="hybridMultilevel"/>
    <w:tmpl w:val="EC5AD2A0"/>
    <w:lvl w:ilvl="0" w:tplc="68FC0B9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25806CC"/>
    <w:multiLevelType w:val="hybridMultilevel"/>
    <w:tmpl w:val="C878229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1" w15:restartNumberingAfterBreak="0">
    <w:nsid w:val="32AF3161"/>
    <w:multiLevelType w:val="hybridMultilevel"/>
    <w:tmpl w:val="3B046EEC"/>
    <w:lvl w:ilvl="0" w:tplc="B82C0FE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2" w15:restartNumberingAfterBreak="0">
    <w:nsid w:val="334069EE"/>
    <w:multiLevelType w:val="hybridMultilevel"/>
    <w:tmpl w:val="62FE09AA"/>
    <w:lvl w:ilvl="0" w:tplc="7CB0D30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38031C72"/>
    <w:multiLevelType w:val="hybridMultilevel"/>
    <w:tmpl w:val="02328F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385C6856"/>
    <w:multiLevelType w:val="multilevel"/>
    <w:tmpl w:val="02C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B6A84"/>
    <w:multiLevelType w:val="hybridMultilevel"/>
    <w:tmpl w:val="3B7C7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391B75A1"/>
    <w:multiLevelType w:val="hybridMultilevel"/>
    <w:tmpl w:val="DF1606F8"/>
    <w:lvl w:ilvl="0" w:tplc="D234BB6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7" w15:restartNumberingAfterBreak="0">
    <w:nsid w:val="3D261BAD"/>
    <w:multiLevelType w:val="hybridMultilevel"/>
    <w:tmpl w:val="54EAF55E"/>
    <w:lvl w:ilvl="0" w:tplc="6F3CE72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8" w15:restartNumberingAfterBreak="0">
    <w:nsid w:val="460316DA"/>
    <w:multiLevelType w:val="hybridMultilevel"/>
    <w:tmpl w:val="F5FC7D06"/>
    <w:lvl w:ilvl="0" w:tplc="863E8474">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9" w15:restartNumberingAfterBreak="0">
    <w:nsid w:val="512418D0"/>
    <w:multiLevelType w:val="hybridMultilevel"/>
    <w:tmpl w:val="00ECC260"/>
    <w:lvl w:ilvl="0" w:tplc="DFE63934">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30" w15:restartNumberingAfterBreak="0">
    <w:nsid w:val="51C2411B"/>
    <w:multiLevelType w:val="hybridMultilevel"/>
    <w:tmpl w:val="4BFC6868"/>
    <w:lvl w:ilvl="0" w:tplc="70FCF6F8">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1" w15:restartNumberingAfterBreak="0">
    <w:nsid w:val="59916B5E"/>
    <w:multiLevelType w:val="hybridMultilevel"/>
    <w:tmpl w:val="6EC4F148"/>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32" w15:restartNumberingAfterBreak="0">
    <w:nsid w:val="6379560A"/>
    <w:multiLevelType w:val="hybridMultilevel"/>
    <w:tmpl w:val="1BA8715E"/>
    <w:lvl w:ilvl="0" w:tplc="10E69D0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64653B5F"/>
    <w:multiLevelType w:val="multilevel"/>
    <w:tmpl w:val="E760EA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91E2E"/>
    <w:multiLevelType w:val="hybridMultilevel"/>
    <w:tmpl w:val="E1283C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5E846FF"/>
    <w:multiLevelType w:val="hybridMultilevel"/>
    <w:tmpl w:val="75AE1B9A"/>
    <w:lvl w:ilvl="0" w:tplc="D700AFE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735C53F4"/>
    <w:multiLevelType w:val="hybridMultilevel"/>
    <w:tmpl w:val="E070DEE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7" w15:restartNumberingAfterBreak="0">
    <w:nsid w:val="79835C13"/>
    <w:multiLevelType w:val="hybridMultilevel"/>
    <w:tmpl w:val="0102FF6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8" w15:restartNumberingAfterBreak="0">
    <w:nsid w:val="7E497BBC"/>
    <w:multiLevelType w:val="hybridMultilevel"/>
    <w:tmpl w:val="725220A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19"/>
  </w:num>
  <w:num w:numId="2">
    <w:abstractNumId w:val="5"/>
  </w:num>
  <w:num w:numId="3">
    <w:abstractNumId w:val="7"/>
  </w:num>
  <w:num w:numId="4">
    <w:abstractNumId w:val="2"/>
  </w:num>
  <w:num w:numId="5">
    <w:abstractNumId w:val="2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16"/>
  </w:num>
  <w:num w:numId="9">
    <w:abstractNumId w:val="36"/>
  </w:num>
  <w:num w:numId="10">
    <w:abstractNumId w:val="37"/>
  </w:num>
  <w:num w:numId="11">
    <w:abstractNumId w:val="6"/>
  </w:num>
  <w:num w:numId="12">
    <w:abstractNumId w:val="28"/>
  </w:num>
  <w:num w:numId="13">
    <w:abstractNumId w:val="10"/>
  </w:num>
  <w:num w:numId="14">
    <w:abstractNumId w:val="24"/>
  </w:num>
  <w:num w:numId="15">
    <w:abstractNumId w:val="33"/>
  </w:num>
  <w:num w:numId="16">
    <w:abstractNumId w:val="35"/>
  </w:num>
  <w:num w:numId="17">
    <w:abstractNumId w:val="27"/>
  </w:num>
  <w:num w:numId="18">
    <w:abstractNumId w:val="32"/>
  </w:num>
  <w:num w:numId="19">
    <w:abstractNumId w:val="29"/>
  </w:num>
  <w:num w:numId="20">
    <w:abstractNumId w:val="14"/>
  </w:num>
  <w:num w:numId="21">
    <w:abstractNumId w:val="4"/>
  </w:num>
  <w:num w:numId="22">
    <w:abstractNumId w:val="0"/>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38"/>
  </w:num>
  <w:num w:numId="26">
    <w:abstractNumId w:val="31"/>
  </w:num>
  <w:num w:numId="27">
    <w:abstractNumId w:val="11"/>
  </w:num>
  <w:num w:numId="28">
    <w:abstractNumId w:val="12"/>
  </w:num>
  <w:num w:numId="29">
    <w:abstractNumId w:val="34"/>
  </w:num>
  <w:num w:numId="30">
    <w:abstractNumId w:val="15"/>
  </w:num>
  <w:num w:numId="31">
    <w:abstractNumId w:val="30"/>
  </w:num>
  <w:num w:numId="32">
    <w:abstractNumId w:val="13"/>
  </w:num>
  <w:num w:numId="33">
    <w:abstractNumId w:val="20"/>
  </w:num>
  <w:num w:numId="34">
    <w:abstractNumId w:val="22"/>
  </w:num>
  <w:num w:numId="35">
    <w:abstractNumId w:val="18"/>
  </w:num>
  <w:num w:numId="36">
    <w:abstractNumId w:val="21"/>
  </w:num>
  <w:num w:numId="37">
    <w:abstractNumId w:val="23"/>
  </w:num>
  <w:num w:numId="38">
    <w:abstractNumId w:val="8"/>
  </w:num>
  <w:num w:numId="3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33C281C-2338-45CC-B172-3EB69ABBC9FA}"/>
    <w:docVar w:name="dgnword-eventsink" w:val="794932288"/>
  </w:docVars>
  <w:rsids>
    <w:rsidRoot w:val="00503887"/>
    <w:rsid w:val="000001D8"/>
    <w:rsid w:val="00002895"/>
    <w:rsid w:val="00002B9F"/>
    <w:rsid w:val="000047C3"/>
    <w:rsid w:val="00006282"/>
    <w:rsid w:val="00010DD4"/>
    <w:rsid w:val="00010F16"/>
    <w:rsid w:val="0001100B"/>
    <w:rsid w:val="0001157F"/>
    <w:rsid w:val="000157D8"/>
    <w:rsid w:val="0001581F"/>
    <w:rsid w:val="0001755E"/>
    <w:rsid w:val="00021B77"/>
    <w:rsid w:val="000303CD"/>
    <w:rsid w:val="000306E4"/>
    <w:rsid w:val="00030A29"/>
    <w:rsid w:val="000359E1"/>
    <w:rsid w:val="000367D1"/>
    <w:rsid w:val="0003718D"/>
    <w:rsid w:val="000456F1"/>
    <w:rsid w:val="00050C6C"/>
    <w:rsid w:val="0005475F"/>
    <w:rsid w:val="00055B16"/>
    <w:rsid w:val="000573C1"/>
    <w:rsid w:val="00057C94"/>
    <w:rsid w:val="000603B5"/>
    <w:rsid w:val="00061947"/>
    <w:rsid w:val="00061DAB"/>
    <w:rsid w:val="00062428"/>
    <w:rsid w:val="00062F11"/>
    <w:rsid w:val="00063897"/>
    <w:rsid w:val="0006475B"/>
    <w:rsid w:val="00065421"/>
    <w:rsid w:val="000703D5"/>
    <w:rsid w:val="000724F8"/>
    <w:rsid w:val="00074353"/>
    <w:rsid w:val="00080881"/>
    <w:rsid w:val="0008143E"/>
    <w:rsid w:val="00081F52"/>
    <w:rsid w:val="000826B0"/>
    <w:rsid w:val="000828AC"/>
    <w:rsid w:val="000840CD"/>
    <w:rsid w:val="00085742"/>
    <w:rsid w:val="00090586"/>
    <w:rsid w:val="00090CF9"/>
    <w:rsid w:val="0009125E"/>
    <w:rsid w:val="0009198F"/>
    <w:rsid w:val="00094C92"/>
    <w:rsid w:val="00095218"/>
    <w:rsid w:val="0009524D"/>
    <w:rsid w:val="00095273"/>
    <w:rsid w:val="000A0053"/>
    <w:rsid w:val="000A3392"/>
    <w:rsid w:val="000A4723"/>
    <w:rsid w:val="000A48CD"/>
    <w:rsid w:val="000A4AD9"/>
    <w:rsid w:val="000B3431"/>
    <w:rsid w:val="000B6143"/>
    <w:rsid w:val="000B62F5"/>
    <w:rsid w:val="000C0AAD"/>
    <w:rsid w:val="000C195E"/>
    <w:rsid w:val="000C2A47"/>
    <w:rsid w:val="000C4611"/>
    <w:rsid w:val="000C52A7"/>
    <w:rsid w:val="000D20BA"/>
    <w:rsid w:val="000D4B38"/>
    <w:rsid w:val="000D78B7"/>
    <w:rsid w:val="000E1274"/>
    <w:rsid w:val="000E1F01"/>
    <w:rsid w:val="000E2DE4"/>
    <w:rsid w:val="000E2EB0"/>
    <w:rsid w:val="000F058C"/>
    <w:rsid w:val="000F53DF"/>
    <w:rsid w:val="00103EAC"/>
    <w:rsid w:val="0010456A"/>
    <w:rsid w:val="00104E77"/>
    <w:rsid w:val="001072D3"/>
    <w:rsid w:val="00107AFB"/>
    <w:rsid w:val="00107DD5"/>
    <w:rsid w:val="001113D1"/>
    <w:rsid w:val="001117E5"/>
    <w:rsid w:val="0011297E"/>
    <w:rsid w:val="00114635"/>
    <w:rsid w:val="00114FC1"/>
    <w:rsid w:val="00115B62"/>
    <w:rsid w:val="001207DE"/>
    <w:rsid w:val="00120ACC"/>
    <w:rsid w:val="00121965"/>
    <w:rsid w:val="00122A22"/>
    <w:rsid w:val="00123C33"/>
    <w:rsid w:val="001257BB"/>
    <w:rsid w:val="00125F39"/>
    <w:rsid w:val="00130924"/>
    <w:rsid w:val="001343F7"/>
    <w:rsid w:val="001352E9"/>
    <w:rsid w:val="00135374"/>
    <w:rsid w:val="00137136"/>
    <w:rsid w:val="0014600B"/>
    <w:rsid w:val="0014612C"/>
    <w:rsid w:val="00150306"/>
    <w:rsid w:val="00150B50"/>
    <w:rsid w:val="0015100A"/>
    <w:rsid w:val="001515D9"/>
    <w:rsid w:val="001526BE"/>
    <w:rsid w:val="0015610E"/>
    <w:rsid w:val="001737E8"/>
    <w:rsid w:val="0017391C"/>
    <w:rsid w:val="00176367"/>
    <w:rsid w:val="0018031B"/>
    <w:rsid w:val="00181BEE"/>
    <w:rsid w:val="00181E0C"/>
    <w:rsid w:val="001835EF"/>
    <w:rsid w:val="0018592D"/>
    <w:rsid w:val="00187C19"/>
    <w:rsid w:val="00187D84"/>
    <w:rsid w:val="001909B6"/>
    <w:rsid w:val="0019206C"/>
    <w:rsid w:val="00192E8F"/>
    <w:rsid w:val="0019638F"/>
    <w:rsid w:val="001A3921"/>
    <w:rsid w:val="001A4307"/>
    <w:rsid w:val="001B026B"/>
    <w:rsid w:val="001B1115"/>
    <w:rsid w:val="001B23AA"/>
    <w:rsid w:val="001B597E"/>
    <w:rsid w:val="001B71E3"/>
    <w:rsid w:val="001B7FB0"/>
    <w:rsid w:val="001C061B"/>
    <w:rsid w:val="001C1BBC"/>
    <w:rsid w:val="001C2DA1"/>
    <w:rsid w:val="001D0A72"/>
    <w:rsid w:val="001D60A6"/>
    <w:rsid w:val="001E0004"/>
    <w:rsid w:val="001E0D65"/>
    <w:rsid w:val="001E2BF6"/>
    <w:rsid w:val="001E4A2B"/>
    <w:rsid w:val="001E66D3"/>
    <w:rsid w:val="001F0771"/>
    <w:rsid w:val="001F2745"/>
    <w:rsid w:val="001F2D22"/>
    <w:rsid w:val="001F46A7"/>
    <w:rsid w:val="001F587C"/>
    <w:rsid w:val="00200B97"/>
    <w:rsid w:val="00202103"/>
    <w:rsid w:val="0021355E"/>
    <w:rsid w:val="0021520B"/>
    <w:rsid w:val="00217340"/>
    <w:rsid w:val="00230487"/>
    <w:rsid w:val="00231CBE"/>
    <w:rsid w:val="00233926"/>
    <w:rsid w:val="00233B48"/>
    <w:rsid w:val="0023493B"/>
    <w:rsid w:val="0023647A"/>
    <w:rsid w:val="00237E82"/>
    <w:rsid w:val="002438F7"/>
    <w:rsid w:val="00244279"/>
    <w:rsid w:val="0024659B"/>
    <w:rsid w:val="0025455C"/>
    <w:rsid w:val="00254594"/>
    <w:rsid w:val="00256188"/>
    <w:rsid w:val="00256F9B"/>
    <w:rsid w:val="00262055"/>
    <w:rsid w:val="002621B2"/>
    <w:rsid w:val="0026298A"/>
    <w:rsid w:val="002641D7"/>
    <w:rsid w:val="002648D3"/>
    <w:rsid w:val="00265B9A"/>
    <w:rsid w:val="00266A8E"/>
    <w:rsid w:val="00270B84"/>
    <w:rsid w:val="0027154A"/>
    <w:rsid w:val="00271A15"/>
    <w:rsid w:val="00276B18"/>
    <w:rsid w:val="00280EF5"/>
    <w:rsid w:val="00283D0F"/>
    <w:rsid w:val="00292E49"/>
    <w:rsid w:val="00294EAF"/>
    <w:rsid w:val="0029559E"/>
    <w:rsid w:val="002965A3"/>
    <w:rsid w:val="00297440"/>
    <w:rsid w:val="002A2EA9"/>
    <w:rsid w:val="002A363E"/>
    <w:rsid w:val="002A37A8"/>
    <w:rsid w:val="002A388F"/>
    <w:rsid w:val="002A4453"/>
    <w:rsid w:val="002A6C03"/>
    <w:rsid w:val="002A75C1"/>
    <w:rsid w:val="002B1D8B"/>
    <w:rsid w:val="002B2F0F"/>
    <w:rsid w:val="002B3AEF"/>
    <w:rsid w:val="002B3ECD"/>
    <w:rsid w:val="002B4614"/>
    <w:rsid w:val="002B591E"/>
    <w:rsid w:val="002B649D"/>
    <w:rsid w:val="002C0DB8"/>
    <w:rsid w:val="002C12F7"/>
    <w:rsid w:val="002C3376"/>
    <w:rsid w:val="002C6905"/>
    <w:rsid w:val="002C703C"/>
    <w:rsid w:val="002D1D43"/>
    <w:rsid w:val="002D33BD"/>
    <w:rsid w:val="002D6068"/>
    <w:rsid w:val="002D7C57"/>
    <w:rsid w:val="002D7D6C"/>
    <w:rsid w:val="002E3BAE"/>
    <w:rsid w:val="002E446F"/>
    <w:rsid w:val="002E4AF4"/>
    <w:rsid w:val="002E4F50"/>
    <w:rsid w:val="002E6B4A"/>
    <w:rsid w:val="002E6F61"/>
    <w:rsid w:val="002E6FC1"/>
    <w:rsid w:val="002F0807"/>
    <w:rsid w:val="002F0836"/>
    <w:rsid w:val="002F33BA"/>
    <w:rsid w:val="002F48DB"/>
    <w:rsid w:val="002F5FFF"/>
    <w:rsid w:val="00302B14"/>
    <w:rsid w:val="0030356D"/>
    <w:rsid w:val="003069DF"/>
    <w:rsid w:val="00312569"/>
    <w:rsid w:val="003136C6"/>
    <w:rsid w:val="003139B3"/>
    <w:rsid w:val="0031473D"/>
    <w:rsid w:val="00317ACD"/>
    <w:rsid w:val="003222CB"/>
    <w:rsid w:val="00323B54"/>
    <w:rsid w:val="00323C1A"/>
    <w:rsid w:val="00326F1B"/>
    <w:rsid w:val="0032748C"/>
    <w:rsid w:val="00330F78"/>
    <w:rsid w:val="00331032"/>
    <w:rsid w:val="00334C01"/>
    <w:rsid w:val="00336188"/>
    <w:rsid w:val="00337B01"/>
    <w:rsid w:val="00342564"/>
    <w:rsid w:val="00343950"/>
    <w:rsid w:val="003447F8"/>
    <w:rsid w:val="00346DB0"/>
    <w:rsid w:val="00351658"/>
    <w:rsid w:val="00352A26"/>
    <w:rsid w:val="00353CF1"/>
    <w:rsid w:val="003554AD"/>
    <w:rsid w:val="00357EDD"/>
    <w:rsid w:val="00362425"/>
    <w:rsid w:val="00363022"/>
    <w:rsid w:val="003631B2"/>
    <w:rsid w:val="00363205"/>
    <w:rsid w:val="00365F83"/>
    <w:rsid w:val="00372DE9"/>
    <w:rsid w:val="0037354C"/>
    <w:rsid w:val="00373D18"/>
    <w:rsid w:val="003745E0"/>
    <w:rsid w:val="00380BB4"/>
    <w:rsid w:val="003816CC"/>
    <w:rsid w:val="003839E0"/>
    <w:rsid w:val="00390BCC"/>
    <w:rsid w:val="003922ED"/>
    <w:rsid w:val="003950D6"/>
    <w:rsid w:val="00396522"/>
    <w:rsid w:val="00396E14"/>
    <w:rsid w:val="003A00B7"/>
    <w:rsid w:val="003A0AC7"/>
    <w:rsid w:val="003A781E"/>
    <w:rsid w:val="003B04BA"/>
    <w:rsid w:val="003B16F3"/>
    <w:rsid w:val="003B20B9"/>
    <w:rsid w:val="003B41AD"/>
    <w:rsid w:val="003B4FD3"/>
    <w:rsid w:val="003C199B"/>
    <w:rsid w:val="003C4681"/>
    <w:rsid w:val="003C5CE5"/>
    <w:rsid w:val="003D08D3"/>
    <w:rsid w:val="003D0A31"/>
    <w:rsid w:val="003D0A9F"/>
    <w:rsid w:val="003D0CC1"/>
    <w:rsid w:val="003D6C95"/>
    <w:rsid w:val="003D7E4B"/>
    <w:rsid w:val="003E0238"/>
    <w:rsid w:val="003E0433"/>
    <w:rsid w:val="003F1EF2"/>
    <w:rsid w:val="003F2220"/>
    <w:rsid w:val="003F25C0"/>
    <w:rsid w:val="003F3816"/>
    <w:rsid w:val="003F6281"/>
    <w:rsid w:val="004025D8"/>
    <w:rsid w:val="00404F23"/>
    <w:rsid w:val="004055F5"/>
    <w:rsid w:val="0041164C"/>
    <w:rsid w:val="00412F04"/>
    <w:rsid w:val="00414BBF"/>
    <w:rsid w:val="0041509D"/>
    <w:rsid w:val="0042087C"/>
    <w:rsid w:val="0042231F"/>
    <w:rsid w:val="00425588"/>
    <w:rsid w:val="00425740"/>
    <w:rsid w:val="00430E49"/>
    <w:rsid w:val="004356CB"/>
    <w:rsid w:val="0044120F"/>
    <w:rsid w:val="004417F7"/>
    <w:rsid w:val="004428C1"/>
    <w:rsid w:val="004454C7"/>
    <w:rsid w:val="00445B82"/>
    <w:rsid w:val="004505B4"/>
    <w:rsid w:val="004537DC"/>
    <w:rsid w:val="00455650"/>
    <w:rsid w:val="00455C84"/>
    <w:rsid w:val="00456174"/>
    <w:rsid w:val="00461BBB"/>
    <w:rsid w:val="00462DA7"/>
    <w:rsid w:val="00466720"/>
    <w:rsid w:val="00466F97"/>
    <w:rsid w:val="00467B50"/>
    <w:rsid w:val="0047132E"/>
    <w:rsid w:val="00473736"/>
    <w:rsid w:val="00473C4B"/>
    <w:rsid w:val="0047760A"/>
    <w:rsid w:val="004806F7"/>
    <w:rsid w:val="0048104E"/>
    <w:rsid w:val="00485A38"/>
    <w:rsid w:val="00485CCA"/>
    <w:rsid w:val="00486621"/>
    <w:rsid w:val="00490CEC"/>
    <w:rsid w:val="00494224"/>
    <w:rsid w:val="0049587A"/>
    <w:rsid w:val="004A0A2C"/>
    <w:rsid w:val="004A1354"/>
    <w:rsid w:val="004A19B5"/>
    <w:rsid w:val="004A4017"/>
    <w:rsid w:val="004B501C"/>
    <w:rsid w:val="004C177B"/>
    <w:rsid w:val="004C46CA"/>
    <w:rsid w:val="004C58E8"/>
    <w:rsid w:val="004D12F7"/>
    <w:rsid w:val="004D34E4"/>
    <w:rsid w:val="004E180C"/>
    <w:rsid w:val="004E2846"/>
    <w:rsid w:val="004E3787"/>
    <w:rsid w:val="004E4CDF"/>
    <w:rsid w:val="004E5313"/>
    <w:rsid w:val="004F0D19"/>
    <w:rsid w:val="004F2B7E"/>
    <w:rsid w:val="004F60D7"/>
    <w:rsid w:val="004F67B1"/>
    <w:rsid w:val="004F7230"/>
    <w:rsid w:val="004F7444"/>
    <w:rsid w:val="004F7521"/>
    <w:rsid w:val="00500FFF"/>
    <w:rsid w:val="005031FA"/>
    <w:rsid w:val="00503887"/>
    <w:rsid w:val="00503D82"/>
    <w:rsid w:val="00505059"/>
    <w:rsid w:val="00512E56"/>
    <w:rsid w:val="005145ED"/>
    <w:rsid w:val="00514C8B"/>
    <w:rsid w:val="00515521"/>
    <w:rsid w:val="005156F2"/>
    <w:rsid w:val="00521534"/>
    <w:rsid w:val="0052338D"/>
    <w:rsid w:val="00524664"/>
    <w:rsid w:val="005252A7"/>
    <w:rsid w:val="00525AAA"/>
    <w:rsid w:val="00526378"/>
    <w:rsid w:val="00533C1B"/>
    <w:rsid w:val="00533FBE"/>
    <w:rsid w:val="005371B6"/>
    <w:rsid w:val="0054146F"/>
    <w:rsid w:val="00542C0B"/>
    <w:rsid w:val="00557814"/>
    <w:rsid w:val="00560249"/>
    <w:rsid w:val="005621F0"/>
    <w:rsid w:val="00565414"/>
    <w:rsid w:val="0056622B"/>
    <w:rsid w:val="00567CA3"/>
    <w:rsid w:val="00572756"/>
    <w:rsid w:val="00577B6F"/>
    <w:rsid w:val="0058247C"/>
    <w:rsid w:val="005856F3"/>
    <w:rsid w:val="0058575E"/>
    <w:rsid w:val="00586338"/>
    <w:rsid w:val="00586A66"/>
    <w:rsid w:val="005925A3"/>
    <w:rsid w:val="0059261D"/>
    <w:rsid w:val="00592BE6"/>
    <w:rsid w:val="00593795"/>
    <w:rsid w:val="005941D9"/>
    <w:rsid w:val="00594CEF"/>
    <w:rsid w:val="00597F1D"/>
    <w:rsid w:val="005A4826"/>
    <w:rsid w:val="005A62F9"/>
    <w:rsid w:val="005A7B23"/>
    <w:rsid w:val="005B67E3"/>
    <w:rsid w:val="005B6C0B"/>
    <w:rsid w:val="005B74F3"/>
    <w:rsid w:val="005B75C6"/>
    <w:rsid w:val="005C2B0E"/>
    <w:rsid w:val="005C6730"/>
    <w:rsid w:val="005D1466"/>
    <w:rsid w:val="005D3C8B"/>
    <w:rsid w:val="005D4E77"/>
    <w:rsid w:val="005E086F"/>
    <w:rsid w:val="005E51B0"/>
    <w:rsid w:val="005F49DF"/>
    <w:rsid w:val="005F69C1"/>
    <w:rsid w:val="00600892"/>
    <w:rsid w:val="006033D6"/>
    <w:rsid w:val="00604B27"/>
    <w:rsid w:val="00604B2F"/>
    <w:rsid w:val="00611A62"/>
    <w:rsid w:val="00614229"/>
    <w:rsid w:val="00615376"/>
    <w:rsid w:val="006167D5"/>
    <w:rsid w:val="006170AF"/>
    <w:rsid w:val="006358B6"/>
    <w:rsid w:val="00636B5A"/>
    <w:rsid w:val="006422D7"/>
    <w:rsid w:val="0064735A"/>
    <w:rsid w:val="00651814"/>
    <w:rsid w:val="006576AB"/>
    <w:rsid w:val="00662B43"/>
    <w:rsid w:val="00664677"/>
    <w:rsid w:val="00667A06"/>
    <w:rsid w:val="00671051"/>
    <w:rsid w:val="00672180"/>
    <w:rsid w:val="00672EEB"/>
    <w:rsid w:val="006731E4"/>
    <w:rsid w:val="006740B6"/>
    <w:rsid w:val="006742FE"/>
    <w:rsid w:val="00686518"/>
    <w:rsid w:val="00690B0A"/>
    <w:rsid w:val="00694C65"/>
    <w:rsid w:val="006A17DA"/>
    <w:rsid w:val="006A21CC"/>
    <w:rsid w:val="006A2440"/>
    <w:rsid w:val="006A5B71"/>
    <w:rsid w:val="006B14FA"/>
    <w:rsid w:val="006B153F"/>
    <w:rsid w:val="006C1A0A"/>
    <w:rsid w:val="006C3BE3"/>
    <w:rsid w:val="006C55B9"/>
    <w:rsid w:val="006D3255"/>
    <w:rsid w:val="006E1592"/>
    <w:rsid w:val="006E2A44"/>
    <w:rsid w:val="006E5178"/>
    <w:rsid w:val="006E555E"/>
    <w:rsid w:val="006E5E2E"/>
    <w:rsid w:val="006E5EFB"/>
    <w:rsid w:val="006F04C5"/>
    <w:rsid w:val="006F3610"/>
    <w:rsid w:val="006F3C69"/>
    <w:rsid w:val="006F4E5F"/>
    <w:rsid w:val="006F6311"/>
    <w:rsid w:val="006F67CA"/>
    <w:rsid w:val="0070210A"/>
    <w:rsid w:val="00703A83"/>
    <w:rsid w:val="0070501C"/>
    <w:rsid w:val="0070514B"/>
    <w:rsid w:val="00705639"/>
    <w:rsid w:val="007065FA"/>
    <w:rsid w:val="00706926"/>
    <w:rsid w:val="00707AF8"/>
    <w:rsid w:val="00712574"/>
    <w:rsid w:val="00712787"/>
    <w:rsid w:val="00716591"/>
    <w:rsid w:val="0071744F"/>
    <w:rsid w:val="00730140"/>
    <w:rsid w:val="0073198D"/>
    <w:rsid w:val="007333A5"/>
    <w:rsid w:val="007406E4"/>
    <w:rsid w:val="007446E0"/>
    <w:rsid w:val="007453E2"/>
    <w:rsid w:val="007536DE"/>
    <w:rsid w:val="00753CED"/>
    <w:rsid w:val="007574AC"/>
    <w:rsid w:val="00760441"/>
    <w:rsid w:val="0076387F"/>
    <w:rsid w:val="00764A18"/>
    <w:rsid w:val="00765AD5"/>
    <w:rsid w:val="00766F15"/>
    <w:rsid w:val="007701E8"/>
    <w:rsid w:val="00770912"/>
    <w:rsid w:val="00773D2E"/>
    <w:rsid w:val="00782B90"/>
    <w:rsid w:val="00784A12"/>
    <w:rsid w:val="0078605C"/>
    <w:rsid w:val="00786BC7"/>
    <w:rsid w:val="00787920"/>
    <w:rsid w:val="007923D1"/>
    <w:rsid w:val="00792770"/>
    <w:rsid w:val="0079286B"/>
    <w:rsid w:val="007944E4"/>
    <w:rsid w:val="0079546D"/>
    <w:rsid w:val="00795F95"/>
    <w:rsid w:val="00796484"/>
    <w:rsid w:val="007977D5"/>
    <w:rsid w:val="007A22FF"/>
    <w:rsid w:val="007A4592"/>
    <w:rsid w:val="007B110F"/>
    <w:rsid w:val="007B30C6"/>
    <w:rsid w:val="007B3A9A"/>
    <w:rsid w:val="007B4090"/>
    <w:rsid w:val="007B4C94"/>
    <w:rsid w:val="007B52B2"/>
    <w:rsid w:val="007B6660"/>
    <w:rsid w:val="007C1FF6"/>
    <w:rsid w:val="007C3BCC"/>
    <w:rsid w:val="007C3E9C"/>
    <w:rsid w:val="007C5E47"/>
    <w:rsid w:val="007C6EC2"/>
    <w:rsid w:val="007D2AD0"/>
    <w:rsid w:val="007D3C02"/>
    <w:rsid w:val="007D4BB1"/>
    <w:rsid w:val="007D6EA5"/>
    <w:rsid w:val="007E113C"/>
    <w:rsid w:val="007E2269"/>
    <w:rsid w:val="007E3E26"/>
    <w:rsid w:val="007E4B90"/>
    <w:rsid w:val="007E7D61"/>
    <w:rsid w:val="007F42AD"/>
    <w:rsid w:val="007F5B43"/>
    <w:rsid w:val="00800967"/>
    <w:rsid w:val="008015FF"/>
    <w:rsid w:val="0080500E"/>
    <w:rsid w:val="008057DE"/>
    <w:rsid w:val="0080705C"/>
    <w:rsid w:val="00816297"/>
    <w:rsid w:val="00820D6D"/>
    <w:rsid w:val="008218C8"/>
    <w:rsid w:val="00822B6E"/>
    <w:rsid w:val="00832393"/>
    <w:rsid w:val="00834082"/>
    <w:rsid w:val="00835D03"/>
    <w:rsid w:val="00841009"/>
    <w:rsid w:val="008415BA"/>
    <w:rsid w:val="00842F69"/>
    <w:rsid w:val="00843020"/>
    <w:rsid w:val="00843837"/>
    <w:rsid w:val="008475EE"/>
    <w:rsid w:val="00850A1F"/>
    <w:rsid w:val="00852C30"/>
    <w:rsid w:val="00854943"/>
    <w:rsid w:val="00862503"/>
    <w:rsid w:val="00863367"/>
    <w:rsid w:val="0086511A"/>
    <w:rsid w:val="00865602"/>
    <w:rsid w:val="00865722"/>
    <w:rsid w:val="00867BE4"/>
    <w:rsid w:val="0087176C"/>
    <w:rsid w:val="00873D87"/>
    <w:rsid w:val="00875182"/>
    <w:rsid w:val="00876DA8"/>
    <w:rsid w:val="00880492"/>
    <w:rsid w:val="008819F7"/>
    <w:rsid w:val="00883BC7"/>
    <w:rsid w:val="00883D7A"/>
    <w:rsid w:val="00885F2B"/>
    <w:rsid w:val="00886651"/>
    <w:rsid w:val="008871AC"/>
    <w:rsid w:val="00887933"/>
    <w:rsid w:val="00887DBA"/>
    <w:rsid w:val="00890DFD"/>
    <w:rsid w:val="0089340E"/>
    <w:rsid w:val="008963DD"/>
    <w:rsid w:val="00896E1B"/>
    <w:rsid w:val="0089795C"/>
    <w:rsid w:val="008A66D0"/>
    <w:rsid w:val="008A6D2F"/>
    <w:rsid w:val="008B0098"/>
    <w:rsid w:val="008B1E0B"/>
    <w:rsid w:val="008B1F9A"/>
    <w:rsid w:val="008B472E"/>
    <w:rsid w:val="008B63CD"/>
    <w:rsid w:val="008C1448"/>
    <w:rsid w:val="008C1A40"/>
    <w:rsid w:val="008C2756"/>
    <w:rsid w:val="008C52F7"/>
    <w:rsid w:val="008C5D92"/>
    <w:rsid w:val="008C6262"/>
    <w:rsid w:val="008C6613"/>
    <w:rsid w:val="008C676F"/>
    <w:rsid w:val="008D2AA6"/>
    <w:rsid w:val="008D4AA9"/>
    <w:rsid w:val="008D6897"/>
    <w:rsid w:val="008D6F05"/>
    <w:rsid w:val="008D767E"/>
    <w:rsid w:val="008E26B2"/>
    <w:rsid w:val="008E3E13"/>
    <w:rsid w:val="008E7314"/>
    <w:rsid w:val="008E7883"/>
    <w:rsid w:val="008F1984"/>
    <w:rsid w:val="008F3379"/>
    <w:rsid w:val="00901ED1"/>
    <w:rsid w:val="0090357B"/>
    <w:rsid w:val="0090382F"/>
    <w:rsid w:val="00903D72"/>
    <w:rsid w:val="00903D7E"/>
    <w:rsid w:val="009041D9"/>
    <w:rsid w:val="00915989"/>
    <w:rsid w:val="009179F4"/>
    <w:rsid w:val="009217E9"/>
    <w:rsid w:val="0093283E"/>
    <w:rsid w:val="00932CE3"/>
    <w:rsid w:val="009330F5"/>
    <w:rsid w:val="00933302"/>
    <w:rsid w:val="009409DD"/>
    <w:rsid w:val="00940FF9"/>
    <w:rsid w:val="00941832"/>
    <w:rsid w:val="00944DAB"/>
    <w:rsid w:val="00945524"/>
    <w:rsid w:val="009468E7"/>
    <w:rsid w:val="00946E51"/>
    <w:rsid w:val="00947856"/>
    <w:rsid w:val="009521DF"/>
    <w:rsid w:val="0096131A"/>
    <w:rsid w:val="00963BE5"/>
    <w:rsid w:val="009641FD"/>
    <w:rsid w:val="009642AE"/>
    <w:rsid w:val="00964A16"/>
    <w:rsid w:val="00967518"/>
    <w:rsid w:val="009705A4"/>
    <w:rsid w:val="00971AC9"/>
    <w:rsid w:val="00972A0B"/>
    <w:rsid w:val="00980249"/>
    <w:rsid w:val="00983000"/>
    <w:rsid w:val="0098660F"/>
    <w:rsid w:val="00986CB7"/>
    <w:rsid w:val="00987B91"/>
    <w:rsid w:val="00990208"/>
    <w:rsid w:val="00992AA1"/>
    <w:rsid w:val="0099452F"/>
    <w:rsid w:val="009958BD"/>
    <w:rsid w:val="009A0729"/>
    <w:rsid w:val="009A0C65"/>
    <w:rsid w:val="009A229B"/>
    <w:rsid w:val="009A33E5"/>
    <w:rsid w:val="009B7E6D"/>
    <w:rsid w:val="009C2915"/>
    <w:rsid w:val="009C5250"/>
    <w:rsid w:val="009C6A37"/>
    <w:rsid w:val="009C7394"/>
    <w:rsid w:val="009C7831"/>
    <w:rsid w:val="009C7D5E"/>
    <w:rsid w:val="009D1D35"/>
    <w:rsid w:val="009D7F26"/>
    <w:rsid w:val="009E1A3B"/>
    <w:rsid w:val="009E27B2"/>
    <w:rsid w:val="009E29F4"/>
    <w:rsid w:val="009E39D0"/>
    <w:rsid w:val="009E53A1"/>
    <w:rsid w:val="009E6224"/>
    <w:rsid w:val="009F223E"/>
    <w:rsid w:val="009F71CF"/>
    <w:rsid w:val="00A02099"/>
    <w:rsid w:val="00A02C68"/>
    <w:rsid w:val="00A05EFA"/>
    <w:rsid w:val="00A064C6"/>
    <w:rsid w:val="00A10684"/>
    <w:rsid w:val="00A11090"/>
    <w:rsid w:val="00A145A7"/>
    <w:rsid w:val="00A1557E"/>
    <w:rsid w:val="00A15C5F"/>
    <w:rsid w:val="00A16179"/>
    <w:rsid w:val="00A22C41"/>
    <w:rsid w:val="00A23505"/>
    <w:rsid w:val="00A24454"/>
    <w:rsid w:val="00A26EB0"/>
    <w:rsid w:val="00A32AF9"/>
    <w:rsid w:val="00A36B01"/>
    <w:rsid w:val="00A375C0"/>
    <w:rsid w:val="00A40021"/>
    <w:rsid w:val="00A418D6"/>
    <w:rsid w:val="00A43AB4"/>
    <w:rsid w:val="00A43E1B"/>
    <w:rsid w:val="00A463C0"/>
    <w:rsid w:val="00A46C64"/>
    <w:rsid w:val="00A50798"/>
    <w:rsid w:val="00A50AB5"/>
    <w:rsid w:val="00A54F8B"/>
    <w:rsid w:val="00A579F6"/>
    <w:rsid w:val="00A61936"/>
    <w:rsid w:val="00A654E6"/>
    <w:rsid w:val="00A74756"/>
    <w:rsid w:val="00A74CBA"/>
    <w:rsid w:val="00A74F81"/>
    <w:rsid w:val="00A758B0"/>
    <w:rsid w:val="00A762C6"/>
    <w:rsid w:val="00A7647F"/>
    <w:rsid w:val="00A774AE"/>
    <w:rsid w:val="00A80E09"/>
    <w:rsid w:val="00A811B1"/>
    <w:rsid w:val="00A82C9D"/>
    <w:rsid w:val="00A82F90"/>
    <w:rsid w:val="00A83C17"/>
    <w:rsid w:val="00A840FD"/>
    <w:rsid w:val="00A93004"/>
    <w:rsid w:val="00A936B9"/>
    <w:rsid w:val="00A95CE6"/>
    <w:rsid w:val="00AA6DB5"/>
    <w:rsid w:val="00AA7821"/>
    <w:rsid w:val="00AB176C"/>
    <w:rsid w:val="00AB2694"/>
    <w:rsid w:val="00AB4EF1"/>
    <w:rsid w:val="00AB7E32"/>
    <w:rsid w:val="00AB7E58"/>
    <w:rsid w:val="00AC1EC4"/>
    <w:rsid w:val="00AC4441"/>
    <w:rsid w:val="00AC4DD4"/>
    <w:rsid w:val="00AC5228"/>
    <w:rsid w:val="00AC694F"/>
    <w:rsid w:val="00AC7467"/>
    <w:rsid w:val="00AD29BD"/>
    <w:rsid w:val="00AD44AB"/>
    <w:rsid w:val="00AD5EC2"/>
    <w:rsid w:val="00AE1DE5"/>
    <w:rsid w:val="00AE27C2"/>
    <w:rsid w:val="00AE7B43"/>
    <w:rsid w:val="00B02B9C"/>
    <w:rsid w:val="00B11527"/>
    <w:rsid w:val="00B15046"/>
    <w:rsid w:val="00B15E59"/>
    <w:rsid w:val="00B169D7"/>
    <w:rsid w:val="00B17288"/>
    <w:rsid w:val="00B205E2"/>
    <w:rsid w:val="00B20C29"/>
    <w:rsid w:val="00B2181F"/>
    <w:rsid w:val="00B225A7"/>
    <w:rsid w:val="00B23888"/>
    <w:rsid w:val="00B2408F"/>
    <w:rsid w:val="00B24E03"/>
    <w:rsid w:val="00B30C6C"/>
    <w:rsid w:val="00B32218"/>
    <w:rsid w:val="00B3406D"/>
    <w:rsid w:val="00B35D97"/>
    <w:rsid w:val="00B36787"/>
    <w:rsid w:val="00B401CC"/>
    <w:rsid w:val="00B41021"/>
    <w:rsid w:val="00B42725"/>
    <w:rsid w:val="00B444E9"/>
    <w:rsid w:val="00B4492F"/>
    <w:rsid w:val="00B44AE1"/>
    <w:rsid w:val="00B476E2"/>
    <w:rsid w:val="00B5019A"/>
    <w:rsid w:val="00B555FE"/>
    <w:rsid w:val="00B60D77"/>
    <w:rsid w:val="00B620EE"/>
    <w:rsid w:val="00B62C35"/>
    <w:rsid w:val="00B630C0"/>
    <w:rsid w:val="00B65EBB"/>
    <w:rsid w:val="00B66576"/>
    <w:rsid w:val="00B740FB"/>
    <w:rsid w:val="00B84E76"/>
    <w:rsid w:val="00B85A75"/>
    <w:rsid w:val="00B8776D"/>
    <w:rsid w:val="00B8792D"/>
    <w:rsid w:val="00B908CC"/>
    <w:rsid w:val="00B92DD8"/>
    <w:rsid w:val="00B932F5"/>
    <w:rsid w:val="00B942E3"/>
    <w:rsid w:val="00B9548C"/>
    <w:rsid w:val="00B958AC"/>
    <w:rsid w:val="00B95E8A"/>
    <w:rsid w:val="00BA1997"/>
    <w:rsid w:val="00BA1EFE"/>
    <w:rsid w:val="00BA601E"/>
    <w:rsid w:val="00BB0BED"/>
    <w:rsid w:val="00BB6642"/>
    <w:rsid w:val="00BC0819"/>
    <w:rsid w:val="00BC3350"/>
    <w:rsid w:val="00BC3920"/>
    <w:rsid w:val="00BC3EF5"/>
    <w:rsid w:val="00BC7132"/>
    <w:rsid w:val="00BC7D84"/>
    <w:rsid w:val="00BD31C7"/>
    <w:rsid w:val="00BE13DE"/>
    <w:rsid w:val="00BE2005"/>
    <w:rsid w:val="00BE26E9"/>
    <w:rsid w:val="00BE3664"/>
    <w:rsid w:val="00BE3DFF"/>
    <w:rsid w:val="00BE505F"/>
    <w:rsid w:val="00BF1A5A"/>
    <w:rsid w:val="00C023CF"/>
    <w:rsid w:val="00C03009"/>
    <w:rsid w:val="00C0651F"/>
    <w:rsid w:val="00C06AEA"/>
    <w:rsid w:val="00C07D2D"/>
    <w:rsid w:val="00C141C5"/>
    <w:rsid w:val="00C15791"/>
    <w:rsid w:val="00C15B27"/>
    <w:rsid w:val="00C20821"/>
    <w:rsid w:val="00C20D46"/>
    <w:rsid w:val="00C20DE0"/>
    <w:rsid w:val="00C2165D"/>
    <w:rsid w:val="00C21FC7"/>
    <w:rsid w:val="00C22F56"/>
    <w:rsid w:val="00C2313A"/>
    <w:rsid w:val="00C2553B"/>
    <w:rsid w:val="00C25708"/>
    <w:rsid w:val="00C3121D"/>
    <w:rsid w:val="00C31405"/>
    <w:rsid w:val="00C32979"/>
    <w:rsid w:val="00C33717"/>
    <w:rsid w:val="00C36DDB"/>
    <w:rsid w:val="00C41A85"/>
    <w:rsid w:val="00C53F42"/>
    <w:rsid w:val="00C565B6"/>
    <w:rsid w:val="00C60599"/>
    <w:rsid w:val="00C62254"/>
    <w:rsid w:val="00C66600"/>
    <w:rsid w:val="00C736F2"/>
    <w:rsid w:val="00C73A6C"/>
    <w:rsid w:val="00C837D6"/>
    <w:rsid w:val="00C84299"/>
    <w:rsid w:val="00C8535C"/>
    <w:rsid w:val="00C85E53"/>
    <w:rsid w:val="00C87BD2"/>
    <w:rsid w:val="00C924BC"/>
    <w:rsid w:val="00C93A4B"/>
    <w:rsid w:val="00C9426C"/>
    <w:rsid w:val="00C94463"/>
    <w:rsid w:val="00C9596E"/>
    <w:rsid w:val="00C97347"/>
    <w:rsid w:val="00CA53B7"/>
    <w:rsid w:val="00CA7A46"/>
    <w:rsid w:val="00CB0A42"/>
    <w:rsid w:val="00CB0AE3"/>
    <w:rsid w:val="00CB394F"/>
    <w:rsid w:val="00CB6871"/>
    <w:rsid w:val="00CC71E2"/>
    <w:rsid w:val="00CD3D71"/>
    <w:rsid w:val="00CD42D4"/>
    <w:rsid w:val="00CD566B"/>
    <w:rsid w:val="00CD65A3"/>
    <w:rsid w:val="00CD7808"/>
    <w:rsid w:val="00CE437F"/>
    <w:rsid w:val="00CE4856"/>
    <w:rsid w:val="00CE6DB2"/>
    <w:rsid w:val="00CF0072"/>
    <w:rsid w:val="00CF00A1"/>
    <w:rsid w:val="00CF2C13"/>
    <w:rsid w:val="00CF325C"/>
    <w:rsid w:val="00CF334F"/>
    <w:rsid w:val="00CF3D62"/>
    <w:rsid w:val="00CF4F17"/>
    <w:rsid w:val="00CF5614"/>
    <w:rsid w:val="00D01F79"/>
    <w:rsid w:val="00D038BD"/>
    <w:rsid w:val="00D056EE"/>
    <w:rsid w:val="00D06AB3"/>
    <w:rsid w:val="00D073A4"/>
    <w:rsid w:val="00D1099C"/>
    <w:rsid w:val="00D1200E"/>
    <w:rsid w:val="00D1415A"/>
    <w:rsid w:val="00D17A43"/>
    <w:rsid w:val="00D219F1"/>
    <w:rsid w:val="00D22EB6"/>
    <w:rsid w:val="00D23825"/>
    <w:rsid w:val="00D25155"/>
    <w:rsid w:val="00D25E1A"/>
    <w:rsid w:val="00D30A1B"/>
    <w:rsid w:val="00D346B2"/>
    <w:rsid w:val="00D35454"/>
    <w:rsid w:val="00D40585"/>
    <w:rsid w:val="00D466BC"/>
    <w:rsid w:val="00D512E1"/>
    <w:rsid w:val="00D51CE6"/>
    <w:rsid w:val="00D54FF9"/>
    <w:rsid w:val="00D57C07"/>
    <w:rsid w:val="00D600E0"/>
    <w:rsid w:val="00D61E5A"/>
    <w:rsid w:val="00D66004"/>
    <w:rsid w:val="00D66941"/>
    <w:rsid w:val="00D676BC"/>
    <w:rsid w:val="00D716F5"/>
    <w:rsid w:val="00D743A4"/>
    <w:rsid w:val="00D74572"/>
    <w:rsid w:val="00D7462C"/>
    <w:rsid w:val="00D80370"/>
    <w:rsid w:val="00D806C5"/>
    <w:rsid w:val="00D854DF"/>
    <w:rsid w:val="00D873D6"/>
    <w:rsid w:val="00D93914"/>
    <w:rsid w:val="00D93A10"/>
    <w:rsid w:val="00D972F5"/>
    <w:rsid w:val="00DA0272"/>
    <w:rsid w:val="00DA454A"/>
    <w:rsid w:val="00DA6A1C"/>
    <w:rsid w:val="00DA77D9"/>
    <w:rsid w:val="00DB002A"/>
    <w:rsid w:val="00DB33D8"/>
    <w:rsid w:val="00DC3931"/>
    <w:rsid w:val="00DC51DB"/>
    <w:rsid w:val="00DC5A54"/>
    <w:rsid w:val="00DC621E"/>
    <w:rsid w:val="00DD1F79"/>
    <w:rsid w:val="00DD4413"/>
    <w:rsid w:val="00DD4B9F"/>
    <w:rsid w:val="00DD5CB6"/>
    <w:rsid w:val="00DD6FA2"/>
    <w:rsid w:val="00DD723F"/>
    <w:rsid w:val="00DE07E8"/>
    <w:rsid w:val="00DE25FF"/>
    <w:rsid w:val="00DE3069"/>
    <w:rsid w:val="00DE35A3"/>
    <w:rsid w:val="00DE3880"/>
    <w:rsid w:val="00DE5FA3"/>
    <w:rsid w:val="00DF1E13"/>
    <w:rsid w:val="00DF2E88"/>
    <w:rsid w:val="00DF3776"/>
    <w:rsid w:val="00DF622B"/>
    <w:rsid w:val="00DF6E1C"/>
    <w:rsid w:val="00E009ED"/>
    <w:rsid w:val="00E07B32"/>
    <w:rsid w:val="00E10C73"/>
    <w:rsid w:val="00E13575"/>
    <w:rsid w:val="00E13CEE"/>
    <w:rsid w:val="00E13D6B"/>
    <w:rsid w:val="00E147CF"/>
    <w:rsid w:val="00E16918"/>
    <w:rsid w:val="00E174ED"/>
    <w:rsid w:val="00E20AE6"/>
    <w:rsid w:val="00E248DA"/>
    <w:rsid w:val="00E2769C"/>
    <w:rsid w:val="00E31F3E"/>
    <w:rsid w:val="00E32DD6"/>
    <w:rsid w:val="00E33B66"/>
    <w:rsid w:val="00E33EA4"/>
    <w:rsid w:val="00E352E3"/>
    <w:rsid w:val="00E35F71"/>
    <w:rsid w:val="00E369EA"/>
    <w:rsid w:val="00E41A12"/>
    <w:rsid w:val="00E421CF"/>
    <w:rsid w:val="00E44F8D"/>
    <w:rsid w:val="00E44FBE"/>
    <w:rsid w:val="00E45C7A"/>
    <w:rsid w:val="00E54240"/>
    <w:rsid w:val="00E55787"/>
    <w:rsid w:val="00E569E4"/>
    <w:rsid w:val="00E578A3"/>
    <w:rsid w:val="00E62B62"/>
    <w:rsid w:val="00E658C6"/>
    <w:rsid w:val="00E65A68"/>
    <w:rsid w:val="00E70F5A"/>
    <w:rsid w:val="00E7302F"/>
    <w:rsid w:val="00E75986"/>
    <w:rsid w:val="00E80398"/>
    <w:rsid w:val="00E80A99"/>
    <w:rsid w:val="00E82D8A"/>
    <w:rsid w:val="00E87B7D"/>
    <w:rsid w:val="00E91470"/>
    <w:rsid w:val="00E91542"/>
    <w:rsid w:val="00E91D95"/>
    <w:rsid w:val="00E92A87"/>
    <w:rsid w:val="00E9399E"/>
    <w:rsid w:val="00E939A6"/>
    <w:rsid w:val="00E9450E"/>
    <w:rsid w:val="00E96F21"/>
    <w:rsid w:val="00E97964"/>
    <w:rsid w:val="00EA1EF5"/>
    <w:rsid w:val="00EA5A9C"/>
    <w:rsid w:val="00EA778D"/>
    <w:rsid w:val="00EB19CE"/>
    <w:rsid w:val="00EB3D21"/>
    <w:rsid w:val="00EB7B82"/>
    <w:rsid w:val="00EC13DF"/>
    <w:rsid w:val="00EC35B3"/>
    <w:rsid w:val="00EC4A9F"/>
    <w:rsid w:val="00ED1A87"/>
    <w:rsid w:val="00ED2509"/>
    <w:rsid w:val="00ED7C3A"/>
    <w:rsid w:val="00EE05A8"/>
    <w:rsid w:val="00EE237B"/>
    <w:rsid w:val="00EE6E62"/>
    <w:rsid w:val="00EE6EDF"/>
    <w:rsid w:val="00EF0245"/>
    <w:rsid w:val="00EF1AE3"/>
    <w:rsid w:val="00EF2367"/>
    <w:rsid w:val="00EF2D8E"/>
    <w:rsid w:val="00EF40EB"/>
    <w:rsid w:val="00EF5392"/>
    <w:rsid w:val="00EF72B0"/>
    <w:rsid w:val="00F01137"/>
    <w:rsid w:val="00F032E8"/>
    <w:rsid w:val="00F03917"/>
    <w:rsid w:val="00F039BF"/>
    <w:rsid w:val="00F04977"/>
    <w:rsid w:val="00F10C80"/>
    <w:rsid w:val="00F1518B"/>
    <w:rsid w:val="00F16D68"/>
    <w:rsid w:val="00F205B2"/>
    <w:rsid w:val="00F22B04"/>
    <w:rsid w:val="00F250FA"/>
    <w:rsid w:val="00F257EE"/>
    <w:rsid w:val="00F2600D"/>
    <w:rsid w:val="00F27330"/>
    <w:rsid w:val="00F27F90"/>
    <w:rsid w:val="00F31879"/>
    <w:rsid w:val="00F33EF9"/>
    <w:rsid w:val="00F3749E"/>
    <w:rsid w:val="00F43936"/>
    <w:rsid w:val="00F46261"/>
    <w:rsid w:val="00F50429"/>
    <w:rsid w:val="00F504EE"/>
    <w:rsid w:val="00F63A1E"/>
    <w:rsid w:val="00F64C0F"/>
    <w:rsid w:val="00F667D7"/>
    <w:rsid w:val="00F6716F"/>
    <w:rsid w:val="00F756F9"/>
    <w:rsid w:val="00F80EFF"/>
    <w:rsid w:val="00F81530"/>
    <w:rsid w:val="00F8174D"/>
    <w:rsid w:val="00F81CDF"/>
    <w:rsid w:val="00F82CCF"/>
    <w:rsid w:val="00F86B8B"/>
    <w:rsid w:val="00F86DF2"/>
    <w:rsid w:val="00F91FD9"/>
    <w:rsid w:val="00F92B16"/>
    <w:rsid w:val="00F94A95"/>
    <w:rsid w:val="00F97369"/>
    <w:rsid w:val="00FA480A"/>
    <w:rsid w:val="00FA6222"/>
    <w:rsid w:val="00FB3A25"/>
    <w:rsid w:val="00FB537F"/>
    <w:rsid w:val="00FB6EEF"/>
    <w:rsid w:val="00FB7FFE"/>
    <w:rsid w:val="00FC1FDF"/>
    <w:rsid w:val="00FC388F"/>
    <w:rsid w:val="00FC3D7C"/>
    <w:rsid w:val="00FD0E3D"/>
    <w:rsid w:val="00FD2B63"/>
    <w:rsid w:val="00FD6447"/>
    <w:rsid w:val="00FD71BF"/>
    <w:rsid w:val="00FE1BCE"/>
    <w:rsid w:val="00FF19A9"/>
    <w:rsid w:val="00FF369D"/>
    <w:rsid w:val="00FF43C7"/>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2F3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2">
    <w:name w:val="heading 2"/>
    <w:basedOn w:val="Normal"/>
    <w:next w:val="Normal"/>
    <w:link w:val="Heading2Char"/>
    <w:unhideWhenUsed/>
    <w:qFormat/>
    <w:locked/>
    <w:rsid w:val="001D60A6"/>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34"/>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2Char">
    <w:name w:val="Heading 2 Char"/>
    <w:link w:val="Heading2"/>
    <w:rsid w:val="001D60A6"/>
    <w:rPr>
      <w:rFonts w:ascii="Calibri Light" w:eastAsia="Times New Roman" w:hAnsi="Calibri Light" w:cs="Times New Roman"/>
      <w:b/>
      <w:bCs/>
      <w:i/>
      <w:iCs/>
      <w:sz w:val="28"/>
      <w:szCs w:val="28"/>
    </w:rPr>
  </w:style>
  <w:style w:type="paragraph" w:styleId="BodyText3">
    <w:name w:val="Body Text 3"/>
    <w:basedOn w:val="Normal"/>
    <w:link w:val="BodyText3Char"/>
    <w:semiHidden/>
    <w:unhideWhenUsed/>
    <w:rsid w:val="007C1FF6"/>
    <w:pPr>
      <w:jc w:val="center"/>
    </w:pPr>
    <w:rPr>
      <w:rFonts w:ascii="Arial" w:eastAsia="Times New Roman" w:hAnsi="Arial" w:cs="Arial"/>
      <w:b/>
      <w:szCs w:val="20"/>
      <w:u w:val="single"/>
      <w:lang w:eastAsia="en-US"/>
    </w:rPr>
  </w:style>
  <w:style w:type="character" w:customStyle="1" w:styleId="BodyText3Char">
    <w:name w:val="Body Text 3 Char"/>
    <w:link w:val="BodyText3"/>
    <w:semiHidden/>
    <w:rsid w:val="007C1FF6"/>
    <w:rPr>
      <w:rFonts w:ascii="Arial" w:eastAsia="Times New Roman" w:hAnsi="Arial" w:cs="Arial"/>
      <w:b/>
      <w:sz w:val="24"/>
      <w:u w:val="single"/>
      <w:lang w:eastAsia="en-US"/>
    </w:rPr>
  </w:style>
  <w:style w:type="paragraph" w:customStyle="1" w:styleId="Level1">
    <w:name w:val="Level 1"/>
    <w:basedOn w:val="Normal"/>
    <w:rsid w:val="00473736"/>
    <w:pPr>
      <w:autoSpaceDE w:val="0"/>
      <w:autoSpaceDN w:val="0"/>
      <w:ind w:left="644" w:hanging="360"/>
    </w:pPr>
    <w:rPr>
      <w:rFonts w:ascii="Arial" w:eastAsia="Times New Roman" w:hAnsi="Arial" w:cs="Arial"/>
    </w:rPr>
  </w:style>
  <w:style w:type="character" w:styleId="Hyperlink">
    <w:name w:val="Hyperlink"/>
    <w:uiPriority w:val="99"/>
    <w:semiHidden/>
    <w:unhideWhenUsed/>
    <w:rsid w:val="008C52F7"/>
    <w:rPr>
      <w:color w:val="0000FF"/>
      <w:u w:val="single"/>
    </w:rPr>
  </w:style>
  <w:style w:type="paragraph" w:customStyle="1" w:styleId="Normal1">
    <w:name w:val="Normal1"/>
    <w:basedOn w:val="Normal"/>
    <w:rsid w:val="00A811B1"/>
    <w:pPr>
      <w:spacing w:before="100" w:beforeAutospacing="1" w:after="100" w:afterAutospacing="1"/>
    </w:pPr>
    <w:rPr>
      <w:rFonts w:eastAsia="Times New Roman"/>
    </w:rPr>
  </w:style>
  <w:style w:type="table" w:styleId="TableGrid">
    <w:name w:val="Table Grid"/>
    <w:basedOn w:val="TableNormal"/>
    <w:locked/>
    <w:rsid w:val="00276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6850">
      <w:bodyDiv w:val="1"/>
      <w:marLeft w:val="0"/>
      <w:marRight w:val="0"/>
      <w:marTop w:val="0"/>
      <w:marBottom w:val="0"/>
      <w:divBdr>
        <w:top w:val="none" w:sz="0" w:space="0" w:color="auto"/>
        <w:left w:val="none" w:sz="0" w:space="0" w:color="auto"/>
        <w:bottom w:val="none" w:sz="0" w:space="0" w:color="auto"/>
        <w:right w:val="none" w:sz="0" w:space="0" w:color="auto"/>
      </w:divBdr>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88296">
      <w:bodyDiv w:val="1"/>
      <w:marLeft w:val="0"/>
      <w:marRight w:val="0"/>
      <w:marTop w:val="0"/>
      <w:marBottom w:val="0"/>
      <w:divBdr>
        <w:top w:val="none" w:sz="0" w:space="0" w:color="auto"/>
        <w:left w:val="none" w:sz="0" w:space="0" w:color="auto"/>
        <w:bottom w:val="none" w:sz="0" w:space="0" w:color="auto"/>
        <w:right w:val="none" w:sz="0" w:space="0" w:color="auto"/>
      </w:divBdr>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232217">
      <w:bodyDiv w:val="1"/>
      <w:marLeft w:val="0"/>
      <w:marRight w:val="0"/>
      <w:marTop w:val="0"/>
      <w:marBottom w:val="0"/>
      <w:divBdr>
        <w:top w:val="none" w:sz="0" w:space="0" w:color="auto"/>
        <w:left w:val="none" w:sz="0" w:space="0" w:color="auto"/>
        <w:bottom w:val="none" w:sz="0" w:space="0" w:color="auto"/>
        <w:right w:val="none" w:sz="0" w:space="0" w:color="auto"/>
      </w:divBdr>
    </w:div>
    <w:div w:id="962729163">
      <w:bodyDiv w:val="1"/>
      <w:marLeft w:val="0"/>
      <w:marRight w:val="0"/>
      <w:marTop w:val="0"/>
      <w:marBottom w:val="0"/>
      <w:divBdr>
        <w:top w:val="none" w:sz="0" w:space="0" w:color="auto"/>
        <w:left w:val="none" w:sz="0" w:space="0" w:color="auto"/>
        <w:bottom w:val="none" w:sz="0" w:space="0" w:color="auto"/>
        <w:right w:val="none" w:sz="0" w:space="0" w:color="auto"/>
      </w:divBdr>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1854">
      <w:bodyDiv w:val="1"/>
      <w:marLeft w:val="0"/>
      <w:marRight w:val="0"/>
      <w:marTop w:val="0"/>
      <w:marBottom w:val="0"/>
      <w:divBdr>
        <w:top w:val="none" w:sz="0" w:space="0" w:color="auto"/>
        <w:left w:val="none" w:sz="0" w:space="0" w:color="auto"/>
        <w:bottom w:val="none" w:sz="0" w:space="0" w:color="auto"/>
        <w:right w:val="none" w:sz="0" w:space="0" w:color="auto"/>
      </w:divBdr>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0920">
      <w:bodyDiv w:val="1"/>
      <w:marLeft w:val="0"/>
      <w:marRight w:val="0"/>
      <w:marTop w:val="0"/>
      <w:marBottom w:val="0"/>
      <w:divBdr>
        <w:top w:val="none" w:sz="0" w:space="0" w:color="auto"/>
        <w:left w:val="none" w:sz="0" w:space="0" w:color="auto"/>
        <w:bottom w:val="none" w:sz="0" w:space="0" w:color="auto"/>
        <w:right w:val="none" w:sz="0" w:space="0" w:color="auto"/>
      </w:divBdr>
      <w:divsChild>
        <w:div w:id="1918590331">
          <w:marLeft w:val="0"/>
          <w:marRight w:val="0"/>
          <w:marTop w:val="0"/>
          <w:marBottom w:val="0"/>
          <w:divBdr>
            <w:top w:val="none" w:sz="0" w:space="0" w:color="auto"/>
            <w:left w:val="none" w:sz="0" w:space="0" w:color="auto"/>
            <w:bottom w:val="none" w:sz="0" w:space="0" w:color="auto"/>
            <w:right w:val="none" w:sz="0" w:space="0" w:color="auto"/>
          </w:divBdr>
          <w:divsChild>
            <w:div w:id="243955997">
              <w:marLeft w:val="0"/>
              <w:marRight w:val="0"/>
              <w:marTop w:val="0"/>
              <w:marBottom w:val="0"/>
              <w:divBdr>
                <w:top w:val="single" w:sz="2" w:space="0" w:color="FFFFFF"/>
                <w:left w:val="single" w:sz="6" w:space="0" w:color="FFFFFF"/>
                <w:bottom w:val="single" w:sz="6" w:space="0" w:color="FFFFFF"/>
                <w:right w:val="single" w:sz="6" w:space="0" w:color="FFFFFF"/>
              </w:divBdr>
              <w:divsChild>
                <w:div w:id="652367795">
                  <w:marLeft w:val="0"/>
                  <w:marRight w:val="0"/>
                  <w:marTop w:val="0"/>
                  <w:marBottom w:val="0"/>
                  <w:divBdr>
                    <w:top w:val="single" w:sz="6" w:space="1" w:color="D3D3D3"/>
                    <w:left w:val="none" w:sz="0" w:space="0" w:color="auto"/>
                    <w:bottom w:val="none" w:sz="0" w:space="0" w:color="auto"/>
                    <w:right w:val="none" w:sz="0" w:space="0" w:color="auto"/>
                  </w:divBdr>
                  <w:divsChild>
                    <w:div w:id="638000701">
                      <w:marLeft w:val="0"/>
                      <w:marRight w:val="0"/>
                      <w:marTop w:val="0"/>
                      <w:marBottom w:val="0"/>
                      <w:divBdr>
                        <w:top w:val="none" w:sz="0" w:space="0" w:color="auto"/>
                        <w:left w:val="none" w:sz="0" w:space="0" w:color="auto"/>
                        <w:bottom w:val="none" w:sz="0" w:space="0" w:color="auto"/>
                        <w:right w:val="none" w:sz="0" w:space="0" w:color="auto"/>
                      </w:divBdr>
                      <w:divsChild>
                        <w:div w:id="9522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
    <w:div w:id="1752042773">
      <w:bodyDiv w:val="1"/>
      <w:marLeft w:val="0"/>
      <w:marRight w:val="0"/>
      <w:marTop w:val="0"/>
      <w:marBottom w:val="0"/>
      <w:divBdr>
        <w:top w:val="none" w:sz="0" w:space="0" w:color="auto"/>
        <w:left w:val="none" w:sz="0" w:space="0" w:color="auto"/>
        <w:bottom w:val="none" w:sz="0" w:space="0" w:color="auto"/>
        <w:right w:val="none" w:sz="0" w:space="0" w:color="auto"/>
      </w:divBdr>
    </w:div>
    <w:div w:id="1998724664">
      <w:bodyDiv w:val="1"/>
      <w:marLeft w:val="0"/>
      <w:marRight w:val="0"/>
      <w:marTop w:val="0"/>
      <w:marBottom w:val="0"/>
      <w:divBdr>
        <w:top w:val="none" w:sz="0" w:space="0" w:color="auto"/>
        <w:left w:val="none" w:sz="0" w:space="0" w:color="auto"/>
        <w:bottom w:val="none" w:sz="0" w:space="0" w:color="auto"/>
        <w:right w:val="none" w:sz="0" w:space="0" w:color="auto"/>
      </w:divBdr>
      <w:divsChild>
        <w:div w:id="53630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3642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76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80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3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8055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22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680083891">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375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09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9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5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983728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BBEB9-5924-45E7-9579-E2F2EF4C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9556</Characters>
  <Application>Microsoft Office Word</Application>
  <DocSecurity>0</DocSecurity>
  <Lines>79</Lines>
  <Paragraphs>22</Paragraphs>
  <ScaleCrop>false</ScaleCrop>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2018-10-03T09:48:00Z</dcterms:created>
  <dcterms:modified xsi:type="dcterms:W3CDTF">2018-10-03T09:48:00Z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